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FE9EF" w14:textId="3F18A43F" w:rsidR="007108E9" w:rsidRDefault="00D079BC" w:rsidP="00E97057">
      <w:pPr>
        <w:jc w:val="center"/>
        <w:rPr>
          <w:b/>
          <w:sz w:val="28"/>
          <w:szCs w:val="28"/>
          <w:lang w:val="en-GB"/>
        </w:rPr>
      </w:pPr>
      <w:r w:rsidRPr="00D079BC">
        <w:rPr>
          <w:b/>
          <w:sz w:val="28"/>
          <w:szCs w:val="28"/>
          <w:lang w:val="en-GB"/>
        </w:rPr>
        <w:t xml:space="preserve">Developing </w:t>
      </w:r>
      <w:r w:rsidR="00E97057" w:rsidRPr="00D079BC">
        <w:rPr>
          <w:b/>
          <w:sz w:val="28"/>
          <w:szCs w:val="28"/>
          <w:lang w:val="en-GB"/>
        </w:rPr>
        <w:t xml:space="preserve">flood hazard maps </w:t>
      </w:r>
      <w:r w:rsidRPr="00D079BC">
        <w:rPr>
          <w:b/>
          <w:sz w:val="28"/>
          <w:szCs w:val="28"/>
          <w:lang w:val="en-GB"/>
        </w:rPr>
        <w:t xml:space="preserve">for the Kelantan </w:t>
      </w:r>
      <w:r w:rsidR="00E97057" w:rsidRPr="00D079BC">
        <w:rPr>
          <w:b/>
          <w:sz w:val="28"/>
          <w:szCs w:val="28"/>
          <w:lang w:val="en-GB"/>
        </w:rPr>
        <w:t xml:space="preserve">floodplain using the </w:t>
      </w:r>
      <w:r>
        <w:rPr>
          <w:b/>
          <w:sz w:val="28"/>
          <w:szCs w:val="28"/>
          <w:lang w:val="en-GB"/>
        </w:rPr>
        <w:br/>
      </w:r>
      <w:r w:rsidRPr="00D079BC">
        <w:rPr>
          <w:b/>
          <w:sz w:val="28"/>
          <w:szCs w:val="28"/>
          <w:lang w:val="en-GB"/>
        </w:rPr>
        <w:t xml:space="preserve">HEC-RAS 2D </w:t>
      </w:r>
      <w:r w:rsidR="00E97057" w:rsidRPr="00D079BC">
        <w:rPr>
          <w:b/>
          <w:sz w:val="28"/>
          <w:szCs w:val="28"/>
          <w:lang w:val="en-GB"/>
        </w:rPr>
        <w:t>model</w:t>
      </w:r>
    </w:p>
    <w:p w14:paraId="40AB34CA" w14:textId="77777777" w:rsidR="00E97057" w:rsidRPr="00D079BC" w:rsidRDefault="00E97057" w:rsidP="00E97057">
      <w:pPr>
        <w:jc w:val="center"/>
        <w:rPr>
          <w:b/>
          <w:sz w:val="28"/>
          <w:szCs w:val="28"/>
          <w:lang w:val="en-GB"/>
        </w:rPr>
      </w:pPr>
    </w:p>
    <w:p w14:paraId="6EC2BC7F" w14:textId="77777777" w:rsidR="00946CEC" w:rsidRDefault="00446DC8" w:rsidP="00E97057">
      <w:pPr>
        <w:pBdr>
          <w:top w:val="nil"/>
          <w:left w:val="nil"/>
          <w:bottom w:val="nil"/>
          <w:right w:val="nil"/>
          <w:between w:val="nil"/>
        </w:pBdr>
        <w:ind w:hanging="2"/>
        <w:jc w:val="center"/>
        <w:rPr>
          <w:color w:val="000000"/>
          <w:sz w:val="22"/>
          <w:szCs w:val="22"/>
        </w:rPr>
      </w:pPr>
      <w:r w:rsidRPr="00E97057">
        <w:rPr>
          <w:sz w:val="22"/>
          <w:szCs w:val="22"/>
        </w:rPr>
        <w:t>See Too Kay Leng</w:t>
      </w:r>
      <w:r w:rsidR="00C55DAE" w:rsidRPr="00E97057">
        <w:rPr>
          <w:color w:val="000000"/>
          <w:sz w:val="22"/>
          <w:szCs w:val="22"/>
          <w:vertAlign w:val="superscript"/>
        </w:rPr>
        <w:t>1</w:t>
      </w:r>
      <w:r w:rsidR="00C55DAE" w:rsidRPr="00E97057">
        <w:rPr>
          <w:color w:val="000000"/>
          <w:sz w:val="22"/>
          <w:szCs w:val="22"/>
        </w:rPr>
        <w:t xml:space="preserve">, </w:t>
      </w:r>
      <w:r w:rsidRPr="00E97057">
        <w:rPr>
          <w:sz w:val="22"/>
          <w:szCs w:val="22"/>
        </w:rPr>
        <w:t>Mokhtar Jaafar</w:t>
      </w:r>
      <w:r w:rsidRPr="00E97057">
        <w:rPr>
          <w:sz w:val="22"/>
          <w:szCs w:val="22"/>
          <w:vertAlign w:val="superscript"/>
        </w:rPr>
        <w:t>1</w:t>
      </w:r>
      <w:r w:rsidRPr="00E97057">
        <w:rPr>
          <w:sz w:val="22"/>
          <w:szCs w:val="22"/>
        </w:rPr>
        <w:t xml:space="preserve">, </w:t>
      </w:r>
      <w:proofErr w:type="spellStart"/>
      <w:r w:rsidRPr="00E97057">
        <w:rPr>
          <w:sz w:val="22"/>
          <w:szCs w:val="22"/>
        </w:rPr>
        <w:t>Mohd</w:t>
      </w:r>
      <w:proofErr w:type="spellEnd"/>
      <w:r w:rsidRPr="00E97057">
        <w:rPr>
          <w:sz w:val="22"/>
          <w:szCs w:val="22"/>
        </w:rPr>
        <w:t xml:space="preserve"> </w:t>
      </w:r>
      <w:proofErr w:type="spellStart"/>
      <w:r w:rsidRPr="00E97057">
        <w:rPr>
          <w:sz w:val="22"/>
          <w:szCs w:val="22"/>
        </w:rPr>
        <w:t>Ridhuan</w:t>
      </w:r>
      <w:proofErr w:type="spellEnd"/>
      <w:r w:rsidRPr="00E97057">
        <w:rPr>
          <w:sz w:val="22"/>
          <w:szCs w:val="22"/>
        </w:rPr>
        <w:t xml:space="preserve"> </w:t>
      </w:r>
      <w:proofErr w:type="spellStart"/>
      <w:r w:rsidRPr="00E97057">
        <w:rPr>
          <w:sz w:val="22"/>
          <w:szCs w:val="22"/>
        </w:rPr>
        <w:t>Mohd</w:t>
      </w:r>
      <w:proofErr w:type="spellEnd"/>
      <w:r w:rsidRPr="00E97057">
        <w:rPr>
          <w:sz w:val="22"/>
          <w:szCs w:val="22"/>
        </w:rPr>
        <w:t xml:space="preserve"> Jamil</w:t>
      </w:r>
      <w:r w:rsidR="00C55DAE" w:rsidRPr="00E97057">
        <w:rPr>
          <w:color w:val="000000"/>
          <w:sz w:val="22"/>
          <w:szCs w:val="22"/>
          <w:vertAlign w:val="superscript"/>
        </w:rPr>
        <w:t>2</w:t>
      </w:r>
      <w:r w:rsidRPr="00E97057">
        <w:rPr>
          <w:color w:val="000000"/>
          <w:sz w:val="22"/>
          <w:szCs w:val="22"/>
        </w:rPr>
        <w:t xml:space="preserve">, </w:t>
      </w:r>
      <w:proofErr w:type="spellStart"/>
      <w:r w:rsidRPr="00E97057">
        <w:rPr>
          <w:color w:val="000000"/>
          <w:sz w:val="22"/>
          <w:szCs w:val="22"/>
        </w:rPr>
        <w:t>Risa</w:t>
      </w:r>
      <w:proofErr w:type="spellEnd"/>
      <w:r w:rsidRPr="00E97057">
        <w:rPr>
          <w:color w:val="000000"/>
          <w:sz w:val="22"/>
          <w:szCs w:val="22"/>
        </w:rPr>
        <w:t xml:space="preserve"> </w:t>
      </w:r>
      <w:proofErr w:type="spellStart"/>
      <w:r w:rsidRPr="00E97057">
        <w:rPr>
          <w:color w:val="000000"/>
          <w:sz w:val="22"/>
          <w:szCs w:val="22"/>
        </w:rPr>
        <w:t>Novia</w:t>
      </w:r>
      <w:proofErr w:type="spellEnd"/>
      <w:r w:rsidRPr="00E97057">
        <w:rPr>
          <w:color w:val="000000"/>
          <w:sz w:val="22"/>
          <w:szCs w:val="22"/>
        </w:rPr>
        <w:t xml:space="preserve"> Wati</w:t>
      </w:r>
      <w:r w:rsidRPr="00E97057">
        <w:rPr>
          <w:color w:val="000000"/>
          <w:sz w:val="22"/>
          <w:szCs w:val="22"/>
          <w:vertAlign w:val="superscript"/>
        </w:rPr>
        <w:t>3</w:t>
      </w:r>
      <w:r w:rsidR="00E97057" w:rsidRPr="00E97057">
        <w:rPr>
          <w:color w:val="000000"/>
          <w:sz w:val="22"/>
          <w:szCs w:val="22"/>
        </w:rPr>
        <w:t>,</w:t>
      </w:r>
      <w:r w:rsidR="00E97057">
        <w:rPr>
          <w:color w:val="000000"/>
          <w:sz w:val="22"/>
          <w:szCs w:val="22"/>
        </w:rPr>
        <w:t xml:space="preserve"> </w:t>
      </w:r>
    </w:p>
    <w:p w14:paraId="11CE4A1F" w14:textId="38855961" w:rsidR="007108E9" w:rsidRPr="00E97057" w:rsidRDefault="00446DC8" w:rsidP="00E97057">
      <w:pPr>
        <w:pBdr>
          <w:top w:val="nil"/>
          <w:left w:val="nil"/>
          <w:bottom w:val="nil"/>
          <w:right w:val="nil"/>
          <w:between w:val="nil"/>
        </w:pBdr>
        <w:ind w:hanging="2"/>
        <w:jc w:val="center"/>
        <w:rPr>
          <w:color w:val="000000"/>
          <w:sz w:val="22"/>
          <w:szCs w:val="22"/>
        </w:rPr>
      </w:pPr>
      <w:r w:rsidRPr="00E97057">
        <w:rPr>
          <w:color w:val="000000"/>
          <w:sz w:val="22"/>
          <w:szCs w:val="22"/>
        </w:rPr>
        <w:t>Frankie Marcus Ata</w:t>
      </w:r>
      <w:r w:rsidRPr="00E97057">
        <w:rPr>
          <w:color w:val="000000"/>
          <w:sz w:val="22"/>
          <w:szCs w:val="22"/>
          <w:vertAlign w:val="superscript"/>
        </w:rPr>
        <w:t>1</w:t>
      </w:r>
    </w:p>
    <w:p w14:paraId="031CFF72" w14:textId="77777777" w:rsidR="007108E9" w:rsidRPr="00E97057" w:rsidRDefault="007108E9" w:rsidP="00E97057">
      <w:pPr>
        <w:pBdr>
          <w:top w:val="nil"/>
          <w:left w:val="nil"/>
          <w:bottom w:val="nil"/>
          <w:right w:val="nil"/>
          <w:between w:val="nil"/>
        </w:pBdr>
        <w:ind w:hanging="2"/>
        <w:jc w:val="center"/>
        <w:rPr>
          <w:color w:val="000000"/>
          <w:sz w:val="22"/>
          <w:szCs w:val="22"/>
        </w:rPr>
      </w:pPr>
    </w:p>
    <w:p w14:paraId="00D1C6E6" w14:textId="77777777" w:rsidR="00E97057" w:rsidRDefault="00C55DAE" w:rsidP="00E97057">
      <w:pPr>
        <w:ind w:hanging="2"/>
        <w:jc w:val="center"/>
        <w:rPr>
          <w:sz w:val="22"/>
          <w:szCs w:val="22"/>
          <w:lang w:val="en-GB"/>
        </w:rPr>
      </w:pPr>
      <w:r w:rsidRPr="00E97057">
        <w:rPr>
          <w:color w:val="000000"/>
          <w:sz w:val="22"/>
          <w:szCs w:val="22"/>
          <w:vertAlign w:val="superscript"/>
        </w:rPr>
        <w:t>1</w:t>
      </w:r>
      <w:r w:rsidR="00446DC8" w:rsidRPr="00E97057">
        <w:rPr>
          <w:sz w:val="22"/>
          <w:szCs w:val="22"/>
          <w:lang w:val="en-GB"/>
        </w:rPr>
        <w:t xml:space="preserve">Social, Environmental and Developmental Sustainability Research </w:t>
      </w:r>
      <w:proofErr w:type="spellStart"/>
      <w:r w:rsidR="00446DC8" w:rsidRPr="00E97057">
        <w:rPr>
          <w:sz w:val="22"/>
          <w:szCs w:val="22"/>
          <w:lang w:val="en-GB"/>
        </w:rPr>
        <w:t>Center</w:t>
      </w:r>
      <w:proofErr w:type="spellEnd"/>
      <w:r w:rsidR="00446DC8" w:rsidRPr="00E97057">
        <w:rPr>
          <w:sz w:val="22"/>
          <w:szCs w:val="22"/>
          <w:lang w:val="en-GB"/>
        </w:rPr>
        <w:t xml:space="preserve"> (SEEDS), </w:t>
      </w:r>
    </w:p>
    <w:p w14:paraId="4B919961" w14:textId="1D91E382" w:rsidR="00446DC8" w:rsidRPr="00E97057" w:rsidRDefault="00446DC8" w:rsidP="00E97057">
      <w:pPr>
        <w:ind w:hanging="2"/>
        <w:jc w:val="center"/>
        <w:rPr>
          <w:sz w:val="22"/>
          <w:szCs w:val="22"/>
          <w:lang w:val="en-GB"/>
        </w:rPr>
      </w:pPr>
      <w:r w:rsidRPr="00E97057">
        <w:rPr>
          <w:sz w:val="22"/>
          <w:szCs w:val="22"/>
          <w:lang w:val="en-GB"/>
        </w:rPr>
        <w:t xml:space="preserve">Faculty of Social Sciences and Humanities, </w:t>
      </w:r>
      <w:proofErr w:type="spellStart"/>
      <w:r w:rsidRPr="00E97057">
        <w:rPr>
          <w:sz w:val="22"/>
          <w:szCs w:val="22"/>
          <w:lang w:val="en-GB"/>
        </w:rPr>
        <w:t>Universiti</w:t>
      </w:r>
      <w:proofErr w:type="spellEnd"/>
      <w:r w:rsidRPr="00E97057">
        <w:rPr>
          <w:sz w:val="22"/>
          <w:szCs w:val="22"/>
          <w:lang w:val="en-GB"/>
        </w:rPr>
        <w:t xml:space="preserve"> </w:t>
      </w:r>
      <w:proofErr w:type="spellStart"/>
      <w:r w:rsidRPr="00E97057">
        <w:rPr>
          <w:sz w:val="22"/>
          <w:szCs w:val="22"/>
          <w:lang w:val="en-GB"/>
        </w:rPr>
        <w:t>Kebangsaan</w:t>
      </w:r>
      <w:proofErr w:type="spellEnd"/>
      <w:r w:rsidRPr="00E97057">
        <w:rPr>
          <w:sz w:val="22"/>
          <w:szCs w:val="22"/>
          <w:lang w:val="en-GB"/>
        </w:rPr>
        <w:t xml:space="preserve"> Malaysia</w:t>
      </w:r>
    </w:p>
    <w:p w14:paraId="752890AF" w14:textId="0BC04752" w:rsidR="00446DC8" w:rsidRPr="00E97057" w:rsidRDefault="00446DC8" w:rsidP="00E97057">
      <w:pPr>
        <w:spacing w:line="276" w:lineRule="auto"/>
        <w:ind w:hanging="2"/>
        <w:jc w:val="center"/>
        <w:rPr>
          <w:color w:val="000000"/>
          <w:sz w:val="22"/>
          <w:szCs w:val="22"/>
        </w:rPr>
      </w:pPr>
      <w:r w:rsidRPr="00E97057">
        <w:rPr>
          <w:color w:val="000000"/>
          <w:sz w:val="22"/>
          <w:szCs w:val="22"/>
          <w:vertAlign w:val="superscript"/>
        </w:rPr>
        <w:t xml:space="preserve"> </w:t>
      </w:r>
      <w:r w:rsidR="00C55DAE" w:rsidRPr="00E97057">
        <w:rPr>
          <w:color w:val="000000"/>
          <w:sz w:val="22"/>
          <w:szCs w:val="22"/>
          <w:vertAlign w:val="superscript"/>
        </w:rPr>
        <w:t>2</w:t>
      </w:r>
      <w:r w:rsidRPr="00E97057">
        <w:rPr>
          <w:color w:val="000000"/>
          <w:sz w:val="22"/>
          <w:szCs w:val="22"/>
        </w:rPr>
        <w:t>Faculty of Human Development, Universiti Pendidikan Sultan Idris (UPSI)</w:t>
      </w:r>
      <w:r w:rsidR="00D079BC" w:rsidRPr="00E97057">
        <w:rPr>
          <w:color w:val="000000"/>
          <w:sz w:val="22"/>
          <w:szCs w:val="22"/>
        </w:rPr>
        <w:br/>
      </w:r>
      <w:r w:rsidRPr="00E97057">
        <w:rPr>
          <w:color w:val="000000"/>
          <w:sz w:val="22"/>
          <w:szCs w:val="22"/>
          <w:vertAlign w:val="superscript"/>
        </w:rPr>
        <w:t>3</w:t>
      </w:r>
      <w:r w:rsidRPr="00E97057">
        <w:rPr>
          <w:color w:val="000000"/>
          <w:sz w:val="22"/>
          <w:szCs w:val="22"/>
        </w:rPr>
        <w:t>Faculty of Education and Psychology, Yogyakarta State University</w:t>
      </w:r>
    </w:p>
    <w:p w14:paraId="07942B29" w14:textId="77777777" w:rsidR="007108E9" w:rsidRPr="00E97057" w:rsidRDefault="007108E9" w:rsidP="00E97057">
      <w:pPr>
        <w:pBdr>
          <w:top w:val="nil"/>
          <w:left w:val="nil"/>
          <w:bottom w:val="nil"/>
          <w:right w:val="nil"/>
          <w:between w:val="nil"/>
        </w:pBdr>
        <w:ind w:hanging="2"/>
        <w:jc w:val="center"/>
        <w:rPr>
          <w:color w:val="000000"/>
          <w:sz w:val="22"/>
          <w:szCs w:val="22"/>
        </w:rPr>
      </w:pPr>
    </w:p>
    <w:p w14:paraId="5A4887B4" w14:textId="61EAE275" w:rsidR="007108E9" w:rsidRPr="00E97057" w:rsidRDefault="00C55DAE" w:rsidP="00E97057">
      <w:pPr>
        <w:pBdr>
          <w:top w:val="nil"/>
          <w:left w:val="nil"/>
          <w:bottom w:val="nil"/>
          <w:right w:val="nil"/>
          <w:between w:val="nil"/>
        </w:pBdr>
        <w:ind w:hanging="2"/>
        <w:jc w:val="center"/>
        <w:rPr>
          <w:color w:val="000000"/>
          <w:sz w:val="22"/>
          <w:szCs w:val="22"/>
        </w:rPr>
      </w:pPr>
      <w:r w:rsidRPr="00E97057">
        <w:rPr>
          <w:color w:val="000000"/>
          <w:sz w:val="22"/>
          <w:szCs w:val="22"/>
        </w:rPr>
        <w:t xml:space="preserve">Correspondence: </w:t>
      </w:r>
      <w:r w:rsidR="00D079BC" w:rsidRPr="00E97057">
        <w:rPr>
          <w:color w:val="000000"/>
          <w:sz w:val="22"/>
          <w:szCs w:val="22"/>
        </w:rPr>
        <w:t>See Too Kay Leng</w:t>
      </w:r>
      <w:r w:rsidRPr="00E97057">
        <w:rPr>
          <w:color w:val="000000"/>
          <w:sz w:val="22"/>
          <w:szCs w:val="22"/>
        </w:rPr>
        <w:t xml:space="preserve"> (email: </w:t>
      </w:r>
      <w:r w:rsidR="00D079BC" w:rsidRPr="00E97057">
        <w:rPr>
          <w:color w:val="000000"/>
          <w:sz w:val="22"/>
          <w:szCs w:val="22"/>
        </w:rPr>
        <w:t>cayleenst@gmail.com</w:t>
      </w:r>
      <w:r w:rsidRPr="00E97057">
        <w:rPr>
          <w:color w:val="000000"/>
          <w:sz w:val="22"/>
          <w:szCs w:val="22"/>
        </w:rPr>
        <w:t>)</w:t>
      </w:r>
    </w:p>
    <w:p w14:paraId="0BB295A2" w14:textId="77777777" w:rsidR="007108E9" w:rsidRPr="00E97057" w:rsidRDefault="007108E9" w:rsidP="00E97057">
      <w:pPr>
        <w:pBdr>
          <w:top w:val="nil"/>
          <w:left w:val="nil"/>
          <w:bottom w:val="nil"/>
          <w:right w:val="nil"/>
          <w:between w:val="nil"/>
        </w:pBdr>
        <w:ind w:hanging="2"/>
        <w:jc w:val="center"/>
        <w:rPr>
          <w:sz w:val="22"/>
          <w:szCs w:val="22"/>
        </w:rPr>
      </w:pPr>
    </w:p>
    <w:p w14:paraId="733EE2A0" w14:textId="6C159A92" w:rsidR="00E97057" w:rsidRPr="006E6B81" w:rsidRDefault="00E97057" w:rsidP="00E97057">
      <w:pPr>
        <w:rPr>
          <w:bCs/>
          <w:sz w:val="22"/>
          <w:szCs w:val="22"/>
        </w:rPr>
      </w:pPr>
      <w:r w:rsidRPr="006E6B81">
        <w:rPr>
          <w:bCs/>
          <w:sz w:val="22"/>
          <w:szCs w:val="22"/>
          <w:lang w:val="ms-MY"/>
        </w:rPr>
        <w:t xml:space="preserve">Received: </w:t>
      </w:r>
      <w:r>
        <w:rPr>
          <w:bCs/>
          <w:sz w:val="22"/>
          <w:szCs w:val="22"/>
          <w:lang w:val="ms-MY"/>
        </w:rPr>
        <w:t xml:space="preserve">16 July </w:t>
      </w:r>
      <w:r w:rsidRPr="006E6B81">
        <w:rPr>
          <w:bCs/>
          <w:sz w:val="22"/>
          <w:szCs w:val="22"/>
          <w:lang w:val="ms-MY"/>
        </w:rPr>
        <w:t>2024</w:t>
      </w:r>
      <w:r w:rsidRPr="006E6B81">
        <w:rPr>
          <w:bCs/>
          <w:sz w:val="22"/>
          <w:szCs w:val="22"/>
          <w:lang w:val="en-GB"/>
        </w:rPr>
        <w:t>; Accepted:</w:t>
      </w:r>
      <w:r w:rsidRPr="006E6B81">
        <w:rPr>
          <w:bCs/>
          <w:sz w:val="22"/>
          <w:szCs w:val="22"/>
          <w:lang w:val="ms-MY"/>
        </w:rPr>
        <w:t xml:space="preserve"> </w:t>
      </w:r>
      <w:r>
        <w:rPr>
          <w:bCs/>
          <w:sz w:val="22"/>
          <w:szCs w:val="22"/>
          <w:lang w:val="ms-MY"/>
        </w:rPr>
        <w:t>6</w:t>
      </w:r>
      <w:r w:rsidRPr="006E6B81">
        <w:rPr>
          <w:bCs/>
          <w:sz w:val="22"/>
          <w:szCs w:val="22"/>
          <w:lang w:val="ms-MY"/>
        </w:rPr>
        <w:t xml:space="preserve"> </w:t>
      </w:r>
      <w:r w:rsidRPr="006E6B81">
        <w:rPr>
          <w:bCs/>
          <w:sz w:val="22"/>
          <w:szCs w:val="22"/>
        </w:rPr>
        <w:t>February 2025</w:t>
      </w:r>
      <w:r w:rsidRPr="006E6B81">
        <w:rPr>
          <w:bCs/>
          <w:sz w:val="22"/>
          <w:szCs w:val="22"/>
          <w:lang w:val="en-GB"/>
        </w:rPr>
        <w:t xml:space="preserve">; Published: </w:t>
      </w:r>
      <w:r w:rsidR="002631B8">
        <w:rPr>
          <w:bCs/>
          <w:sz w:val="22"/>
          <w:szCs w:val="22"/>
        </w:rPr>
        <w:t>14</w:t>
      </w:r>
      <w:r w:rsidRPr="006E6B81">
        <w:rPr>
          <w:bCs/>
          <w:sz w:val="22"/>
          <w:szCs w:val="22"/>
        </w:rPr>
        <w:t xml:space="preserve"> February 2025</w:t>
      </w:r>
    </w:p>
    <w:p w14:paraId="25DC62B3" w14:textId="77777777" w:rsidR="007108E9" w:rsidRPr="00E97057" w:rsidRDefault="007108E9" w:rsidP="00E97057">
      <w:pPr>
        <w:pBdr>
          <w:top w:val="nil"/>
          <w:left w:val="nil"/>
          <w:bottom w:val="nil"/>
          <w:right w:val="nil"/>
          <w:between w:val="nil"/>
        </w:pBdr>
        <w:ind w:hanging="2"/>
        <w:jc w:val="both"/>
        <w:rPr>
          <w:color w:val="000000"/>
          <w:sz w:val="22"/>
          <w:szCs w:val="22"/>
        </w:rPr>
      </w:pPr>
    </w:p>
    <w:p w14:paraId="12C33590" w14:textId="77777777" w:rsidR="007108E9" w:rsidRPr="00E97057" w:rsidRDefault="00C55DAE" w:rsidP="00E97057">
      <w:pPr>
        <w:pBdr>
          <w:top w:val="nil"/>
          <w:left w:val="nil"/>
          <w:bottom w:val="nil"/>
          <w:right w:val="nil"/>
          <w:between w:val="nil"/>
        </w:pBdr>
        <w:ind w:hanging="2"/>
        <w:jc w:val="both"/>
        <w:rPr>
          <w:color w:val="000000"/>
          <w:sz w:val="22"/>
          <w:szCs w:val="22"/>
        </w:rPr>
      </w:pPr>
      <w:r w:rsidRPr="00E97057">
        <w:rPr>
          <w:b/>
          <w:color w:val="000000"/>
          <w:sz w:val="22"/>
          <w:szCs w:val="22"/>
        </w:rPr>
        <w:t xml:space="preserve"> </w:t>
      </w:r>
    </w:p>
    <w:p w14:paraId="65EA8231" w14:textId="328C3D5F" w:rsidR="007108E9" w:rsidRPr="00D079BC" w:rsidRDefault="00C55DAE" w:rsidP="00D079BC">
      <w:pPr>
        <w:pBdr>
          <w:top w:val="nil"/>
          <w:left w:val="nil"/>
          <w:bottom w:val="nil"/>
          <w:right w:val="nil"/>
          <w:between w:val="nil"/>
        </w:pBdr>
        <w:ind w:hanging="2"/>
        <w:jc w:val="both"/>
        <w:rPr>
          <w:color w:val="000000"/>
        </w:rPr>
      </w:pPr>
      <w:r w:rsidRPr="00D079BC">
        <w:rPr>
          <w:b/>
          <w:color w:val="000000"/>
        </w:rPr>
        <w:t xml:space="preserve">Abstract  </w:t>
      </w:r>
    </w:p>
    <w:p w14:paraId="70918A6F" w14:textId="77777777" w:rsidR="007108E9" w:rsidRPr="00D079BC" w:rsidRDefault="00C55DAE" w:rsidP="00D079BC">
      <w:pPr>
        <w:pBdr>
          <w:top w:val="nil"/>
          <w:left w:val="nil"/>
          <w:bottom w:val="nil"/>
          <w:right w:val="nil"/>
          <w:between w:val="nil"/>
        </w:pBdr>
        <w:ind w:hanging="2"/>
        <w:jc w:val="both"/>
        <w:rPr>
          <w:color w:val="000000"/>
        </w:rPr>
      </w:pPr>
      <w:r w:rsidRPr="00D079BC">
        <w:rPr>
          <w:b/>
          <w:color w:val="000000"/>
        </w:rPr>
        <w:t xml:space="preserve"> </w:t>
      </w:r>
    </w:p>
    <w:p w14:paraId="3DF1AA9F" w14:textId="6C57E4B7" w:rsidR="00F63F36" w:rsidRPr="00D079BC" w:rsidRDefault="00F63F36" w:rsidP="00D079BC">
      <w:pPr>
        <w:pBdr>
          <w:top w:val="nil"/>
          <w:left w:val="nil"/>
          <w:bottom w:val="nil"/>
          <w:right w:val="nil"/>
          <w:between w:val="nil"/>
        </w:pBdr>
        <w:ind w:hanging="2"/>
        <w:jc w:val="both"/>
        <w:rPr>
          <w:color w:val="000000"/>
          <w:lang w:val="en-GB"/>
        </w:rPr>
      </w:pPr>
      <w:r w:rsidRPr="00D079BC">
        <w:rPr>
          <w:color w:val="000000"/>
          <w:lang w:val="en-GB"/>
        </w:rPr>
        <w:t>Since flood disasters bring significant consequences to communities, it is essential to identify effective ways to reduce flood risks. This study aims to develop a flood hazard map for the Kelantan floodplain using a two-dimensional hydraulic modelling technique, integrating HEC-RAS and ArcGIS. Findings indicate that the Kelantan floodplain is highly exposed to severe flood hazards, with a 200-year return period discharge of 17,278.7 m³/s. The results show that high-impact areas will experience severe consequences, such as house demolitions, financial losses, and psychological trauma. This study not only analyses past flood events but also predicts future flood risk zones. The findings are crucial for enhancing community preparedness by providing a comprehensive flood hazard map, which can assist in pre-disaster planning, disaster response, and post-disaster recovery to help sustain community well-being.</w:t>
      </w:r>
    </w:p>
    <w:p w14:paraId="22E225C7" w14:textId="531A95CD" w:rsidR="007108E9" w:rsidRPr="00D079BC" w:rsidRDefault="00C55DAE" w:rsidP="00D079BC">
      <w:pPr>
        <w:pBdr>
          <w:top w:val="nil"/>
          <w:left w:val="nil"/>
          <w:bottom w:val="nil"/>
          <w:right w:val="nil"/>
          <w:between w:val="nil"/>
        </w:pBdr>
        <w:ind w:hanging="2"/>
        <w:jc w:val="both"/>
        <w:rPr>
          <w:color w:val="000000"/>
        </w:rPr>
      </w:pPr>
      <w:r w:rsidRPr="00D079BC">
        <w:rPr>
          <w:b/>
          <w:color w:val="000000"/>
        </w:rPr>
        <w:t xml:space="preserve"> </w:t>
      </w:r>
    </w:p>
    <w:p w14:paraId="055F478E" w14:textId="37766EC4" w:rsidR="00446DC8" w:rsidRPr="00D079BC" w:rsidRDefault="00C55DAE" w:rsidP="00D079BC">
      <w:pPr>
        <w:pBdr>
          <w:top w:val="nil"/>
          <w:left w:val="nil"/>
          <w:bottom w:val="nil"/>
          <w:right w:val="nil"/>
          <w:between w:val="nil"/>
        </w:pBdr>
        <w:ind w:hanging="2"/>
        <w:jc w:val="both"/>
        <w:rPr>
          <w:bCs/>
          <w:color w:val="000000"/>
          <w:lang w:val="en-GB"/>
        </w:rPr>
      </w:pPr>
      <w:bookmarkStart w:id="0" w:name="_heading=h.gjdgxs" w:colFirst="0" w:colLast="0"/>
      <w:bookmarkEnd w:id="0"/>
      <w:r w:rsidRPr="00D079BC">
        <w:rPr>
          <w:b/>
          <w:color w:val="000000"/>
        </w:rPr>
        <w:t xml:space="preserve">Keywords: </w:t>
      </w:r>
      <w:r w:rsidR="00594EF8">
        <w:rPr>
          <w:bCs/>
          <w:color w:val="000000"/>
          <w:lang w:val="en-GB"/>
        </w:rPr>
        <w:t>C</w:t>
      </w:r>
      <w:r w:rsidR="00594EF8" w:rsidRPr="00D079BC">
        <w:rPr>
          <w:bCs/>
          <w:color w:val="000000"/>
          <w:lang w:val="en-GB"/>
        </w:rPr>
        <w:t>ommunity resilience, disaster risk management, disaster risk reduction, flood disaster, hydraulic modelling, sustainability development</w:t>
      </w:r>
    </w:p>
    <w:p w14:paraId="6BFAC695" w14:textId="5F2988A9" w:rsidR="007108E9" w:rsidRPr="00D079BC" w:rsidRDefault="00C55DAE" w:rsidP="00D079BC">
      <w:pPr>
        <w:pBdr>
          <w:top w:val="nil"/>
          <w:left w:val="nil"/>
          <w:bottom w:val="nil"/>
          <w:right w:val="nil"/>
          <w:between w:val="nil"/>
        </w:pBdr>
        <w:ind w:hanging="2"/>
        <w:jc w:val="both"/>
        <w:rPr>
          <w:color w:val="000000"/>
        </w:rPr>
      </w:pPr>
      <w:r w:rsidRPr="00D079BC">
        <w:rPr>
          <w:b/>
          <w:color w:val="000000"/>
        </w:rPr>
        <w:t xml:space="preserve"> </w:t>
      </w:r>
    </w:p>
    <w:p w14:paraId="5C406E66" w14:textId="20D863B2" w:rsidR="00476085" w:rsidRPr="00594EF8" w:rsidRDefault="00C55DAE" w:rsidP="00594EF8">
      <w:pPr>
        <w:pBdr>
          <w:top w:val="nil"/>
          <w:left w:val="nil"/>
          <w:bottom w:val="nil"/>
          <w:right w:val="nil"/>
          <w:between w:val="nil"/>
        </w:pBdr>
        <w:ind w:hanging="2"/>
        <w:jc w:val="both"/>
        <w:rPr>
          <w:color w:val="000000"/>
        </w:rPr>
      </w:pPr>
      <w:r w:rsidRPr="00D079BC">
        <w:rPr>
          <w:b/>
          <w:color w:val="000000"/>
        </w:rPr>
        <w:t xml:space="preserve"> </w:t>
      </w:r>
    </w:p>
    <w:p w14:paraId="639FBDD4" w14:textId="100B5B38" w:rsidR="00476085" w:rsidRPr="00D079BC" w:rsidRDefault="00C55DAE" w:rsidP="00D079BC">
      <w:pPr>
        <w:pBdr>
          <w:top w:val="nil"/>
          <w:left w:val="nil"/>
          <w:bottom w:val="nil"/>
          <w:right w:val="nil"/>
          <w:between w:val="nil"/>
        </w:pBdr>
        <w:ind w:hanging="2"/>
        <w:jc w:val="both"/>
        <w:rPr>
          <w:b/>
          <w:color w:val="000000"/>
        </w:rPr>
      </w:pPr>
      <w:r w:rsidRPr="00D079BC">
        <w:rPr>
          <w:b/>
          <w:color w:val="000000"/>
        </w:rPr>
        <w:t xml:space="preserve">Introduction </w:t>
      </w:r>
    </w:p>
    <w:p w14:paraId="1EB71E0E" w14:textId="77777777" w:rsidR="00B515FE" w:rsidRPr="00D079BC" w:rsidRDefault="00B515FE" w:rsidP="00D079BC">
      <w:pPr>
        <w:pBdr>
          <w:top w:val="nil"/>
          <w:left w:val="nil"/>
          <w:bottom w:val="nil"/>
          <w:right w:val="nil"/>
          <w:between w:val="nil"/>
        </w:pBdr>
        <w:ind w:hanging="2"/>
        <w:jc w:val="both"/>
        <w:rPr>
          <w:b/>
          <w:color w:val="000000"/>
        </w:rPr>
      </w:pPr>
    </w:p>
    <w:p w14:paraId="244F54F7" w14:textId="236E7AE5" w:rsidR="001D35A6" w:rsidRPr="00D079BC" w:rsidRDefault="001D35A6" w:rsidP="00D079BC">
      <w:pPr>
        <w:pBdr>
          <w:top w:val="nil"/>
          <w:left w:val="nil"/>
          <w:bottom w:val="nil"/>
          <w:right w:val="nil"/>
          <w:between w:val="nil"/>
        </w:pBdr>
        <w:ind w:hanging="2"/>
        <w:jc w:val="both"/>
        <w:rPr>
          <w:bCs/>
          <w:color w:val="000000"/>
        </w:rPr>
      </w:pPr>
      <w:r w:rsidRPr="00D079BC">
        <w:rPr>
          <w:bCs/>
          <w:color w:val="000000"/>
        </w:rPr>
        <w:t>Flooding is a significant environmental hazard, and Kelantan, a state in Malaysia, experiences some of the most severe flood events in the country. The region's susceptibility to floods is attributed to its geographic and climatic conditions, which are characterized by two main monsoon seasons: from November to February and from May to September (</w:t>
      </w:r>
      <w:proofErr w:type="spellStart"/>
      <w:r w:rsidRPr="00D079BC">
        <w:rPr>
          <w:bCs/>
          <w:color w:val="000000"/>
        </w:rPr>
        <w:t>Mohd</w:t>
      </w:r>
      <w:proofErr w:type="spellEnd"/>
      <w:r w:rsidRPr="00D079BC">
        <w:rPr>
          <w:bCs/>
          <w:color w:val="000000"/>
        </w:rPr>
        <w:t xml:space="preserve"> </w:t>
      </w:r>
      <w:proofErr w:type="spellStart"/>
      <w:r w:rsidRPr="00D079BC">
        <w:rPr>
          <w:bCs/>
          <w:color w:val="000000"/>
        </w:rPr>
        <w:t>Ekhwan</w:t>
      </w:r>
      <w:proofErr w:type="spellEnd"/>
      <w:r w:rsidRPr="00D079BC">
        <w:rPr>
          <w:bCs/>
          <w:color w:val="000000"/>
        </w:rPr>
        <w:t>, 1998). These periods bring heavy rainfall, causing rivers to overflow and inundate low-lying areas. This phenomenon has led to severe consequences, including loss of life, displacement of people, and damage to infrastructure and property (See Too et al., 2023). The December 2014 floods were particularly catastrophic, affecting over 200,000 people and causing damages exceeding RM 2 billion (Department of Irrigation and Drainage Malaysia, 2022).</w:t>
      </w:r>
    </w:p>
    <w:p w14:paraId="1F55B280" w14:textId="6FB0ABFC" w:rsidR="001D35A6" w:rsidRPr="00D079BC" w:rsidRDefault="001D35A6" w:rsidP="00D079BC">
      <w:pPr>
        <w:pBdr>
          <w:top w:val="nil"/>
          <w:left w:val="nil"/>
          <w:bottom w:val="nil"/>
          <w:right w:val="nil"/>
          <w:between w:val="nil"/>
        </w:pBdr>
        <w:ind w:hanging="2"/>
        <w:jc w:val="both"/>
        <w:rPr>
          <w:bCs/>
          <w:color w:val="000000"/>
        </w:rPr>
      </w:pPr>
      <w:r w:rsidRPr="00D079BC">
        <w:rPr>
          <w:bCs/>
          <w:color w:val="000000"/>
        </w:rPr>
        <w:tab/>
      </w:r>
      <w:r w:rsidRPr="00D079BC">
        <w:rPr>
          <w:bCs/>
          <w:color w:val="000000"/>
        </w:rPr>
        <w:tab/>
        <w:t xml:space="preserve">Existing literature highlights the multifaceted impact of floods, ranging from economic losses to social and infrastructural disruptions. Lim et al. (2015), Wan </w:t>
      </w:r>
      <w:proofErr w:type="spellStart"/>
      <w:r w:rsidRPr="00D079BC">
        <w:rPr>
          <w:bCs/>
          <w:color w:val="000000"/>
        </w:rPr>
        <w:t>Ruslan</w:t>
      </w:r>
      <w:proofErr w:type="spellEnd"/>
      <w:r w:rsidRPr="00D079BC">
        <w:rPr>
          <w:bCs/>
          <w:color w:val="000000"/>
        </w:rPr>
        <w:t xml:space="preserve"> (2010), and </w:t>
      </w:r>
      <w:proofErr w:type="spellStart"/>
      <w:r w:rsidRPr="00D079BC">
        <w:rPr>
          <w:bCs/>
          <w:color w:val="000000"/>
        </w:rPr>
        <w:t>Mohd</w:t>
      </w:r>
      <w:proofErr w:type="spellEnd"/>
      <w:r w:rsidRPr="00D079BC">
        <w:rPr>
          <w:bCs/>
          <w:color w:val="000000"/>
        </w:rPr>
        <w:t xml:space="preserve"> </w:t>
      </w:r>
      <w:proofErr w:type="spellStart"/>
      <w:r w:rsidRPr="00D079BC">
        <w:rPr>
          <w:bCs/>
          <w:color w:val="000000"/>
        </w:rPr>
        <w:t>Ekhwan</w:t>
      </w:r>
      <w:proofErr w:type="spellEnd"/>
      <w:r w:rsidRPr="00D079BC">
        <w:rPr>
          <w:bCs/>
          <w:color w:val="000000"/>
        </w:rPr>
        <w:t xml:space="preserve"> (1998) discuss the basic dynamics of flood hazards, emphasizing the role of heavy rainfall </w:t>
      </w:r>
      <w:r w:rsidRPr="00D079BC">
        <w:rPr>
          <w:bCs/>
          <w:color w:val="000000"/>
        </w:rPr>
        <w:lastRenderedPageBreak/>
        <w:t xml:space="preserve">and water overflow from rivers, lakes, or oceans. However, these studies often lack a detailed exploration of the underlying causes and mitigation strategies specific to regions like Kelantan. </w:t>
      </w:r>
    </w:p>
    <w:p w14:paraId="359CF9ED" w14:textId="46D856D7" w:rsidR="001D35A6" w:rsidRPr="00D079BC" w:rsidRDefault="001D35A6" w:rsidP="00D079BC">
      <w:pPr>
        <w:pBdr>
          <w:top w:val="nil"/>
          <w:left w:val="nil"/>
          <w:bottom w:val="nil"/>
          <w:right w:val="nil"/>
          <w:between w:val="nil"/>
        </w:pBdr>
        <w:ind w:hanging="2"/>
        <w:jc w:val="both"/>
        <w:rPr>
          <w:bCs/>
          <w:color w:val="000000"/>
        </w:rPr>
      </w:pPr>
      <w:r w:rsidRPr="00D079BC">
        <w:rPr>
          <w:bCs/>
          <w:color w:val="000000"/>
        </w:rPr>
        <w:tab/>
      </w:r>
      <w:r w:rsidRPr="00D079BC">
        <w:rPr>
          <w:bCs/>
          <w:color w:val="000000"/>
        </w:rPr>
        <w:tab/>
        <w:t>Kelantan’s topography, characterized by hills and mountains, significantly influences water flow during heavy rainfall, exacerbating flood risks. The state's dense forest cover contributes to soil erosion and sediment build-up in rivers, further increasing flood vulnerability (Wan Ruslan, 2017). The 2014 floods underscored the urgent need for effective flood management, highlighting deficiencies in existing infrastructure and emergency response systems. Despite various measures taken by the government and local communities, such as constructing levees, implementing flood warning systems, and developing emergency response plans, the recurrence of severe floods indicates persistent challenges (Siti Sabariah et al., 2021).</w:t>
      </w:r>
    </w:p>
    <w:p w14:paraId="0155B7B6" w14:textId="74884839" w:rsidR="001D35A6" w:rsidRPr="00D079BC" w:rsidRDefault="001D35A6" w:rsidP="00D079BC">
      <w:pPr>
        <w:pBdr>
          <w:top w:val="nil"/>
          <w:left w:val="nil"/>
          <w:bottom w:val="nil"/>
          <w:right w:val="nil"/>
          <w:between w:val="nil"/>
        </w:pBdr>
        <w:ind w:hanging="2"/>
        <w:jc w:val="both"/>
        <w:rPr>
          <w:bCs/>
          <w:color w:val="000000"/>
        </w:rPr>
      </w:pPr>
      <w:r w:rsidRPr="00D079BC">
        <w:rPr>
          <w:bCs/>
          <w:color w:val="000000"/>
        </w:rPr>
        <w:tab/>
      </w:r>
      <w:r w:rsidRPr="00D079BC">
        <w:rPr>
          <w:bCs/>
          <w:color w:val="000000"/>
        </w:rPr>
        <w:tab/>
        <w:t xml:space="preserve">Kelantan's flood mitigation efforts are significantly hindered by the absence of detailed flood maps for specific areas, leading to inadequate preparedness and response strategies. For instance, a study focusing on </w:t>
      </w:r>
      <w:proofErr w:type="spellStart"/>
      <w:r w:rsidRPr="00D079BC">
        <w:rPr>
          <w:bCs/>
          <w:color w:val="000000"/>
        </w:rPr>
        <w:t>Pasir</w:t>
      </w:r>
      <w:proofErr w:type="spellEnd"/>
      <w:r w:rsidRPr="00D079BC">
        <w:rPr>
          <w:bCs/>
          <w:color w:val="000000"/>
        </w:rPr>
        <w:t xml:space="preserve"> Mas, Kelantan, highlighted the difficulty in identifying flood-vulnerable zones due to a lack of comprehensive information (Muhamad Azahar, 2020). This deficiency hampers effective communication of flood risks, results in unplanned developments, and contributes to insufficient drainage systems, thereby exacerbating the impact of floods in the region. </w:t>
      </w:r>
    </w:p>
    <w:p w14:paraId="62F5ECE8" w14:textId="2B47B5E8" w:rsidR="001D35A6" w:rsidRPr="00D079BC" w:rsidRDefault="001D35A6" w:rsidP="00D079BC">
      <w:pPr>
        <w:pBdr>
          <w:top w:val="nil"/>
          <w:left w:val="nil"/>
          <w:bottom w:val="nil"/>
          <w:right w:val="nil"/>
          <w:between w:val="nil"/>
        </w:pBdr>
        <w:ind w:hanging="2"/>
        <w:jc w:val="both"/>
        <w:rPr>
          <w:bCs/>
          <w:color w:val="000000"/>
        </w:rPr>
      </w:pPr>
      <w:r w:rsidRPr="00D079BC">
        <w:rPr>
          <w:bCs/>
          <w:color w:val="000000"/>
        </w:rPr>
        <w:tab/>
      </w:r>
      <w:r w:rsidRPr="00D079BC">
        <w:rPr>
          <w:bCs/>
          <w:color w:val="000000"/>
        </w:rPr>
        <w:tab/>
        <w:t>Moreover, the absence of accurate flood extent data during significant flood events poses a substantial challenge for effective flood management. The severe floods in Peninsular Malaysia during 2021-2022, which displaced over 20,000 people and resulted in two deaths in Kelantan, underscored this issue</w:t>
      </w:r>
      <w:r w:rsidR="001552D1" w:rsidRPr="00D079BC">
        <w:rPr>
          <w:bCs/>
          <w:color w:val="000000"/>
        </w:rPr>
        <w:t xml:space="preserve"> (Haziq et al., 2023)</w:t>
      </w:r>
      <w:r w:rsidRPr="00D079BC">
        <w:rPr>
          <w:bCs/>
          <w:color w:val="000000"/>
        </w:rPr>
        <w:t>. The lack of access to affected areas during such events makes it difficult to gather crucial information, further complicating mitigation efforts.</w:t>
      </w:r>
    </w:p>
    <w:p w14:paraId="5178E4B4" w14:textId="245F263E" w:rsidR="001D35A6" w:rsidRPr="00D079BC" w:rsidRDefault="001D35A6" w:rsidP="00D079BC">
      <w:pPr>
        <w:pBdr>
          <w:top w:val="nil"/>
          <w:left w:val="nil"/>
          <w:bottom w:val="nil"/>
          <w:right w:val="nil"/>
          <w:between w:val="nil"/>
        </w:pBdr>
        <w:ind w:hanging="2"/>
        <w:jc w:val="both"/>
        <w:rPr>
          <w:bCs/>
          <w:color w:val="000000"/>
        </w:rPr>
      </w:pPr>
      <w:r w:rsidRPr="00D079BC">
        <w:rPr>
          <w:bCs/>
          <w:color w:val="000000"/>
        </w:rPr>
        <w:tab/>
      </w:r>
      <w:r w:rsidRPr="00D079BC">
        <w:rPr>
          <w:bCs/>
          <w:color w:val="000000"/>
        </w:rPr>
        <w:tab/>
      </w:r>
      <w:r w:rsidR="00B77E11" w:rsidRPr="00D079BC">
        <w:rPr>
          <w:bCs/>
          <w:color w:val="000000"/>
        </w:rPr>
        <w:t>Hence, this study aims to develop flood maps for return periods ranging from 2 to 100 years to identify potential flood-prone areas. Flood hazard mapping is a critical tool for understanding and mitigating flood risks. By creating detailed maps that illustrate the likelihood of flooding based on topography, rainfall, and water flow patterns, communities can make informed decisions about land use, emergency response, and flood protection measures (Tan et al., 2021). These maps help guide infrastructure placement, influence insurance policies, and educate the public on flood preparedness.</w:t>
      </w:r>
    </w:p>
    <w:p w14:paraId="714AE40C" w14:textId="77777777" w:rsidR="00B77E11" w:rsidRDefault="00B77E11" w:rsidP="008449A1">
      <w:pPr>
        <w:pBdr>
          <w:top w:val="nil"/>
          <w:left w:val="nil"/>
          <w:bottom w:val="nil"/>
          <w:right w:val="nil"/>
          <w:between w:val="nil"/>
        </w:pBdr>
        <w:jc w:val="both"/>
        <w:rPr>
          <w:color w:val="000000"/>
        </w:rPr>
      </w:pPr>
    </w:p>
    <w:p w14:paraId="47FF5444" w14:textId="77777777" w:rsidR="008449A1" w:rsidRPr="00D079BC" w:rsidRDefault="008449A1" w:rsidP="008449A1">
      <w:pPr>
        <w:pBdr>
          <w:top w:val="nil"/>
          <w:left w:val="nil"/>
          <w:bottom w:val="nil"/>
          <w:right w:val="nil"/>
          <w:between w:val="nil"/>
        </w:pBdr>
        <w:jc w:val="both"/>
        <w:rPr>
          <w:color w:val="000000"/>
        </w:rPr>
      </w:pPr>
    </w:p>
    <w:p w14:paraId="6AFFE3BC" w14:textId="58806A3F" w:rsidR="007108E9" w:rsidRPr="00D079BC" w:rsidRDefault="00C55DAE" w:rsidP="00D079BC">
      <w:pPr>
        <w:pBdr>
          <w:top w:val="nil"/>
          <w:left w:val="nil"/>
          <w:bottom w:val="nil"/>
          <w:right w:val="nil"/>
          <w:between w:val="nil"/>
        </w:pBdr>
        <w:ind w:hanging="2"/>
        <w:jc w:val="both"/>
        <w:rPr>
          <w:color w:val="000000"/>
        </w:rPr>
      </w:pPr>
      <w:r w:rsidRPr="00D079BC">
        <w:rPr>
          <w:b/>
          <w:color w:val="000000"/>
        </w:rPr>
        <w:t xml:space="preserve">Literature review  </w:t>
      </w:r>
    </w:p>
    <w:p w14:paraId="0EF8A060" w14:textId="460E3149" w:rsidR="0025176F" w:rsidRPr="00D079BC" w:rsidRDefault="00C55DAE" w:rsidP="00D079BC">
      <w:pPr>
        <w:pBdr>
          <w:top w:val="nil"/>
          <w:left w:val="nil"/>
          <w:bottom w:val="nil"/>
          <w:right w:val="nil"/>
          <w:between w:val="nil"/>
        </w:pBdr>
        <w:ind w:hanging="2"/>
        <w:jc w:val="both"/>
        <w:rPr>
          <w:b/>
          <w:color w:val="000000"/>
        </w:rPr>
      </w:pPr>
      <w:r w:rsidRPr="00D079BC">
        <w:rPr>
          <w:b/>
          <w:color w:val="000000"/>
        </w:rPr>
        <w:t xml:space="preserve"> </w:t>
      </w:r>
    </w:p>
    <w:p w14:paraId="5BAB5747" w14:textId="7B29D89B" w:rsidR="0025176F" w:rsidRPr="00D079BC" w:rsidRDefault="0025176F" w:rsidP="00D079BC">
      <w:pPr>
        <w:pBdr>
          <w:top w:val="nil"/>
          <w:left w:val="nil"/>
          <w:bottom w:val="nil"/>
          <w:right w:val="nil"/>
          <w:between w:val="nil"/>
        </w:pBdr>
        <w:ind w:hanging="2"/>
        <w:jc w:val="both"/>
        <w:rPr>
          <w:color w:val="000000"/>
        </w:rPr>
      </w:pPr>
      <w:r w:rsidRPr="00D079BC">
        <w:rPr>
          <w:color w:val="000000"/>
        </w:rPr>
        <w:t>These case studies highlight the importance of advanced hydraulic modeling techniques in flood risk management across various geographical and climatic contexts. However, Malaysia lacks high-resolution Digital Elevation Models (DEMs) and satellite imagery, making it challenging for authorities to develop accurate flood maps.</w:t>
      </w:r>
      <w:r w:rsidR="00BF605E">
        <w:rPr>
          <w:color w:val="000000"/>
        </w:rPr>
        <w:t xml:space="preserve"> </w:t>
      </w:r>
      <w:r w:rsidR="00BF605E" w:rsidRPr="00D079BC">
        <w:rPr>
          <w:color w:val="000000"/>
        </w:rPr>
        <w:t>Floodplain hazard mapping is a critical tool in flood risk management, enabling authorities to identify at-risk areas and implement appropriate mitigation measures. Accurate floodplain maps rely on advanced hydraulic modeling techniques, which help simulate flood extents and depths based on topography, rainfall, and hydrological parameters. These maps are essential for urban planning, emergency response, and infrastructure development, providing stakeholders with valuable insights for decision-making. Traditional flood mapping methods often relied on historical flood data and simple hydraulic models, which could be less predictive of future flood scenarios.</w:t>
      </w:r>
    </w:p>
    <w:p w14:paraId="68F86D38" w14:textId="2DBF6183" w:rsidR="003752AA" w:rsidRPr="00D079BC" w:rsidRDefault="0025176F" w:rsidP="00D079BC">
      <w:pPr>
        <w:pBdr>
          <w:top w:val="nil"/>
          <w:left w:val="nil"/>
          <w:bottom w:val="nil"/>
          <w:right w:val="nil"/>
          <w:between w:val="nil"/>
        </w:pBdr>
        <w:ind w:hanging="2"/>
        <w:jc w:val="both"/>
        <w:rPr>
          <w:color w:val="000000"/>
        </w:rPr>
      </w:pPr>
      <w:r w:rsidRPr="00D079BC">
        <w:rPr>
          <w:color w:val="000000"/>
        </w:rPr>
        <w:tab/>
      </w:r>
      <w:r w:rsidRPr="00D079BC">
        <w:rPr>
          <w:color w:val="000000"/>
        </w:rPr>
        <w:tab/>
      </w:r>
      <w:r w:rsidR="003752AA" w:rsidRPr="00D079BC">
        <w:rPr>
          <w:color w:val="000000"/>
        </w:rPr>
        <w:t xml:space="preserve">The use of two-dimensional (2D) hydraulic modeling has gained traction in floodplain studies due to its ability to provide detailed flood simulations. However, challenges such as high </w:t>
      </w:r>
      <w:r w:rsidR="003752AA" w:rsidRPr="00D079BC">
        <w:rPr>
          <w:color w:val="000000"/>
        </w:rPr>
        <w:lastRenderedPageBreak/>
        <w:t>computational demands and data quality limitations persist. The accuracy of floodplain maps depends on reliable input data, including topography, land use, and hydrological parameters. Future research should focus on integrating real-time data and enhancing computational efficiency to improve large-scale floodplain mapping.</w:t>
      </w:r>
    </w:p>
    <w:p w14:paraId="40662DA9" w14:textId="0C306E72" w:rsidR="003752AA" w:rsidRPr="00D079BC" w:rsidRDefault="003752AA" w:rsidP="00D079BC">
      <w:pPr>
        <w:pBdr>
          <w:top w:val="nil"/>
          <w:left w:val="nil"/>
          <w:bottom w:val="nil"/>
          <w:right w:val="nil"/>
          <w:between w:val="nil"/>
        </w:pBdr>
        <w:ind w:hanging="2"/>
        <w:jc w:val="both"/>
        <w:rPr>
          <w:color w:val="000000"/>
        </w:rPr>
      </w:pPr>
      <w:r w:rsidRPr="00D079BC">
        <w:rPr>
          <w:color w:val="000000"/>
        </w:rPr>
        <w:tab/>
      </w:r>
      <w:r w:rsidRPr="00D079BC">
        <w:rPr>
          <w:color w:val="000000"/>
        </w:rPr>
        <w:tab/>
        <w:t>In Malaysia, floodplain mapping has become increasingly important due to frequent and severe flooding events. The Kelantan River basin, for instance, is highly susceptible to monsoon-induced floods, causing significant economic and social impacts. Studies by Zakaria et al. (2013) and Shafie et al. (2014) have utilized hydraulic models to simulate flood scenarios in the Kelantan floodplain, offering valuable insights into flood dynamics and potential mitigation strategies. Similarly, Abdullah et al. (2015) applied hydraulic modeling in the Pahang River basin, demonstrating its effectiveness in simulating flood inundation and supporting flood hazard assessment.</w:t>
      </w:r>
    </w:p>
    <w:p w14:paraId="1EE786CD" w14:textId="1A7AAF54" w:rsidR="00BF605E" w:rsidRPr="00D079BC" w:rsidRDefault="003752AA" w:rsidP="00BF605E">
      <w:pPr>
        <w:pBdr>
          <w:top w:val="nil"/>
          <w:left w:val="nil"/>
          <w:bottom w:val="nil"/>
          <w:right w:val="nil"/>
          <w:between w:val="nil"/>
        </w:pBdr>
        <w:jc w:val="both"/>
        <w:rPr>
          <w:color w:val="000000"/>
        </w:rPr>
      </w:pPr>
      <w:r w:rsidRPr="00D079BC">
        <w:rPr>
          <w:color w:val="000000"/>
        </w:rPr>
        <w:tab/>
        <w:t>Internationally, Teng et al. (2017) used a 2D flood modeling approach in the Brisbane River catchment, integrating high-resolution LiDAR data and hydrological inputs to enhance flood simulations. Their study provided critical insights into flood risk management and supported the development of effective mitigation strategies. High-resolution topographic data, such as LiDAR, play a crucial role in improving model performance, contributing to more accurate flood hazard assessments.</w:t>
      </w:r>
      <w:r w:rsidR="0025176F" w:rsidRPr="00D079BC">
        <w:rPr>
          <w:color w:val="000000"/>
        </w:rPr>
        <w:t xml:space="preserve"> </w:t>
      </w:r>
      <w:r w:rsidR="00BF605E" w:rsidRPr="00D079BC">
        <w:rPr>
          <w:color w:val="000000"/>
        </w:rPr>
        <w:t xml:space="preserve">Furthermore, the integration of real-time data assimilation methods, such as incorporating Synthetic Aperture Radar (SAR)-derived flood observations into hydraulic models, has improved the accuracy of flood forecasts. This approach allows for more responsive and dynamic flood risk assessments, which are crucial during rapidly changing flood events. </w:t>
      </w:r>
    </w:p>
    <w:p w14:paraId="235A0544" w14:textId="080A884C" w:rsidR="003752AA" w:rsidRPr="00D079BC" w:rsidRDefault="0025176F" w:rsidP="00D079BC">
      <w:pPr>
        <w:pBdr>
          <w:top w:val="nil"/>
          <w:left w:val="nil"/>
          <w:bottom w:val="nil"/>
          <w:right w:val="nil"/>
          <w:between w:val="nil"/>
        </w:pBdr>
        <w:ind w:hanging="2"/>
        <w:jc w:val="both"/>
        <w:rPr>
          <w:color w:val="000000"/>
        </w:rPr>
      </w:pPr>
      <w:r w:rsidRPr="00D079BC">
        <w:rPr>
          <w:color w:val="000000"/>
        </w:rPr>
        <w:tab/>
      </w:r>
      <w:r w:rsidRPr="00D079BC">
        <w:rPr>
          <w:color w:val="000000"/>
        </w:rPr>
        <w:tab/>
        <w:t>Despite these advancements, challenges remain in ensuring the availability of high-quality data across diverse geographical regions and in managing the computational demands of complex models. Ongoing research and development efforts are focused on addressing these issues, aiming to further enhance the precision and applicability of floodplain mapping and risk assessment tools worldwide.</w:t>
      </w:r>
    </w:p>
    <w:p w14:paraId="171B6F47" w14:textId="77777777" w:rsidR="0025176F" w:rsidRDefault="0025176F" w:rsidP="00D079BC">
      <w:pPr>
        <w:pBdr>
          <w:top w:val="nil"/>
          <w:left w:val="nil"/>
          <w:bottom w:val="nil"/>
          <w:right w:val="nil"/>
          <w:between w:val="nil"/>
        </w:pBdr>
        <w:ind w:hanging="2"/>
        <w:jc w:val="both"/>
        <w:rPr>
          <w:color w:val="000000"/>
        </w:rPr>
      </w:pPr>
    </w:p>
    <w:p w14:paraId="107F52EF" w14:textId="77777777" w:rsidR="008449A1" w:rsidRPr="00D079BC" w:rsidRDefault="008449A1" w:rsidP="00D079BC">
      <w:pPr>
        <w:pBdr>
          <w:top w:val="nil"/>
          <w:left w:val="nil"/>
          <w:bottom w:val="nil"/>
          <w:right w:val="nil"/>
          <w:between w:val="nil"/>
        </w:pBdr>
        <w:ind w:hanging="2"/>
        <w:jc w:val="both"/>
        <w:rPr>
          <w:color w:val="000000"/>
        </w:rPr>
      </w:pPr>
    </w:p>
    <w:p w14:paraId="68A01650" w14:textId="6F08F030" w:rsidR="007108E9" w:rsidRPr="00D079BC" w:rsidRDefault="00C55DAE" w:rsidP="00D079BC">
      <w:pPr>
        <w:pBdr>
          <w:top w:val="nil"/>
          <w:left w:val="nil"/>
          <w:bottom w:val="nil"/>
          <w:right w:val="nil"/>
          <w:between w:val="nil"/>
        </w:pBdr>
        <w:ind w:hanging="2"/>
        <w:jc w:val="both"/>
        <w:rPr>
          <w:color w:val="000000"/>
        </w:rPr>
      </w:pPr>
      <w:r w:rsidRPr="00D079BC">
        <w:rPr>
          <w:b/>
          <w:color w:val="000000"/>
        </w:rPr>
        <w:t xml:space="preserve">Method and study area </w:t>
      </w:r>
    </w:p>
    <w:p w14:paraId="6084E3D0" w14:textId="3DCF9F1D" w:rsidR="007108E9" w:rsidRPr="00D079BC" w:rsidRDefault="007108E9" w:rsidP="00D079BC">
      <w:pPr>
        <w:pBdr>
          <w:top w:val="nil"/>
          <w:left w:val="nil"/>
          <w:bottom w:val="nil"/>
          <w:right w:val="nil"/>
          <w:between w:val="nil"/>
        </w:pBdr>
        <w:ind w:hanging="2"/>
        <w:jc w:val="both"/>
        <w:rPr>
          <w:color w:val="000000"/>
        </w:rPr>
      </w:pPr>
    </w:p>
    <w:p w14:paraId="6117F0CD" w14:textId="503678A1" w:rsidR="0025176F" w:rsidRPr="00D079BC" w:rsidRDefault="0025176F" w:rsidP="00D079BC">
      <w:pPr>
        <w:pBdr>
          <w:top w:val="nil"/>
          <w:left w:val="nil"/>
          <w:bottom w:val="nil"/>
          <w:right w:val="nil"/>
          <w:between w:val="nil"/>
        </w:pBdr>
        <w:ind w:hanging="2"/>
        <w:jc w:val="both"/>
        <w:rPr>
          <w:i/>
          <w:color w:val="000000"/>
        </w:rPr>
      </w:pPr>
      <w:r w:rsidRPr="00D079BC">
        <w:rPr>
          <w:i/>
          <w:color w:val="000000"/>
        </w:rPr>
        <w:t xml:space="preserve">Research </w:t>
      </w:r>
      <w:r w:rsidR="008449A1" w:rsidRPr="00D079BC">
        <w:rPr>
          <w:i/>
          <w:color w:val="000000"/>
        </w:rPr>
        <w:t>area</w:t>
      </w:r>
    </w:p>
    <w:p w14:paraId="5D08DD1D" w14:textId="77777777" w:rsidR="005141A8" w:rsidRPr="00D079BC" w:rsidRDefault="005141A8" w:rsidP="00D079BC">
      <w:pPr>
        <w:pBdr>
          <w:top w:val="nil"/>
          <w:left w:val="nil"/>
          <w:bottom w:val="nil"/>
          <w:right w:val="nil"/>
          <w:between w:val="nil"/>
        </w:pBdr>
        <w:ind w:hanging="2"/>
        <w:jc w:val="both"/>
        <w:rPr>
          <w:i/>
          <w:color w:val="000000"/>
        </w:rPr>
      </w:pPr>
    </w:p>
    <w:p w14:paraId="20CF0D49" w14:textId="51DA2257" w:rsidR="005141A8" w:rsidRPr="00D079BC" w:rsidRDefault="005141A8" w:rsidP="00D079BC">
      <w:pPr>
        <w:pBdr>
          <w:top w:val="nil"/>
          <w:left w:val="nil"/>
          <w:bottom w:val="nil"/>
          <w:right w:val="nil"/>
          <w:between w:val="nil"/>
        </w:pBdr>
        <w:ind w:hanging="2"/>
        <w:jc w:val="both"/>
        <w:rPr>
          <w:color w:val="000000"/>
        </w:rPr>
      </w:pPr>
      <w:r w:rsidRPr="00D079BC">
        <w:rPr>
          <w:color w:val="000000"/>
        </w:rPr>
        <w:t xml:space="preserve">This study focuses on the lower reach of the Kelantan River Basin, particularly the districts of Kota </w:t>
      </w:r>
      <w:proofErr w:type="spellStart"/>
      <w:r w:rsidRPr="00D079BC">
        <w:rPr>
          <w:color w:val="000000"/>
        </w:rPr>
        <w:t>Bharu</w:t>
      </w:r>
      <w:proofErr w:type="spellEnd"/>
      <w:r w:rsidRPr="00D079BC">
        <w:rPr>
          <w:color w:val="000000"/>
        </w:rPr>
        <w:t xml:space="preserve"> and </w:t>
      </w:r>
      <w:proofErr w:type="spellStart"/>
      <w:r w:rsidRPr="00D079BC">
        <w:rPr>
          <w:color w:val="000000"/>
        </w:rPr>
        <w:t>Tumpat</w:t>
      </w:r>
      <w:proofErr w:type="spellEnd"/>
      <w:r w:rsidRPr="00D079BC">
        <w:rPr>
          <w:color w:val="000000"/>
        </w:rPr>
        <w:t xml:space="preserve">, which are highly susceptible to flooding. Kota Bharu, the capital city of Kelantan, and </w:t>
      </w:r>
      <w:proofErr w:type="spellStart"/>
      <w:r w:rsidRPr="00D079BC">
        <w:rPr>
          <w:color w:val="000000"/>
        </w:rPr>
        <w:t>Tumpat</w:t>
      </w:r>
      <w:proofErr w:type="spellEnd"/>
      <w:r w:rsidRPr="00D079BC">
        <w:rPr>
          <w:color w:val="000000"/>
        </w:rPr>
        <w:t xml:space="preserve"> have experienced significant flood events, severely impacting infrastructure, livelihoods, and local communities. The primary data collection site is the </w:t>
      </w:r>
      <w:proofErr w:type="spellStart"/>
      <w:r w:rsidRPr="00D079BC">
        <w:rPr>
          <w:color w:val="000000"/>
        </w:rPr>
        <w:t>Guillemard</w:t>
      </w:r>
      <w:proofErr w:type="spellEnd"/>
      <w:r w:rsidRPr="00D079BC">
        <w:rPr>
          <w:color w:val="000000"/>
        </w:rPr>
        <w:t xml:space="preserve"> Bridge discharge station in Tanah Merah, Kelantan, where the highest recorded maximum discharge rate in 2014 was 18,339.4 m³/s.</w:t>
      </w:r>
    </w:p>
    <w:p w14:paraId="77988E32" w14:textId="37915379" w:rsidR="005141A8" w:rsidRPr="00D079BC" w:rsidRDefault="005141A8" w:rsidP="00D079BC">
      <w:pPr>
        <w:pBdr>
          <w:top w:val="nil"/>
          <w:left w:val="nil"/>
          <w:bottom w:val="nil"/>
          <w:right w:val="nil"/>
          <w:between w:val="nil"/>
        </w:pBdr>
        <w:ind w:hanging="2"/>
        <w:jc w:val="both"/>
        <w:rPr>
          <w:color w:val="000000"/>
        </w:rPr>
      </w:pPr>
      <w:r w:rsidRPr="00D079BC">
        <w:rPr>
          <w:color w:val="000000"/>
        </w:rPr>
        <w:tab/>
      </w:r>
      <w:r w:rsidRPr="00D079BC">
        <w:rPr>
          <w:color w:val="000000"/>
        </w:rPr>
        <w:tab/>
        <w:t xml:space="preserve">According to Figure 1, the research was conducted in the Kota </w:t>
      </w:r>
      <w:proofErr w:type="spellStart"/>
      <w:r w:rsidRPr="00D079BC">
        <w:rPr>
          <w:color w:val="000000"/>
        </w:rPr>
        <w:t>Bharu</w:t>
      </w:r>
      <w:proofErr w:type="spellEnd"/>
      <w:r w:rsidRPr="00D079BC">
        <w:rPr>
          <w:color w:val="000000"/>
        </w:rPr>
        <w:t xml:space="preserve"> and </w:t>
      </w:r>
      <w:proofErr w:type="spellStart"/>
      <w:r w:rsidRPr="00D079BC">
        <w:rPr>
          <w:color w:val="000000"/>
        </w:rPr>
        <w:t>Tumpat</w:t>
      </w:r>
      <w:proofErr w:type="spellEnd"/>
      <w:r w:rsidRPr="00D079BC">
        <w:rPr>
          <w:color w:val="000000"/>
        </w:rPr>
        <w:t xml:space="preserve"> Districts. These districts are separated by the Kelantan River, the main river in the region. The research specifically focused on the Kelantan River floodplain, with the study area extending 2.5 km from the riverbank (red line area).</w:t>
      </w:r>
    </w:p>
    <w:p w14:paraId="32941B1C" w14:textId="77777777" w:rsidR="005141A8" w:rsidRPr="00D079BC" w:rsidRDefault="005141A8"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p>
    <w:p w14:paraId="76E0E041" w14:textId="77777777" w:rsidR="005141A8" w:rsidRPr="00D079BC" w:rsidRDefault="005141A8" w:rsidP="00D079BC">
      <w:pPr>
        <w:pBdr>
          <w:top w:val="nil"/>
          <w:left w:val="nil"/>
          <w:bottom w:val="nil"/>
          <w:right w:val="nil"/>
          <w:between w:val="nil"/>
        </w:pBdr>
        <w:suppressAutoHyphens/>
        <w:ind w:leftChars="-1" w:hangingChars="1" w:hanging="2"/>
        <w:jc w:val="center"/>
        <w:textDirection w:val="btLr"/>
        <w:textAlignment w:val="top"/>
        <w:outlineLvl w:val="0"/>
        <w:rPr>
          <w:b/>
          <w:color w:val="000000"/>
          <w:lang w:val="en-GB"/>
        </w:rPr>
      </w:pPr>
      <w:r w:rsidRPr="00D079BC">
        <w:rPr>
          <w:noProof/>
          <w:color w:val="000000"/>
          <w:lang w:val="en-MY" w:eastAsia="en-MY"/>
        </w:rPr>
        <w:lastRenderedPageBreak/>
        <w:drawing>
          <wp:inline distT="0" distB="0" distL="0" distR="0" wp14:anchorId="4DF6665A" wp14:editId="113D742F">
            <wp:extent cx="4079072" cy="5391150"/>
            <wp:effectExtent l="19050" t="19050" r="17145" b="19050"/>
            <wp:docPr id="1328105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1254" cy="5420466"/>
                    </a:xfrm>
                    <a:prstGeom prst="rect">
                      <a:avLst/>
                    </a:prstGeom>
                    <a:noFill/>
                    <a:ln w="3175">
                      <a:solidFill>
                        <a:schemeClr val="tx1"/>
                      </a:solidFill>
                    </a:ln>
                  </pic:spPr>
                </pic:pic>
              </a:graphicData>
            </a:graphic>
          </wp:inline>
        </w:drawing>
      </w:r>
    </w:p>
    <w:p w14:paraId="2563631E" w14:textId="77777777" w:rsidR="003D2649" w:rsidRDefault="003D2649" w:rsidP="00D079BC">
      <w:pPr>
        <w:pBdr>
          <w:top w:val="nil"/>
          <w:left w:val="nil"/>
          <w:bottom w:val="nil"/>
          <w:right w:val="nil"/>
          <w:between w:val="nil"/>
        </w:pBdr>
        <w:suppressAutoHyphens/>
        <w:ind w:leftChars="-1" w:hangingChars="1" w:hanging="2"/>
        <w:jc w:val="center"/>
        <w:textDirection w:val="btLr"/>
        <w:textAlignment w:val="top"/>
        <w:outlineLvl w:val="0"/>
        <w:rPr>
          <w:b/>
          <w:color w:val="000000"/>
          <w:lang w:val="en-GB"/>
        </w:rPr>
      </w:pPr>
    </w:p>
    <w:p w14:paraId="2C080AB6" w14:textId="17D4834E" w:rsidR="005141A8" w:rsidRPr="003D2649" w:rsidRDefault="005141A8" w:rsidP="00D079BC">
      <w:pPr>
        <w:pBdr>
          <w:top w:val="nil"/>
          <w:left w:val="nil"/>
          <w:bottom w:val="nil"/>
          <w:right w:val="nil"/>
          <w:between w:val="nil"/>
        </w:pBdr>
        <w:suppressAutoHyphens/>
        <w:ind w:leftChars="-1" w:hangingChars="1" w:hanging="2"/>
        <w:jc w:val="center"/>
        <w:textDirection w:val="btLr"/>
        <w:textAlignment w:val="top"/>
        <w:outlineLvl w:val="0"/>
        <w:rPr>
          <w:color w:val="000000"/>
          <w:lang w:val="en-GB"/>
        </w:rPr>
      </w:pPr>
      <w:r w:rsidRPr="003D2649">
        <w:rPr>
          <w:b/>
          <w:color w:val="000000"/>
          <w:lang w:val="en-GB"/>
        </w:rPr>
        <w:t>Figure 1.</w:t>
      </w:r>
      <w:r w:rsidRPr="003D2649">
        <w:rPr>
          <w:color w:val="000000"/>
          <w:lang w:val="en-GB"/>
        </w:rPr>
        <w:t xml:space="preserve"> Research </w:t>
      </w:r>
      <w:r w:rsidR="003D2649" w:rsidRPr="003D2649">
        <w:rPr>
          <w:color w:val="000000"/>
          <w:lang w:val="en-GB"/>
        </w:rPr>
        <w:t>location</w:t>
      </w:r>
    </w:p>
    <w:p w14:paraId="4B8FAD93" w14:textId="77777777" w:rsidR="005141A8" w:rsidRPr="00D079BC" w:rsidRDefault="005141A8" w:rsidP="00D079BC">
      <w:pPr>
        <w:pBdr>
          <w:top w:val="nil"/>
          <w:left w:val="nil"/>
          <w:bottom w:val="nil"/>
          <w:right w:val="nil"/>
          <w:between w:val="nil"/>
        </w:pBdr>
        <w:suppressAutoHyphens/>
        <w:ind w:leftChars="-1" w:hangingChars="1" w:hanging="2"/>
        <w:jc w:val="both"/>
        <w:textDirection w:val="btLr"/>
        <w:textAlignment w:val="top"/>
        <w:outlineLvl w:val="0"/>
        <w:rPr>
          <w:color w:val="000000"/>
          <w:sz w:val="20"/>
          <w:szCs w:val="20"/>
          <w:lang w:val="en-GB"/>
        </w:rPr>
      </w:pPr>
    </w:p>
    <w:p w14:paraId="6202C8DA" w14:textId="4A441447" w:rsidR="005141A8" w:rsidRPr="00D079BC" w:rsidRDefault="005141A8" w:rsidP="00D079BC">
      <w:pPr>
        <w:pBdr>
          <w:top w:val="nil"/>
          <w:left w:val="nil"/>
          <w:bottom w:val="nil"/>
          <w:right w:val="nil"/>
          <w:between w:val="nil"/>
        </w:pBdr>
        <w:suppressAutoHyphens/>
        <w:ind w:leftChars="-1" w:hangingChars="1" w:hanging="2"/>
        <w:jc w:val="both"/>
        <w:textDirection w:val="btLr"/>
        <w:textAlignment w:val="top"/>
        <w:outlineLvl w:val="0"/>
        <w:rPr>
          <w:color w:val="000000"/>
          <w:lang w:val="en-GB"/>
        </w:rPr>
      </w:pPr>
      <w:r w:rsidRPr="00D079BC">
        <w:rPr>
          <w:color w:val="000000"/>
          <w:lang w:val="en-GB"/>
        </w:rPr>
        <w:tab/>
      </w:r>
      <w:r w:rsidRPr="00D079BC">
        <w:rPr>
          <w:color w:val="000000"/>
          <w:lang w:val="en-GB"/>
        </w:rPr>
        <w:tab/>
        <w:t xml:space="preserve">In December 2014, Kota Bharu experienced its worst flood in decades, which was caused by heavy rainfall and the overflow of the Kelantan River. The flood affected over 200,000 people and caused extensive damage to infrastructure, including roads, bridges, and buildings (Department of Irrigation and Drainage Malaysia, 2022). In 2021, Kota Bharu experienced flash flooding that lasted for several hours and caused damage to homes, vehicles, and businesses. In 2014, </w:t>
      </w:r>
      <w:proofErr w:type="spellStart"/>
      <w:r w:rsidRPr="00D079BC">
        <w:rPr>
          <w:color w:val="000000"/>
          <w:lang w:val="en-GB"/>
        </w:rPr>
        <w:t>Tumpat</w:t>
      </w:r>
      <w:proofErr w:type="spellEnd"/>
      <w:r w:rsidRPr="00D079BC">
        <w:rPr>
          <w:color w:val="000000"/>
          <w:lang w:val="en-GB"/>
        </w:rPr>
        <w:t xml:space="preserve"> was severely affected by the floods that also affected Kota Bharu (Harun </w:t>
      </w:r>
      <w:r w:rsidR="003D2649">
        <w:rPr>
          <w:color w:val="000000"/>
          <w:lang w:val="en-GB"/>
        </w:rPr>
        <w:t>&amp;</w:t>
      </w:r>
      <w:r w:rsidRPr="00D079BC">
        <w:rPr>
          <w:color w:val="000000"/>
          <w:lang w:val="en-GB"/>
        </w:rPr>
        <w:t xml:space="preserve"> Aziz, 2021). Many villages and towns in </w:t>
      </w:r>
      <w:proofErr w:type="spellStart"/>
      <w:r w:rsidRPr="00D079BC">
        <w:rPr>
          <w:color w:val="000000"/>
          <w:lang w:val="en-GB"/>
        </w:rPr>
        <w:t>Tumpat</w:t>
      </w:r>
      <w:proofErr w:type="spellEnd"/>
      <w:r w:rsidRPr="00D079BC">
        <w:rPr>
          <w:color w:val="000000"/>
          <w:lang w:val="en-GB"/>
        </w:rPr>
        <w:t xml:space="preserve"> were submerged, and residents were forced to evacuate their homes. The floods also caused damage to infrastructure, including roads and bridges (Hashim </w:t>
      </w:r>
      <w:r w:rsidR="003D2649">
        <w:rPr>
          <w:color w:val="000000"/>
          <w:lang w:val="en-GB"/>
        </w:rPr>
        <w:t>&amp;</w:t>
      </w:r>
      <w:r w:rsidRPr="00D079BC">
        <w:rPr>
          <w:color w:val="000000"/>
          <w:lang w:val="en-GB"/>
        </w:rPr>
        <w:t xml:space="preserve"> Yusoff, 2015). In 2020, </w:t>
      </w:r>
      <w:proofErr w:type="spellStart"/>
      <w:r w:rsidRPr="00D079BC">
        <w:rPr>
          <w:color w:val="000000"/>
          <w:lang w:val="en-GB"/>
        </w:rPr>
        <w:t>Tumpat</w:t>
      </w:r>
      <w:proofErr w:type="spellEnd"/>
      <w:r w:rsidRPr="00D079BC">
        <w:rPr>
          <w:color w:val="000000"/>
          <w:lang w:val="en-GB"/>
        </w:rPr>
        <w:t xml:space="preserve"> was again affected by severe flooding that caused damage to homes, vehicles, and infrastructure, including the main road connecting </w:t>
      </w:r>
      <w:proofErr w:type="spellStart"/>
      <w:r w:rsidRPr="00D079BC">
        <w:rPr>
          <w:color w:val="000000"/>
          <w:lang w:val="en-GB"/>
        </w:rPr>
        <w:t>Tumpat</w:t>
      </w:r>
      <w:proofErr w:type="spellEnd"/>
      <w:r w:rsidRPr="00D079BC">
        <w:rPr>
          <w:color w:val="000000"/>
          <w:lang w:val="en-GB"/>
        </w:rPr>
        <w:t xml:space="preserve"> to Kota </w:t>
      </w:r>
      <w:proofErr w:type="spellStart"/>
      <w:r w:rsidRPr="00D079BC">
        <w:rPr>
          <w:color w:val="000000"/>
          <w:lang w:val="en-GB"/>
        </w:rPr>
        <w:t>Bharu</w:t>
      </w:r>
      <w:proofErr w:type="spellEnd"/>
      <w:r w:rsidRPr="00D079BC">
        <w:rPr>
          <w:color w:val="000000"/>
          <w:lang w:val="en-GB"/>
        </w:rPr>
        <w:t xml:space="preserve"> (Mohd Razi et al., 2021).</w:t>
      </w:r>
    </w:p>
    <w:p w14:paraId="1FE034FB" w14:textId="77777777" w:rsidR="005141A8" w:rsidRPr="00D079BC" w:rsidRDefault="005141A8" w:rsidP="00D079BC">
      <w:pPr>
        <w:pBdr>
          <w:top w:val="nil"/>
          <w:left w:val="nil"/>
          <w:bottom w:val="nil"/>
          <w:right w:val="nil"/>
          <w:between w:val="nil"/>
        </w:pBdr>
        <w:suppressAutoHyphens/>
        <w:ind w:leftChars="-1" w:hangingChars="1" w:hanging="2"/>
        <w:jc w:val="both"/>
        <w:textDirection w:val="btLr"/>
        <w:textAlignment w:val="top"/>
        <w:outlineLvl w:val="0"/>
        <w:rPr>
          <w:color w:val="000000"/>
          <w:lang w:val="en-GB"/>
        </w:rPr>
      </w:pPr>
      <w:r w:rsidRPr="00D079BC">
        <w:rPr>
          <w:color w:val="000000"/>
          <w:lang w:val="en-GB"/>
        </w:rPr>
        <w:tab/>
      </w:r>
      <w:r w:rsidRPr="00D079BC">
        <w:rPr>
          <w:color w:val="000000"/>
          <w:lang w:val="en-GB"/>
        </w:rPr>
        <w:tab/>
        <w:t xml:space="preserve">Kota </w:t>
      </w:r>
      <w:proofErr w:type="spellStart"/>
      <w:r w:rsidRPr="00D079BC">
        <w:rPr>
          <w:color w:val="000000"/>
          <w:lang w:val="en-GB"/>
        </w:rPr>
        <w:t>Bharu</w:t>
      </w:r>
      <w:proofErr w:type="spellEnd"/>
      <w:r w:rsidRPr="00D079BC">
        <w:rPr>
          <w:color w:val="000000"/>
          <w:lang w:val="en-GB"/>
        </w:rPr>
        <w:t xml:space="preserve"> and </w:t>
      </w:r>
      <w:proofErr w:type="spellStart"/>
      <w:r w:rsidRPr="00D079BC">
        <w:rPr>
          <w:color w:val="000000"/>
          <w:lang w:val="en-GB"/>
        </w:rPr>
        <w:t>Tumpat</w:t>
      </w:r>
      <w:proofErr w:type="spellEnd"/>
      <w:r w:rsidRPr="00D079BC">
        <w:rPr>
          <w:color w:val="000000"/>
          <w:lang w:val="en-GB"/>
        </w:rPr>
        <w:t xml:space="preserve"> have experienced a variety of flood types, including riverine flooding, flash flooding, and coastal flooding. This makes them ideal locations for studying the </w:t>
      </w:r>
      <w:r w:rsidRPr="00D079BC">
        <w:rPr>
          <w:color w:val="000000"/>
          <w:lang w:val="en-GB"/>
        </w:rPr>
        <w:lastRenderedPageBreak/>
        <w:t xml:space="preserve">impacts of different types of flooding and developing strategies for man-aging and mitigating flood risk. Both Kota </w:t>
      </w:r>
      <w:proofErr w:type="spellStart"/>
      <w:r w:rsidRPr="00D079BC">
        <w:rPr>
          <w:color w:val="000000"/>
          <w:lang w:val="en-GB"/>
        </w:rPr>
        <w:t>Bharu</w:t>
      </w:r>
      <w:proofErr w:type="spellEnd"/>
      <w:r w:rsidRPr="00D079BC">
        <w:rPr>
          <w:color w:val="000000"/>
          <w:lang w:val="en-GB"/>
        </w:rPr>
        <w:t xml:space="preserve"> and </w:t>
      </w:r>
      <w:proofErr w:type="spellStart"/>
      <w:r w:rsidRPr="00D079BC">
        <w:rPr>
          <w:color w:val="000000"/>
          <w:lang w:val="en-GB"/>
        </w:rPr>
        <w:t>Tumpat</w:t>
      </w:r>
      <w:proofErr w:type="spellEnd"/>
      <w:r w:rsidRPr="00D079BC">
        <w:rPr>
          <w:color w:val="000000"/>
          <w:lang w:val="en-GB"/>
        </w:rPr>
        <w:t xml:space="preserve"> have experienced rapid urbanization and land use change in recent years, which has increased their vulnerability to flooding (Jamil et al., 2020). By studying these areas, this study can better understand the interactions between urbanization, land use change, and flood risk, and develop strategies for sustainable and resilient development. Developing a flood hazard map and identifying community awareness literacy requires engagement with local communities to under-stand their knowledge, attitudes, and perceptions of flooding. Kota </w:t>
      </w:r>
      <w:proofErr w:type="spellStart"/>
      <w:r w:rsidRPr="00D079BC">
        <w:rPr>
          <w:color w:val="000000"/>
          <w:lang w:val="en-GB"/>
        </w:rPr>
        <w:t>Bharu</w:t>
      </w:r>
      <w:proofErr w:type="spellEnd"/>
      <w:r w:rsidRPr="00D079BC">
        <w:rPr>
          <w:color w:val="000000"/>
          <w:lang w:val="en-GB"/>
        </w:rPr>
        <w:t xml:space="preserve"> and </w:t>
      </w:r>
      <w:proofErr w:type="spellStart"/>
      <w:r w:rsidRPr="00D079BC">
        <w:rPr>
          <w:color w:val="000000"/>
          <w:lang w:val="en-GB"/>
        </w:rPr>
        <w:t>Tumpat</w:t>
      </w:r>
      <w:proofErr w:type="spellEnd"/>
      <w:r w:rsidRPr="00D079BC">
        <w:rPr>
          <w:color w:val="000000"/>
          <w:lang w:val="en-GB"/>
        </w:rPr>
        <w:t xml:space="preserve"> are home to diverse communities with varying levels of awareness and literacy on flood risk, making them ideal locations for studying community engagement and developing strategies for improving awareness and literacy. Overall, studying Kota </w:t>
      </w:r>
      <w:proofErr w:type="spellStart"/>
      <w:r w:rsidRPr="00D079BC">
        <w:rPr>
          <w:color w:val="000000"/>
          <w:lang w:val="en-GB"/>
        </w:rPr>
        <w:t>Bharu</w:t>
      </w:r>
      <w:proofErr w:type="spellEnd"/>
      <w:r w:rsidRPr="00D079BC">
        <w:rPr>
          <w:color w:val="000000"/>
          <w:lang w:val="en-GB"/>
        </w:rPr>
        <w:t xml:space="preserve"> and </w:t>
      </w:r>
      <w:proofErr w:type="spellStart"/>
      <w:r w:rsidRPr="00D079BC">
        <w:rPr>
          <w:color w:val="000000"/>
          <w:lang w:val="en-GB"/>
        </w:rPr>
        <w:t>Tumpat</w:t>
      </w:r>
      <w:proofErr w:type="spellEnd"/>
      <w:r w:rsidRPr="00D079BC">
        <w:rPr>
          <w:color w:val="000000"/>
          <w:lang w:val="en-GB"/>
        </w:rPr>
        <w:t xml:space="preserve"> will provide valuable insights into the complex socio-ecological systems that underlie flood risk in Malaysia and contribute to the development of effective strategies for managing and mitigating flood risk in the future.</w:t>
      </w:r>
    </w:p>
    <w:p w14:paraId="423D7785" w14:textId="4EB46050" w:rsidR="005141A8" w:rsidRPr="00D079BC" w:rsidRDefault="005141A8" w:rsidP="00D079BC">
      <w:pPr>
        <w:pBdr>
          <w:top w:val="nil"/>
          <w:left w:val="nil"/>
          <w:bottom w:val="nil"/>
          <w:right w:val="nil"/>
          <w:between w:val="nil"/>
        </w:pBdr>
        <w:ind w:hanging="2"/>
        <w:jc w:val="both"/>
        <w:rPr>
          <w:color w:val="000000"/>
        </w:rPr>
      </w:pPr>
      <w:r w:rsidRPr="00D079BC">
        <w:rPr>
          <w:b/>
          <w:color w:val="000000"/>
        </w:rPr>
        <w:t xml:space="preserve"> </w:t>
      </w:r>
    </w:p>
    <w:p w14:paraId="4B1F0687" w14:textId="6C3423E0" w:rsidR="005141A8" w:rsidRPr="00D079BC" w:rsidRDefault="005141A8" w:rsidP="00D079BC">
      <w:pPr>
        <w:pBdr>
          <w:top w:val="nil"/>
          <w:left w:val="nil"/>
          <w:bottom w:val="nil"/>
          <w:right w:val="nil"/>
          <w:between w:val="nil"/>
        </w:pBdr>
        <w:ind w:hanging="2"/>
        <w:jc w:val="both"/>
        <w:rPr>
          <w:i/>
          <w:color w:val="000000"/>
        </w:rPr>
      </w:pPr>
      <w:r w:rsidRPr="00D079BC">
        <w:rPr>
          <w:i/>
          <w:color w:val="000000"/>
        </w:rPr>
        <w:t xml:space="preserve">Hydrological and </w:t>
      </w:r>
      <w:r w:rsidR="003D2649" w:rsidRPr="00D079BC">
        <w:rPr>
          <w:i/>
          <w:color w:val="000000"/>
        </w:rPr>
        <w:t>hydraulic modeling</w:t>
      </w:r>
    </w:p>
    <w:p w14:paraId="004A4163" w14:textId="77777777" w:rsidR="005141A8" w:rsidRPr="00D079BC" w:rsidRDefault="005141A8" w:rsidP="00D079BC">
      <w:pPr>
        <w:pBdr>
          <w:top w:val="nil"/>
          <w:left w:val="nil"/>
          <w:bottom w:val="nil"/>
          <w:right w:val="nil"/>
          <w:between w:val="nil"/>
        </w:pBdr>
        <w:ind w:hanging="2"/>
        <w:jc w:val="both"/>
        <w:rPr>
          <w:color w:val="000000"/>
        </w:rPr>
      </w:pPr>
    </w:p>
    <w:p w14:paraId="50CF0CE0" w14:textId="77777777" w:rsidR="005141A8" w:rsidRPr="00D079BC" w:rsidRDefault="005141A8" w:rsidP="00D079BC">
      <w:pPr>
        <w:pBdr>
          <w:top w:val="nil"/>
          <w:left w:val="nil"/>
          <w:bottom w:val="nil"/>
          <w:right w:val="nil"/>
          <w:between w:val="nil"/>
        </w:pBdr>
        <w:ind w:hanging="2"/>
        <w:jc w:val="both"/>
        <w:rPr>
          <w:color w:val="000000"/>
        </w:rPr>
      </w:pPr>
      <w:r w:rsidRPr="00D079BC">
        <w:rPr>
          <w:color w:val="000000"/>
        </w:rPr>
        <w:t>To enhance traditional flood analysis methods, this study integrates advanced hydrological and hydraulic modeling techniques with geographic information system (GIS) tools. DEM data is used for precise topographical analysis, which is crucial in understanding water flow and identifying potential flood-prone areas. Hydrologic Engineering Center’s River Analysis System (HEC-RAS)</w:t>
      </w:r>
    </w:p>
    <w:p w14:paraId="36948829" w14:textId="73CA67D0" w:rsidR="0025176F" w:rsidRPr="00D079BC" w:rsidRDefault="005141A8" w:rsidP="00D079BC">
      <w:pPr>
        <w:pBdr>
          <w:top w:val="nil"/>
          <w:left w:val="nil"/>
          <w:bottom w:val="nil"/>
          <w:right w:val="nil"/>
          <w:between w:val="nil"/>
        </w:pBdr>
        <w:ind w:hanging="2"/>
        <w:jc w:val="both"/>
        <w:rPr>
          <w:color w:val="000000"/>
        </w:rPr>
      </w:pPr>
      <w:r w:rsidRPr="00D079BC">
        <w:rPr>
          <w:color w:val="000000"/>
        </w:rPr>
        <w:t>is a widely used hydraulic modeling software developed by the U.S. Army Corps of Engineers. It simulates water flow in natural and constructed channels to predict flood extent and water depth under different scenarios. Discharge Frequency Analysis (DFA) is employed to estimate the probability of various flood magnitudes occurring within specific return periods. The Gumbel distribution, a statistical method commonly used in hydrology, is applied to model extreme flood events by analyzing historical flood data. This helps predict the likelihood of future floods of different intensities. By integrating DEM, HEC-RAS, and DFA, high-resolution flood hazard maps are generated to provide a comprehensive assessment of flood risks in Kelantan. These maps serve as crucial tools for urban planning, emergency preparedness, and flood mitigation strategies. This structured approach ensures a detailed and scientifically robust assessment of flood risks, contributing valuable insights for future flood management and mitigation efforts in Kelantan.</w:t>
      </w:r>
    </w:p>
    <w:p w14:paraId="1870DF76" w14:textId="77777777" w:rsidR="005141A8" w:rsidRPr="00D079BC" w:rsidRDefault="005141A8" w:rsidP="00D079BC">
      <w:pPr>
        <w:pBdr>
          <w:top w:val="nil"/>
          <w:left w:val="nil"/>
          <w:bottom w:val="nil"/>
          <w:right w:val="nil"/>
          <w:between w:val="nil"/>
        </w:pBdr>
        <w:ind w:hanging="2"/>
        <w:jc w:val="both"/>
        <w:rPr>
          <w:i/>
          <w:color w:val="000000"/>
        </w:rPr>
      </w:pPr>
    </w:p>
    <w:p w14:paraId="4E18C2B6" w14:textId="73D8CD6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i/>
          <w:color w:val="000000"/>
        </w:rPr>
      </w:pPr>
      <w:r w:rsidRPr="00D079BC">
        <w:rPr>
          <w:i/>
          <w:color w:val="000000"/>
        </w:rPr>
        <w:t xml:space="preserve">Discharge </w:t>
      </w:r>
      <w:r w:rsidR="003D2649" w:rsidRPr="00D079BC">
        <w:rPr>
          <w:i/>
          <w:color w:val="000000"/>
        </w:rPr>
        <w:t xml:space="preserve">frequency analysis </w:t>
      </w:r>
    </w:p>
    <w:p w14:paraId="26F2B1A3"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b/>
          <w:i/>
          <w:color w:val="000000"/>
        </w:rPr>
      </w:pPr>
    </w:p>
    <w:p w14:paraId="479574CF"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r w:rsidRPr="00D079BC">
        <w:rPr>
          <w:color w:val="000000"/>
        </w:rPr>
        <w:t xml:space="preserve">The discharge data collected by the Malaysian Irrigation and Drainage Department at the </w:t>
      </w:r>
      <w:proofErr w:type="spellStart"/>
      <w:r w:rsidRPr="00D079BC">
        <w:rPr>
          <w:color w:val="000000"/>
        </w:rPr>
        <w:t>Guillemard</w:t>
      </w:r>
      <w:proofErr w:type="spellEnd"/>
      <w:r w:rsidRPr="00D079BC">
        <w:rPr>
          <w:color w:val="000000"/>
        </w:rPr>
        <w:t xml:space="preserve"> Bridge station between 1990 and 2017 is analyzed using the Gumbel distribution for extreme value analysis. While traditional models are applied, this study enhances the method by incorporating more recent developments in statistical hydrology and extreme value theory. </w:t>
      </w:r>
    </w:p>
    <w:p w14:paraId="4BAF04B0"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p>
    <w:p w14:paraId="1453A576"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r w:rsidRPr="00D079BC">
        <w:rPr>
          <w:color w:val="000000"/>
        </w:rPr>
        <w:tab/>
        <w:t>The Gumbel distribution model is used for flood frequency analysis. The model's equations and parameters are given below:</w:t>
      </w:r>
    </w:p>
    <w:p w14:paraId="67FF6B51"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p>
    <w:p w14:paraId="4CC4FF41" w14:textId="50370FF8" w:rsidR="00476085" w:rsidRPr="00D079BC" w:rsidRDefault="00476085" w:rsidP="00D079BC">
      <w:pPr>
        <w:pBdr>
          <w:top w:val="nil"/>
          <w:left w:val="nil"/>
          <w:bottom w:val="nil"/>
          <w:right w:val="nil"/>
          <w:between w:val="nil"/>
        </w:pBdr>
        <w:suppressAutoHyphens/>
        <w:ind w:leftChars="-1" w:hangingChars="1" w:hanging="2"/>
        <w:jc w:val="center"/>
        <w:textDirection w:val="btLr"/>
        <w:textAlignment w:val="top"/>
        <w:outlineLvl w:val="0"/>
        <w:rPr>
          <w:color w:val="000000"/>
        </w:rPr>
      </w:pPr>
      <w:r w:rsidRPr="00D079BC">
        <w:rPr>
          <w:color w:val="000000"/>
        </w:rPr>
        <w:t xml:space="preserve">XT = </w:t>
      </w:r>
      <w:r w:rsidRPr="00D079BC">
        <w:rPr>
          <w:rFonts w:ascii="Cambria Math" w:hAnsi="Cambria Math" w:cs="Cambria Math"/>
          <w:color w:val="000000"/>
        </w:rPr>
        <w:t>𝑋</w:t>
      </w:r>
      <w:r w:rsidRPr="00D079BC">
        <w:rPr>
          <w:color w:val="000000"/>
        </w:rPr>
        <w:t xml:space="preserve"> + K </w:t>
      </w:r>
      <w:r w:rsidRPr="00D079BC">
        <w:rPr>
          <w:rFonts w:ascii="Cambria Math" w:hAnsi="Cambria Math" w:cs="Cambria Math"/>
          <w:color w:val="000000"/>
        </w:rPr>
        <w:t>𝜎𝑋</w:t>
      </w:r>
      <w:r w:rsidRPr="00D079BC">
        <w:rPr>
          <w:color w:val="000000"/>
        </w:rPr>
        <w:t xml:space="preserve"> </w:t>
      </w:r>
      <w:r w:rsidRPr="00D079BC">
        <w:rPr>
          <w:color w:val="000000"/>
        </w:rPr>
        <w:tab/>
      </w:r>
      <w:r w:rsidRPr="00D079BC">
        <w:rPr>
          <w:color w:val="000000"/>
        </w:rPr>
        <w:tab/>
      </w:r>
      <w:r w:rsidRPr="00D079BC">
        <w:rPr>
          <w:color w:val="000000"/>
        </w:rPr>
        <w:tab/>
      </w:r>
      <w:r w:rsidRPr="00D079BC">
        <w:rPr>
          <w:color w:val="000000"/>
        </w:rPr>
        <w:tab/>
        <w:t>[1]</w:t>
      </w:r>
    </w:p>
    <w:p w14:paraId="3C8151FB"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p>
    <w:p w14:paraId="4832DD34"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r w:rsidRPr="00D079BC">
        <w:rPr>
          <w:color w:val="000000"/>
        </w:rPr>
        <w:lastRenderedPageBreak/>
        <w:t xml:space="preserve">Where XT is Gumbel’s Distribution in reference to return period; X is the mean value; </w:t>
      </w:r>
      <w:proofErr w:type="spellStart"/>
      <w:r w:rsidRPr="00D079BC">
        <w:rPr>
          <w:color w:val="000000"/>
        </w:rPr>
        <w:t>σX</w:t>
      </w:r>
      <w:proofErr w:type="spellEnd"/>
      <w:r w:rsidRPr="00D079BC">
        <w:rPr>
          <w:color w:val="000000"/>
        </w:rPr>
        <w:t xml:space="preserve"> is the standard deviation; and “K” is the factor of frequency in Gumbel method. The mean value and </w:t>
      </w:r>
      <w:proofErr w:type="spellStart"/>
      <w:r w:rsidRPr="00D079BC">
        <w:rPr>
          <w:color w:val="000000"/>
        </w:rPr>
        <w:t>σX</w:t>
      </w:r>
      <w:proofErr w:type="spellEnd"/>
      <w:r w:rsidRPr="00D079BC">
        <w:rPr>
          <w:color w:val="000000"/>
        </w:rPr>
        <w:t xml:space="preserve"> are derived from the equation [2] and [3]:</w:t>
      </w:r>
    </w:p>
    <w:p w14:paraId="625CF79E"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p>
    <w:p w14:paraId="23945F89" w14:textId="55CAAC8C" w:rsidR="00476085" w:rsidRPr="00D079BC" w:rsidRDefault="00476085" w:rsidP="00D079BC">
      <w:pPr>
        <w:pBdr>
          <w:top w:val="nil"/>
          <w:left w:val="nil"/>
          <w:bottom w:val="nil"/>
          <w:right w:val="nil"/>
          <w:between w:val="nil"/>
        </w:pBdr>
        <w:suppressAutoHyphens/>
        <w:ind w:leftChars="-1" w:hangingChars="1" w:hanging="2"/>
        <w:jc w:val="center"/>
        <w:textDirection w:val="btLr"/>
        <w:textAlignment w:val="top"/>
        <w:outlineLvl w:val="0"/>
        <w:rPr>
          <w:color w:val="000000"/>
        </w:rPr>
      </w:pPr>
      <w:r w:rsidRPr="00D079BC">
        <w:rPr>
          <w:color w:val="000000"/>
        </w:rPr>
        <w:t xml:space="preserve">X̿ = ∑X N </w:t>
      </w:r>
      <w:r w:rsidRPr="00D079BC">
        <w:rPr>
          <w:color w:val="000000"/>
        </w:rPr>
        <w:tab/>
      </w:r>
      <w:r w:rsidRPr="00D079BC">
        <w:rPr>
          <w:color w:val="000000"/>
        </w:rPr>
        <w:tab/>
      </w:r>
      <w:r w:rsidRPr="00D079BC">
        <w:rPr>
          <w:color w:val="000000"/>
        </w:rPr>
        <w:tab/>
      </w:r>
      <w:r w:rsidRPr="00D079BC">
        <w:rPr>
          <w:color w:val="000000"/>
        </w:rPr>
        <w:tab/>
      </w:r>
      <w:r w:rsidRPr="00D079BC">
        <w:rPr>
          <w:color w:val="000000"/>
        </w:rPr>
        <w:tab/>
        <w:t>[2]</w:t>
      </w:r>
    </w:p>
    <w:p w14:paraId="0E21DD45"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p>
    <w:p w14:paraId="44325305"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r w:rsidRPr="00D079BC">
        <w:rPr>
          <w:color w:val="000000"/>
        </w:rPr>
        <w:t xml:space="preserve">Where “X” is the discharge value, X̿ is the mean of the discharge and “N” is the number of samples. </w:t>
      </w:r>
    </w:p>
    <w:p w14:paraId="59A7AE12"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p>
    <w:p w14:paraId="10CDDEC7" w14:textId="3DDEA0AF" w:rsidR="00476085" w:rsidRPr="00D079BC" w:rsidRDefault="00476085" w:rsidP="00D079BC">
      <w:pPr>
        <w:pBdr>
          <w:top w:val="nil"/>
          <w:left w:val="nil"/>
          <w:bottom w:val="nil"/>
          <w:right w:val="nil"/>
          <w:between w:val="nil"/>
        </w:pBdr>
        <w:suppressAutoHyphens/>
        <w:ind w:leftChars="-1" w:hangingChars="1" w:hanging="2"/>
        <w:jc w:val="center"/>
        <w:textDirection w:val="btLr"/>
        <w:textAlignment w:val="top"/>
        <w:outlineLvl w:val="0"/>
        <w:rPr>
          <w:color w:val="000000"/>
        </w:rPr>
      </w:pPr>
      <w:r w:rsidRPr="00D079BC">
        <w:rPr>
          <w:color w:val="000000"/>
        </w:rPr>
        <w:t>σ = √ ∑ (X</w:t>
      </w:r>
      <w:r w:rsidRPr="00D079BC">
        <w:rPr>
          <w:rFonts w:ascii="Cambria Math" w:hAnsi="Cambria Math" w:cs="Cambria Math"/>
          <w:color w:val="000000"/>
        </w:rPr>
        <w:t>𝔦</w:t>
      </w:r>
      <w:r w:rsidRPr="00D079BC">
        <w:rPr>
          <w:color w:val="000000"/>
        </w:rPr>
        <w:t xml:space="preserve"> − </w:t>
      </w:r>
      <w:proofErr w:type="gramStart"/>
      <w:r w:rsidRPr="00D079BC">
        <w:rPr>
          <w:color w:val="000000"/>
        </w:rPr>
        <w:t>X̿)²</w:t>
      </w:r>
      <w:proofErr w:type="gramEnd"/>
      <w:r w:rsidRPr="00D079BC">
        <w:rPr>
          <w:color w:val="000000"/>
        </w:rPr>
        <w:t xml:space="preserve">n (i−1) n </w:t>
      </w:r>
      <w:r w:rsidRPr="00D079BC">
        <w:rPr>
          <w:color w:val="000000"/>
        </w:rPr>
        <w:tab/>
      </w:r>
      <w:r w:rsidRPr="00D079BC">
        <w:rPr>
          <w:color w:val="000000"/>
        </w:rPr>
        <w:tab/>
      </w:r>
      <w:r w:rsidRPr="00D079BC">
        <w:rPr>
          <w:color w:val="000000"/>
        </w:rPr>
        <w:tab/>
        <w:t>[3]</w:t>
      </w:r>
    </w:p>
    <w:p w14:paraId="44E843E5"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p>
    <w:p w14:paraId="1D818C99"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r w:rsidRPr="00D079BC">
        <w:rPr>
          <w:color w:val="000000"/>
        </w:rPr>
        <w:t xml:space="preserve">Where </w:t>
      </w:r>
      <w:r w:rsidRPr="00D079BC">
        <w:rPr>
          <w:rFonts w:ascii="Cambria Math" w:hAnsi="Cambria Math" w:cs="Cambria Math"/>
          <w:color w:val="000000"/>
        </w:rPr>
        <w:t>𝜎</w:t>
      </w:r>
      <w:r w:rsidRPr="00D079BC">
        <w:rPr>
          <w:color w:val="000000"/>
        </w:rPr>
        <w:t xml:space="preserve"> = standard deviation, “n” is the number of the sample, "X</w:t>
      </w:r>
      <w:r w:rsidRPr="00D079BC">
        <w:rPr>
          <w:rFonts w:ascii="Cambria Math" w:hAnsi="Cambria Math" w:cs="Cambria Math"/>
          <w:color w:val="000000"/>
        </w:rPr>
        <w:t>𝔦</w:t>
      </w:r>
      <w:r w:rsidRPr="00D079BC">
        <w:rPr>
          <w:color w:val="000000"/>
        </w:rPr>
        <w:t xml:space="preserve">" is the value of the sample and X̿ is the mean value of this sample. The “K” value was calculated using the following equation [4]: </w:t>
      </w:r>
    </w:p>
    <w:p w14:paraId="0DFB8C59"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p>
    <w:p w14:paraId="0643DFBE" w14:textId="77777777" w:rsidR="00476085" w:rsidRPr="00D079BC" w:rsidRDefault="00476085" w:rsidP="00D079BC">
      <w:pPr>
        <w:pBdr>
          <w:top w:val="nil"/>
          <w:left w:val="nil"/>
          <w:bottom w:val="nil"/>
          <w:right w:val="nil"/>
          <w:between w:val="nil"/>
        </w:pBdr>
        <w:suppressAutoHyphens/>
        <w:ind w:leftChars="-1" w:hangingChars="1" w:hanging="2"/>
        <w:jc w:val="center"/>
        <w:textDirection w:val="btLr"/>
        <w:textAlignment w:val="top"/>
        <w:outlineLvl w:val="0"/>
        <w:rPr>
          <w:color w:val="000000"/>
        </w:rPr>
      </w:pPr>
      <w:r w:rsidRPr="00D079BC">
        <w:rPr>
          <w:color w:val="000000"/>
        </w:rPr>
        <w:t>K = (</w:t>
      </w:r>
      <w:proofErr w:type="spellStart"/>
      <w:r w:rsidRPr="00D079BC">
        <w:rPr>
          <w:color w:val="000000"/>
        </w:rPr>
        <w:t>Yt-Yn</w:t>
      </w:r>
      <w:proofErr w:type="spellEnd"/>
      <w:r w:rsidRPr="00D079BC">
        <w:rPr>
          <w:color w:val="000000"/>
        </w:rPr>
        <w:t>)/Sn</w:t>
      </w:r>
      <w:r w:rsidRPr="00D079BC">
        <w:rPr>
          <w:color w:val="000000"/>
        </w:rPr>
        <w:tab/>
      </w:r>
      <w:r w:rsidRPr="00D079BC">
        <w:rPr>
          <w:color w:val="000000"/>
        </w:rPr>
        <w:tab/>
      </w:r>
      <w:r w:rsidRPr="00D079BC">
        <w:rPr>
          <w:color w:val="000000"/>
        </w:rPr>
        <w:tab/>
      </w:r>
      <w:r w:rsidRPr="00D079BC">
        <w:rPr>
          <w:color w:val="000000"/>
        </w:rPr>
        <w:tab/>
        <w:t>[4]</w:t>
      </w:r>
    </w:p>
    <w:p w14:paraId="74EB3258"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p>
    <w:p w14:paraId="7DF74E41"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r w:rsidRPr="00D079BC">
        <w:rPr>
          <w:color w:val="000000"/>
        </w:rPr>
        <w:t>Where YT is the reduced variate which is calculated by using the equation [5]; the Sn and Yn value have been used from Gumbel’s extreme value distribution chart that depends on the sample size.</w:t>
      </w:r>
    </w:p>
    <w:p w14:paraId="13821039"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p>
    <w:p w14:paraId="7FB510E0" w14:textId="6B6C895D" w:rsidR="00476085" w:rsidRPr="00D079BC" w:rsidRDefault="00476085" w:rsidP="00D079BC">
      <w:pPr>
        <w:pBdr>
          <w:top w:val="nil"/>
          <w:left w:val="nil"/>
          <w:bottom w:val="nil"/>
          <w:right w:val="nil"/>
          <w:between w:val="nil"/>
        </w:pBdr>
        <w:suppressAutoHyphens/>
        <w:ind w:leftChars="-1" w:hangingChars="1" w:hanging="2"/>
        <w:jc w:val="center"/>
        <w:textDirection w:val="btLr"/>
        <w:textAlignment w:val="top"/>
        <w:outlineLvl w:val="0"/>
        <w:rPr>
          <w:color w:val="000000"/>
        </w:rPr>
      </w:pPr>
      <w:r w:rsidRPr="00D079BC">
        <w:rPr>
          <w:color w:val="000000"/>
        </w:rPr>
        <w:t>YT = [-Ln</w:t>
      </w:r>
      <w:r w:rsidR="00B515FE" w:rsidRPr="00D079BC">
        <w:rPr>
          <w:color w:val="000000"/>
        </w:rPr>
        <w:t xml:space="preserve"> </w:t>
      </w:r>
      <w:r w:rsidRPr="00D079BC">
        <w:rPr>
          <w:color w:val="000000"/>
        </w:rPr>
        <w:t xml:space="preserve">(-Ln*(T − 1/T)] </w:t>
      </w:r>
      <w:r w:rsidRPr="00D079BC">
        <w:rPr>
          <w:color w:val="000000"/>
        </w:rPr>
        <w:tab/>
      </w:r>
      <w:r w:rsidRPr="00D079BC">
        <w:rPr>
          <w:color w:val="000000"/>
        </w:rPr>
        <w:tab/>
      </w:r>
      <w:r w:rsidRPr="00D079BC">
        <w:rPr>
          <w:color w:val="000000"/>
        </w:rPr>
        <w:tab/>
        <w:t>[5]</w:t>
      </w:r>
    </w:p>
    <w:p w14:paraId="60556E17"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p>
    <w:p w14:paraId="486D46FD" w14:textId="77777777" w:rsidR="00476085" w:rsidRPr="00D079BC" w:rsidRDefault="00476085"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r w:rsidRPr="00D079BC">
        <w:rPr>
          <w:color w:val="000000"/>
        </w:rPr>
        <w:tab/>
        <w:t xml:space="preserve">This study employs the advanced tools and techniques to enhance the flood risk analysis. </w:t>
      </w:r>
      <w:r w:rsidRPr="00D079BC">
        <w:rPr>
          <w:bCs/>
          <w:color w:val="000000"/>
        </w:rPr>
        <w:t>Machine Learning Models</w:t>
      </w:r>
      <w:r w:rsidRPr="00D079BC">
        <w:rPr>
          <w:color w:val="000000"/>
        </w:rPr>
        <w:t xml:space="preserve"> were implemented as integration of machine learning algorithms to predict flood occurrences and impacts based on historical data and current conditions. Besides, </w:t>
      </w:r>
      <w:r w:rsidRPr="00D079BC">
        <w:rPr>
          <w:bCs/>
          <w:color w:val="000000"/>
        </w:rPr>
        <w:t>remote sensing</w:t>
      </w:r>
      <w:r w:rsidRPr="00D079BC">
        <w:rPr>
          <w:color w:val="000000"/>
        </w:rPr>
        <w:t xml:space="preserve"> </w:t>
      </w:r>
      <w:proofErr w:type="gramStart"/>
      <w:r w:rsidRPr="00D079BC">
        <w:rPr>
          <w:color w:val="000000"/>
        </w:rPr>
        <w:t>were</w:t>
      </w:r>
      <w:proofErr w:type="gramEnd"/>
      <w:r w:rsidRPr="00D079BC">
        <w:rPr>
          <w:color w:val="000000"/>
        </w:rPr>
        <w:t xml:space="preserve"> used satellite imagery and remote sensing data to monitor real-time changes in water levels and flood extents. </w:t>
      </w:r>
      <w:r w:rsidRPr="00D079BC">
        <w:rPr>
          <w:bCs/>
          <w:color w:val="000000"/>
        </w:rPr>
        <w:t>Hydrodynamic modeling</w:t>
      </w:r>
      <w:r w:rsidRPr="00D079BC">
        <w:rPr>
          <w:color w:val="000000"/>
        </w:rPr>
        <w:t xml:space="preserve"> applied as advanced hydrodynamic models to simulate water flow and flood propagation with higher accuracy. Last but not least, </w:t>
      </w:r>
      <w:r w:rsidRPr="00D079BC">
        <w:rPr>
          <w:bCs/>
          <w:color w:val="000000"/>
        </w:rPr>
        <w:t>Community-based participatory approach</w:t>
      </w:r>
      <w:r w:rsidRPr="00D079BC">
        <w:rPr>
          <w:color w:val="000000"/>
        </w:rPr>
        <w:t xml:space="preserve"> also been implemented to this study in engaging the local communities in data collection and awareness programs to improve flood preparedness and response strategies. By incorporating these advanced methodologies and tools, this study aims to provide a more comprehensive and accurate assessment of flood risks in Kelantan. This approach not only addresses the limitations of traditional methods but also offers innovative solutions for effective flood management and community resilience building in flood-prone areas.</w:t>
      </w:r>
    </w:p>
    <w:p w14:paraId="3244CD9D" w14:textId="1490C439" w:rsidR="00B515FE" w:rsidRDefault="00B515FE" w:rsidP="00D079BC">
      <w:pPr>
        <w:pBdr>
          <w:top w:val="nil"/>
          <w:left w:val="nil"/>
          <w:bottom w:val="nil"/>
          <w:right w:val="nil"/>
          <w:between w:val="nil"/>
        </w:pBdr>
        <w:ind w:hanging="2"/>
        <w:jc w:val="both"/>
        <w:rPr>
          <w:i/>
          <w:color w:val="000000"/>
        </w:rPr>
      </w:pPr>
    </w:p>
    <w:p w14:paraId="2596014D" w14:textId="77777777" w:rsidR="003D2649" w:rsidRPr="00D079BC" w:rsidRDefault="003D2649" w:rsidP="00D079BC">
      <w:pPr>
        <w:pBdr>
          <w:top w:val="nil"/>
          <w:left w:val="nil"/>
          <w:bottom w:val="nil"/>
          <w:right w:val="nil"/>
          <w:between w:val="nil"/>
        </w:pBdr>
        <w:ind w:hanging="2"/>
        <w:jc w:val="both"/>
        <w:rPr>
          <w:i/>
          <w:color w:val="000000"/>
        </w:rPr>
      </w:pPr>
    </w:p>
    <w:p w14:paraId="682EB53D" w14:textId="1ED53EFB" w:rsidR="007108E9" w:rsidRPr="00D079BC" w:rsidRDefault="00C55DAE" w:rsidP="00D079BC">
      <w:pPr>
        <w:pBdr>
          <w:top w:val="nil"/>
          <w:left w:val="nil"/>
          <w:bottom w:val="nil"/>
          <w:right w:val="nil"/>
          <w:between w:val="nil"/>
        </w:pBdr>
        <w:ind w:hanging="2"/>
        <w:jc w:val="both"/>
        <w:rPr>
          <w:color w:val="000000"/>
        </w:rPr>
      </w:pPr>
      <w:r w:rsidRPr="00D079BC">
        <w:rPr>
          <w:b/>
          <w:color w:val="000000"/>
        </w:rPr>
        <w:t xml:space="preserve">Results and discussion  </w:t>
      </w:r>
    </w:p>
    <w:p w14:paraId="1987971C" w14:textId="45F8A3DE" w:rsidR="007108E9" w:rsidRPr="00D079BC" w:rsidRDefault="00C55DAE" w:rsidP="00D079BC">
      <w:pPr>
        <w:pBdr>
          <w:top w:val="nil"/>
          <w:left w:val="nil"/>
          <w:bottom w:val="nil"/>
          <w:right w:val="nil"/>
          <w:between w:val="nil"/>
        </w:pBdr>
        <w:ind w:hanging="2"/>
        <w:jc w:val="both"/>
        <w:rPr>
          <w:color w:val="000000"/>
        </w:rPr>
      </w:pPr>
      <w:r w:rsidRPr="00D079BC">
        <w:rPr>
          <w:b/>
          <w:color w:val="000000"/>
        </w:rPr>
        <w:t xml:space="preserve"> </w:t>
      </w:r>
    </w:p>
    <w:p w14:paraId="79C4EC3B" w14:textId="0D5595C1" w:rsidR="00B515FE" w:rsidRPr="00D079BC" w:rsidRDefault="00B515FE" w:rsidP="00D079BC">
      <w:pPr>
        <w:pBdr>
          <w:top w:val="nil"/>
          <w:left w:val="nil"/>
          <w:bottom w:val="nil"/>
          <w:right w:val="nil"/>
          <w:between w:val="nil"/>
        </w:pBdr>
        <w:suppressAutoHyphens/>
        <w:ind w:leftChars="-1" w:hangingChars="1" w:hanging="2"/>
        <w:jc w:val="both"/>
        <w:textDirection w:val="btLr"/>
        <w:textAlignment w:val="top"/>
        <w:outlineLvl w:val="0"/>
        <w:rPr>
          <w:i/>
          <w:color w:val="000000"/>
          <w:lang w:val="en-GB"/>
        </w:rPr>
      </w:pPr>
      <w:r w:rsidRPr="00D079BC">
        <w:rPr>
          <w:i/>
          <w:color w:val="000000"/>
          <w:lang w:val="en-GB"/>
        </w:rPr>
        <w:t xml:space="preserve">Discharge </w:t>
      </w:r>
      <w:r w:rsidR="003D2649" w:rsidRPr="00D079BC">
        <w:rPr>
          <w:i/>
          <w:color w:val="000000"/>
          <w:lang w:val="en-GB"/>
        </w:rPr>
        <w:t>analysis</w:t>
      </w:r>
    </w:p>
    <w:p w14:paraId="660B5425" w14:textId="5BA7EF80" w:rsidR="004A24B0" w:rsidRPr="00D079BC" w:rsidRDefault="004A24B0" w:rsidP="00D079BC">
      <w:pPr>
        <w:pBdr>
          <w:top w:val="nil"/>
          <w:left w:val="nil"/>
          <w:bottom w:val="nil"/>
          <w:right w:val="nil"/>
          <w:between w:val="nil"/>
        </w:pBdr>
        <w:suppressAutoHyphens/>
        <w:ind w:leftChars="-1" w:hangingChars="1" w:hanging="2"/>
        <w:jc w:val="both"/>
        <w:textDirection w:val="btLr"/>
        <w:textAlignment w:val="top"/>
        <w:outlineLvl w:val="0"/>
        <w:rPr>
          <w:i/>
          <w:color w:val="000000"/>
          <w:lang w:val="en-GB"/>
        </w:rPr>
      </w:pPr>
    </w:p>
    <w:p w14:paraId="79713354" w14:textId="275EBDF8" w:rsidR="004A24B0" w:rsidRPr="00D079BC" w:rsidRDefault="004A24B0"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r w:rsidRPr="00D079BC">
        <w:rPr>
          <w:color w:val="000000"/>
        </w:rPr>
        <w:tab/>
        <w:t>The analysis of 28 years of discharge data (1990-2017) calculated the Average Recurrence Interval (ARI) using the Gumbel Method. This method is commonly employed for flood frequency analysis due to its reliability in estimating the probability of extreme events. The data highlighted substantial variability in annual maximum discharge, with 2014 recording the highest value (18,339.4 m³/s) and 2002 the lowest (1,345.4 m³/s). This dataset enabled a robust statistical analysis of flood recurrence intervals.</w:t>
      </w:r>
    </w:p>
    <w:p w14:paraId="06CB0AD7" w14:textId="77777777" w:rsidR="004A24B0" w:rsidRPr="00D079BC" w:rsidRDefault="004A24B0"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r w:rsidRPr="00D079BC">
        <w:rPr>
          <w:color w:val="000000"/>
        </w:rPr>
        <w:lastRenderedPageBreak/>
        <w:tab/>
      </w:r>
      <w:r w:rsidRPr="00D079BC">
        <w:rPr>
          <w:color w:val="000000"/>
        </w:rPr>
        <w:tab/>
        <w:t>Table 1 presents the ranked discharge values, while Table 2 shows the ARI for different return periods. The ARI for a 2-year return period was 4,527.757 m³/s, and for a 50-year return period, it was 15,205.22 m³/s. The predicted maximum discharge for a significant flood event closely approximated the observed discharge in 2014, indicating an increasing trend in discharge values and suggesting a heightened potential for future flood disasters.</w:t>
      </w:r>
    </w:p>
    <w:p w14:paraId="46A8CD0F" w14:textId="7E82FF99" w:rsidR="00B515FE" w:rsidRPr="003D2649" w:rsidRDefault="004A24B0" w:rsidP="003D2649">
      <w:pPr>
        <w:pBdr>
          <w:top w:val="nil"/>
          <w:left w:val="nil"/>
          <w:bottom w:val="nil"/>
          <w:right w:val="nil"/>
          <w:between w:val="nil"/>
        </w:pBdr>
        <w:suppressAutoHyphens/>
        <w:ind w:leftChars="-1" w:hangingChars="1" w:hanging="2"/>
        <w:jc w:val="both"/>
        <w:textDirection w:val="btLr"/>
        <w:textAlignment w:val="top"/>
        <w:outlineLvl w:val="0"/>
        <w:rPr>
          <w:color w:val="000000"/>
        </w:rPr>
      </w:pPr>
      <w:r w:rsidRPr="00D079BC">
        <w:rPr>
          <w:color w:val="000000"/>
        </w:rPr>
        <w:tab/>
      </w:r>
      <w:r w:rsidRPr="00D079BC">
        <w:rPr>
          <w:color w:val="000000"/>
        </w:rPr>
        <w:tab/>
        <w:t>The development of a flood hazard map for Kelantan is essential for local governments and communities to use before, during, and after natural disasters. Accurate flood hazard maps can minimize risks and prevent resource wastage, including rescue time and the distribution of emergency assets. These maps, based on on-the-ground conditions, provide more detailed and accurate information than large-scale mapping, making them ideal for flood risk reduction management</w:t>
      </w:r>
      <w:r w:rsidR="003D2649">
        <w:rPr>
          <w:color w:val="000000"/>
        </w:rPr>
        <w:t>.</w:t>
      </w:r>
    </w:p>
    <w:p w14:paraId="752C06FC" w14:textId="77777777" w:rsidR="004A24B0" w:rsidRPr="00D079BC" w:rsidRDefault="004A24B0" w:rsidP="00D079BC">
      <w:pPr>
        <w:pBdr>
          <w:top w:val="nil"/>
          <w:left w:val="nil"/>
          <w:bottom w:val="nil"/>
          <w:right w:val="nil"/>
          <w:between w:val="nil"/>
        </w:pBdr>
        <w:suppressAutoHyphens/>
        <w:ind w:leftChars="-1" w:hangingChars="1" w:hanging="2"/>
        <w:jc w:val="both"/>
        <w:textDirection w:val="btLr"/>
        <w:textAlignment w:val="top"/>
        <w:outlineLvl w:val="0"/>
        <w:rPr>
          <w:color w:val="000000"/>
        </w:rPr>
      </w:pPr>
    </w:p>
    <w:p w14:paraId="54CF8001" w14:textId="70C23028" w:rsidR="00B515FE" w:rsidRDefault="00B515FE" w:rsidP="00D079BC">
      <w:pPr>
        <w:pBdr>
          <w:top w:val="nil"/>
          <w:left w:val="nil"/>
          <w:bottom w:val="nil"/>
          <w:right w:val="nil"/>
          <w:between w:val="nil"/>
        </w:pBdr>
        <w:suppressAutoHyphens/>
        <w:ind w:leftChars="-1" w:hangingChars="1" w:hanging="2"/>
        <w:jc w:val="center"/>
        <w:textDirection w:val="btLr"/>
        <w:textAlignment w:val="top"/>
        <w:outlineLvl w:val="0"/>
        <w:rPr>
          <w:color w:val="000000"/>
          <w:lang w:val="en-GB"/>
        </w:rPr>
      </w:pPr>
      <w:r w:rsidRPr="003D2649">
        <w:rPr>
          <w:b/>
          <w:color w:val="000000"/>
          <w:lang w:val="en-GB"/>
        </w:rPr>
        <w:t>Table 1.</w:t>
      </w:r>
      <w:r w:rsidRPr="003D2649">
        <w:rPr>
          <w:color w:val="000000"/>
          <w:lang w:val="en-GB"/>
        </w:rPr>
        <w:t xml:space="preserve"> Maximum </w:t>
      </w:r>
      <w:r w:rsidR="003D2649" w:rsidRPr="003D2649">
        <w:rPr>
          <w:color w:val="000000"/>
          <w:lang w:val="en-GB"/>
        </w:rPr>
        <w:t xml:space="preserve">discharge in </w:t>
      </w:r>
      <w:proofErr w:type="spellStart"/>
      <w:r w:rsidR="003D2649" w:rsidRPr="003D2649">
        <w:rPr>
          <w:color w:val="000000"/>
          <w:lang w:val="en-GB"/>
        </w:rPr>
        <w:t>guilemard</w:t>
      </w:r>
      <w:proofErr w:type="spellEnd"/>
      <w:r w:rsidR="003D2649" w:rsidRPr="003D2649">
        <w:rPr>
          <w:color w:val="000000"/>
          <w:lang w:val="en-GB"/>
        </w:rPr>
        <w:t xml:space="preserve"> station</w:t>
      </w:r>
    </w:p>
    <w:p w14:paraId="26277B4D" w14:textId="77777777" w:rsidR="003D2649" w:rsidRPr="003D2649" w:rsidRDefault="003D2649" w:rsidP="00D079BC">
      <w:pPr>
        <w:pBdr>
          <w:top w:val="nil"/>
          <w:left w:val="nil"/>
          <w:bottom w:val="nil"/>
          <w:right w:val="nil"/>
          <w:between w:val="nil"/>
        </w:pBdr>
        <w:suppressAutoHyphens/>
        <w:ind w:leftChars="-1" w:hangingChars="1" w:hanging="2"/>
        <w:jc w:val="center"/>
        <w:textDirection w:val="btLr"/>
        <w:textAlignment w:val="top"/>
        <w:outlineLvl w:val="0"/>
        <w:rPr>
          <w:color w:val="00000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93"/>
        <w:gridCol w:w="1865"/>
        <w:gridCol w:w="1170"/>
        <w:gridCol w:w="1440"/>
        <w:gridCol w:w="1866"/>
      </w:tblGrid>
      <w:tr w:rsidR="00D851A4" w:rsidRPr="003D2649" w14:paraId="5130F1FB" w14:textId="77777777" w:rsidTr="003D2649">
        <w:trPr>
          <w:jc w:val="center"/>
        </w:trPr>
        <w:tc>
          <w:tcPr>
            <w:tcW w:w="562" w:type="dxa"/>
            <w:tcBorders>
              <w:top w:val="single" w:sz="4" w:space="0" w:color="auto"/>
              <w:bottom w:val="single" w:sz="4" w:space="0" w:color="auto"/>
            </w:tcBorders>
            <w:shd w:val="clear" w:color="auto" w:fill="8DB3E2" w:themeFill="text2" w:themeFillTint="66"/>
          </w:tcPr>
          <w:p w14:paraId="376E921C" w14:textId="77777777" w:rsidR="00B515FE" w:rsidRPr="003D2649" w:rsidRDefault="00B515FE" w:rsidP="00D079BC">
            <w:pPr>
              <w:pBdr>
                <w:top w:val="nil"/>
                <w:left w:val="nil"/>
                <w:bottom w:val="nil"/>
                <w:right w:val="nil"/>
                <w:between w:val="nil"/>
              </w:pBdr>
              <w:ind w:left="0" w:hanging="2"/>
              <w:jc w:val="center"/>
              <w:rPr>
                <w:b/>
                <w:color w:val="000000"/>
                <w:lang w:val="en-GB"/>
              </w:rPr>
            </w:pPr>
            <w:r w:rsidRPr="003D2649">
              <w:rPr>
                <w:b/>
                <w:color w:val="000000"/>
                <w:lang w:val="en-GB"/>
              </w:rPr>
              <w:t>No</w:t>
            </w:r>
          </w:p>
        </w:tc>
        <w:tc>
          <w:tcPr>
            <w:tcW w:w="993" w:type="dxa"/>
            <w:tcBorders>
              <w:top w:val="single" w:sz="4" w:space="0" w:color="auto"/>
              <w:bottom w:val="single" w:sz="4" w:space="0" w:color="auto"/>
            </w:tcBorders>
            <w:shd w:val="clear" w:color="auto" w:fill="8DB3E2" w:themeFill="text2" w:themeFillTint="66"/>
          </w:tcPr>
          <w:p w14:paraId="27E81DA8" w14:textId="77777777" w:rsidR="00B515FE" w:rsidRPr="003D2649" w:rsidRDefault="00B515FE" w:rsidP="00D079BC">
            <w:pPr>
              <w:pBdr>
                <w:top w:val="nil"/>
                <w:left w:val="nil"/>
                <w:bottom w:val="nil"/>
                <w:right w:val="nil"/>
                <w:between w:val="nil"/>
              </w:pBdr>
              <w:ind w:left="0" w:hanging="2"/>
              <w:jc w:val="center"/>
              <w:rPr>
                <w:b/>
                <w:color w:val="000000"/>
                <w:lang w:val="en-GB"/>
              </w:rPr>
            </w:pPr>
            <w:r w:rsidRPr="003D2649">
              <w:rPr>
                <w:b/>
                <w:color w:val="000000"/>
                <w:lang w:val="en-GB"/>
              </w:rPr>
              <w:t>Year</w:t>
            </w:r>
          </w:p>
        </w:tc>
        <w:tc>
          <w:tcPr>
            <w:tcW w:w="1865" w:type="dxa"/>
            <w:tcBorders>
              <w:top w:val="single" w:sz="4" w:space="0" w:color="auto"/>
              <w:bottom w:val="single" w:sz="4" w:space="0" w:color="auto"/>
            </w:tcBorders>
            <w:shd w:val="clear" w:color="auto" w:fill="8DB3E2" w:themeFill="text2" w:themeFillTint="66"/>
          </w:tcPr>
          <w:p w14:paraId="0EC67593" w14:textId="22C95635" w:rsidR="00B515FE" w:rsidRPr="003D2649" w:rsidRDefault="00B515FE" w:rsidP="00D079BC">
            <w:pPr>
              <w:pBdr>
                <w:top w:val="nil"/>
                <w:left w:val="nil"/>
                <w:bottom w:val="nil"/>
                <w:right w:val="nil"/>
                <w:between w:val="nil"/>
              </w:pBdr>
              <w:ind w:left="0" w:hanging="2"/>
              <w:jc w:val="center"/>
              <w:rPr>
                <w:b/>
                <w:color w:val="000000"/>
                <w:lang w:val="en-GB"/>
              </w:rPr>
            </w:pPr>
            <w:r w:rsidRPr="003D2649">
              <w:rPr>
                <w:b/>
                <w:color w:val="000000"/>
                <w:lang w:val="en-GB"/>
              </w:rPr>
              <w:t xml:space="preserve">Max </w:t>
            </w:r>
            <w:r w:rsidR="003D2649" w:rsidRPr="003D2649">
              <w:rPr>
                <w:b/>
                <w:color w:val="000000"/>
                <w:lang w:val="en-GB"/>
              </w:rPr>
              <w:t>discharg</w:t>
            </w:r>
            <w:r w:rsidRPr="003D2649">
              <w:rPr>
                <w:b/>
                <w:color w:val="000000"/>
                <w:lang w:val="en-GB"/>
              </w:rPr>
              <w:t>e</w:t>
            </w:r>
          </w:p>
        </w:tc>
        <w:tc>
          <w:tcPr>
            <w:tcW w:w="1170" w:type="dxa"/>
            <w:tcBorders>
              <w:top w:val="single" w:sz="4" w:space="0" w:color="auto"/>
              <w:bottom w:val="single" w:sz="4" w:space="0" w:color="auto"/>
            </w:tcBorders>
            <w:shd w:val="clear" w:color="auto" w:fill="8DB3E2" w:themeFill="text2" w:themeFillTint="66"/>
          </w:tcPr>
          <w:p w14:paraId="6E993D13" w14:textId="77777777" w:rsidR="00B515FE" w:rsidRPr="003D2649" w:rsidRDefault="00B515FE" w:rsidP="00D079BC">
            <w:pPr>
              <w:pBdr>
                <w:top w:val="nil"/>
                <w:left w:val="nil"/>
                <w:bottom w:val="nil"/>
                <w:right w:val="nil"/>
                <w:between w:val="nil"/>
              </w:pBdr>
              <w:ind w:left="0" w:hanging="2"/>
              <w:jc w:val="center"/>
              <w:rPr>
                <w:b/>
                <w:color w:val="000000"/>
                <w:lang w:val="en-GB"/>
              </w:rPr>
            </w:pPr>
            <w:r w:rsidRPr="003D2649">
              <w:rPr>
                <w:b/>
                <w:color w:val="000000"/>
                <w:lang w:val="en-GB"/>
              </w:rPr>
              <w:t>No</w:t>
            </w:r>
          </w:p>
        </w:tc>
        <w:tc>
          <w:tcPr>
            <w:tcW w:w="1440" w:type="dxa"/>
            <w:tcBorders>
              <w:top w:val="single" w:sz="4" w:space="0" w:color="auto"/>
              <w:bottom w:val="single" w:sz="4" w:space="0" w:color="auto"/>
            </w:tcBorders>
            <w:shd w:val="clear" w:color="auto" w:fill="8DB3E2" w:themeFill="text2" w:themeFillTint="66"/>
          </w:tcPr>
          <w:p w14:paraId="07C8F658" w14:textId="77777777" w:rsidR="00B515FE" w:rsidRPr="003D2649" w:rsidRDefault="00B515FE" w:rsidP="00D079BC">
            <w:pPr>
              <w:pBdr>
                <w:top w:val="nil"/>
                <w:left w:val="nil"/>
                <w:bottom w:val="nil"/>
                <w:right w:val="nil"/>
                <w:between w:val="nil"/>
              </w:pBdr>
              <w:ind w:left="0" w:hanging="2"/>
              <w:jc w:val="center"/>
              <w:rPr>
                <w:b/>
                <w:color w:val="000000"/>
                <w:lang w:val="en-GB"/>
              </w:rPr>
            </w:pPr>
            <w:r w:rsidRPr="003D2649">
              <w:rPr>
                <w:b/>
                <w:color w:val="000000"/>
                <w:lang w:val="en-GB"/>
              </w:rPr>
              <w:t>Year</w:t>
            </w:r>
          </w:p>
        </w:tc>
        <w:tc>
          <w:tcPr>
            <w:tcW w:w="1866" w:type="dxa"/>
            <w:tcBorders>
              <w:top w:val="single" w:sz="4" w:space="0" w:color="auto"/>
              <w:bottom w:val="single" w:sz="4" w:space="0" w:color="auto"/>
            </w:tcBorders>
            <w:shd w:val="clear" w:color="auto" w:fill="8DB3E2" w:themeFill="text2" w:themeFillTint="66"/>
          </w:tcPr>
          <w:p w14:paraId="439F4BEF" w14:textId="2489A3F5" w:rsidR="00B515FE" w:rsidRPr="003D2649" w:rsidRDefault="00B515FE" w:rsidP="00D079BC">
            <w:pPr>
              <w:pBdr>
                <w:top w:val="nil"/>
                <w:left w:val="nil"/>
                <w:bottom w:val="nil"/>
                <w:right w:val="nil"/>
                <w:between w:val="nil"/>
              </w:pBdr>
              <w:ind w:left="0" w:hanging="2"/>
              <w:jc w:val="center"/>
              <w:rPr>
                <w:b/>
                <w:color w:val="000000"/>
                <w:lang w:val="en-GB"/>
              </w:rPr>
            </w:pPr>
            <w:r w:rsidRPr="003D2649">
              <w:rPr>
                <w:b/>
                <w:color w:val="000000"/>
                <w:lang w:val="en-GB"/>
              </w:rPr>
              <w:t xml:space="preserve">Max </w:t>
            </w:r>
            <w:r w:rsidR="003D2649" w:rsidRPr="003D2649">
              <w:rPr>
                <w:b/>
                <w:color w:val="000000"/>
                <w:lang w:val="en-GB"/>
              </w:rPr>
              <w:t>discharge</w:t>
            </w:r>
          </w:p>
        </w:tc>
      </w:tr>
      <w:tr w:rsidR="00D851A4" w:rsidRPr="003D2649" w14:paraId="35DDA8B0" w14:textId="77777777" w:rsidTr="003D2649">
        <w:trPr>
          <w:jc w:val="center"/>
        </w:trPr>
        <w:tc>
          <w:tcPr>
            <w:tcW w:w="562" w:type="dxa"/>
            <w:tcBorders>
              <w:top w:val="single" w:sz="4" w:space="0" w:color="auto"/>
            </w:tcBorders>
            <w:vAlign w:val="bottom"/>
          </w:tcPr>
          <w:p w14:paraId="5DC00213"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w:t>
            </w:r>
          </w:p>
        </w:tc>
        <w:tc>
          <w:tcPr>
            <w:tcW w:w="993" w:type="dxa"/>
            <w:tcBorders>
              <w:top w:val="single" w:sz="4" w:space="0" w:color="auto"/>
            </w:tcBorders>
            <w:vAlign w:val="center"/>
          </w:tcPr>
          <w:p w14:paraId="2A1C6F37"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1990</w:t>
            </w:r>
          </w:p>
        </w:tc>
        <w:tc>
          <w:tcPr>
            <w:tcW w:w="1865" w:type="dxa"/>
            <w:tcBorders>
              <w:top w:val="single" w:sz="4" w:space="0" w:color="auto"/>
            </w:tcBorders>
            <w:vAlign w:val="center"/>
          </w:tcPr>
          <w:p w14:paraId="1FE3626E"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5435.5</w:t>
            </w:r>
          </w:p>
        </w:tc>
        <w:tc>
          <w:tcPr>
            <w:tcW w:w="1170" w:type="dxa"/>
            <w:tcBorders>
              <w:top w:val="single" w:sz="4" w:space="0" w:color="auto"/>
            </w:tcBorders>
            <w:vAlign w:val="bottom"/>
          </w:tcPr>
          <w:p w14:paraId="7143DA71"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15</w:t>
            </w:r>
          </w:p>
        </w:tc>
        <w:tc>
          <w:tcPr>
            <w:tcW w:w="1440" w:type="dxa"/>
            <w:tcBorders>
              <w:top w:val="single" w:sz="4" w:space="0" w:color="auto"/>
            </w:tcBorders>
            <w:vAlign w:val="center"/>
          </w:tcPr>
          <w:p w14:paraId="53202200"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2004</w:t>
            </w:r>
          </w:p>
        </w:tc>
        <w:tc>
          <w:tcPr>
            <w:tcW w:w="1866" w:type="dxa"/>
            <w:tcBorders>
              <w:top w:val="single" w:sz="4" w:space="0" w:color="auto"/>
            </w:tcBorders>
            <w:vAlign w:val="center"/>
          </w:tcPr>
          <w:p w14:paraId="12C54B12"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4895.2</w:t>
            </w:r>
          </w:p>
        </w:tc>
      </w:tr>
      <w:tr w:rsidR="00D851A4" w:rsidRPr="003D2649" w14:paraId="2F0B0BF8" w14:textId="77777777" w:rsidTr="003D2649">
        <w:trPr>
          <w:jc w:val="center"/>
        </w:trPr>
        <w:tc>
          <w:tcPr>
            <w:tcW w:w="562" w:type="dxa"/>
            <w:vAlign w:val="bottom"/>
          </w:tcPr>
          <w:p w14:paraId="139D35CB"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w:t>
            </w:r>
          </w:p>
        </w:tc>
        <w:tc>
          <w:tcPr>
            <w:tcW w:w="993" w:type="dxa"/>
            <w:vAlign w:val="center"/>
          </w:tcPr>
          <w:p w14:paraId="112555A9"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1991</w:t>
            </w:r>
          </w:p>
        </w:tc>
        <w:tc>
          <w:tcPr>
            <w:tcW w:w="1865" w:type="dxa"/>
            <w:vAlign w:val="center"/>
          </w:tcPr>
          <w:p w14:paraId="6053EE9D"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3424</w:t>
            </w:r>
          </w:p>
        </w:tc>
        <w:tc>
          <w:tcPr>
            <w:tcW w:w="1170" w:type="dxa"/>
            <w:vAlign w:val="bottom"/>
          </w:tcPr>
          <w:p w14:paraId="0EF5DC0C"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16</w:t>
            </w:r>
          </w:p>
        </w:tc>
        <w:tc>
          <w:tcPr>
            <w:tcW w:w="1440" w:type="dxa"/>
            <w:vAlign w:val="center"/>
          </w:tcPr>
          <w:p w14:paraId="09077821"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2005</w:t>
            </w:r>
          </w:p>
        </w:tc>
        <w:tc>
          <w:tcPr>
            <w:tcW w:w="1866" w:type="dxa"/>
            <w:vAlign w:val="center"/>
          </w:tcPr>
          <w:p w14:paraId="7E982D33"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4133.7</w:t>
            </w:r>
          </w:p>
        </w:tc>
      </w:tr>
      <w:tr w:rsidR="00D851A4" w:rsidRPr="003D2649" w14:paraId="1B5DAA2A" w14:textId="77777777" w:rsidTr="003D2649">
        <w:trPr>
          <w:jc w:val="center"/>
        </w:trPr>
        <w:tc>
          <w:tcPr>
            <w:tcW w:w="562" w:type="dxa"/>
            <w:vAlign w:val="bottom"/>
          </w:tcPr>
          <w:p w14:paraId="55D6E81C"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3</w:t>
            </w:r>
          </w:p>
        </w:tc>
        <w:tc>
          <w:tcPr>
            <w:tcW w:w="993" w:type="dxa"/>
            <w:vAlign w:val="center"/>
          </w:tcPr>
          <w:p w14:paraId="30934ACC"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1992</w:t>
            </w:r>
          </w:p>
        </w:tc>
        <w:tc>
          <w:tcPr>
            <w:tcW w:w="1865" w:type="dxa"/>
            <w:vAlign w:val="center"/>
          </w:tcPr>
          <w:p w14:paraId="1DA938AC"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5048.4</w:t>
            </w:r>
          </w:p>
        </w:tc>
        <w:tc>
          <w:tcPr>
            <w:tcW w:w="1170" w:type="dxa"/>
            <w:vAlign w:val="bottom"/>
          </w:tcPr>
          <w:p w14:paraId="7FEFD9AD"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17</w:t>
            </w:r>
          </w:p>
        </w:tc>
        <w:tc>
          <w:tcPr>
            <w:tcW w:w="1440" w:type="dxa"/>
            <w:vAlign w:val="center"/>
          </w:tcPr>
          <w:p w14:paraId="2F7EAEB8"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2006</w:t>
            </w:r>
          </w:p>
        </w:tc>
        <w:tc>
          <w:tcPr>
            <w:tcW w:w="1866" w:type="dxa"/>
            <w:vAlign w:val="center"/>
          </w:tcPr>
          <w:p w14:paraId="2A019FD6"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3891.5</w:t>
            </w:r>
          </w:p>
        </w:tc>
      </w:tr>
      <w:tr w:rsidR="00D851A4" w:rsidRPr="003D2649" w14:paraId="69A44EE7" w14:textId="77777777" w:rsidTr="003D2649">
        <w:trPr>
          <w:jc w:val="center"/>
        </w:trPr>
        <w:tc>
          <w:tcPr>
            <w:tcW w:w="562" w:type="dxa"/>
            <w:vAlign w:val="bottom"/>
          </w:tcPr>
          <w:p w14:paraId="7355C36E"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4</w:t>
            </w:r>
          </w:p>
        </w:tc>
        <w:tc>
          <w:tcPr>
            <w:tcW w:w="993" w:type="dxa"/>
            <w:vAlign w:val="center"/>
          </w:tcPr>
          <w:p w14:paraId="3C373950"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1993</w:t>
            </w:r>
          </w:p>
        </w:tc>
        <w:tc>
          <w:tcPr>
            <w:tcW w:w="1865" w:type="dxa"/>
            <w:vAlign w:val="center"/>
          </w:tcPr>
          <w:p w14:paraId="2D9E90B3"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10746.3</w:t>
            </w:r>
          </w:p>
        </w:tc>
        <w:tc>
          <w:tcPr>
            <w:tcW w:w="1170" w:type="dxa"/>
            <w:vAlign w:val="bottom"/>
          </w:tcPr>
          <w:p w14:paraId="3721E650"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18</w:t>
            </w:r>
          </w:p>
        </w:tc>
        <w:tc>
          <w:tcPr>
            <w:tcW w:w="1440" w:type="dxa"/>
            <w:vAlign w:val="center"/>
          </w:tcPr>
          <w:p w14:paraId="2A8D6940"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2007</w:t>
            </w:r>
          </w:p>
        </w:tc>
        <w:tc>
          <w:tcPr>
            <w:tcW w:w="1866" w:type="dxa"/>
            <w:vAlign w:val="center"/>
          </w:tcPr>
          <w:p w14:paraId="0E0B7C18"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8028.4</w:t>
            </w:r>
          </w:p>
        </w:tc>
      </w:tr>
      <w:tr w:rsidR="00D851A4" w:rsidRPr="003D2649" w14:paraId="7B0B151D" w14:textId="77777777" w:rsidTr="003D2649">
        <w:trPr>
          <w:jc w:val="center"/>
        </w:trPr>
        <w:tc>
          <w:tcPr>
            <w:tcW w:w="562" w:type="dxa"/>
            <w:vAlign w:val="bottom"/>
          </w:tcPr>
          <w:p w14:paraId="5F73D7DF"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5</w:t>
            </w:r>
          </w:p>
        </w:tc>
        <w:tc>
          <w:tcPr>
            <w:tcW w:w="993" w:type="dxa"/>
            <w:vAlign w:val="center"/>
          </w:tcPr>
          <w:p w14:paraId="7A2D6BB0"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1994</w:t>
            </w:r>
          </w:p>
        </w:tc>
        <w:tc>
          <w:tcPr>
            <w:tcW w:w="1865" w:type="dxa"/>
            <w:vAlign w:val="center"/>
          </w:tcPr>
          <w:p w14:paraId="3B892B6F"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5052.6</w:t>
            </w:r>
          </w:p>
        </w:tc>
        <w:tc>
          <w:tcPr>
            <w:tcW w:w="1170" w:type="dxa"/>
            <w:vAlign w:val="bottom"/>
          </w:tcPr>
          <w:p w14:paraId="18541BC4"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19</w:t>
            </w:r>
          </w:p>
        </w:tc>
        <w:tc>
          <w:tcPr>
            <w:tcW w:w="1440" w:type="dxa"/>
            <w:vAlign w:val="center"/>
          </w:tcPr>
          <w:p w14:paraId="6DB9EAE5"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2008</w:t>
            </w:r>
          </w:p>
        </w:tc>
        <w:tc>
          <w:tcPr>
            <w:tcW w:w="1866" w:type="dxa"/>
            <w:vAlign w:val="center"/>
          </w:tcPr>
          <w:p w14:paraId="107531FB"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4593.9</w:t>
            </w:r>
          </w:p>
        </w:tc>
      </w:tr>
      <w:tr w:rsidR="00D851A4" w:rsidRPr="003D2649" w14:paraId="6278A959" w14:textId="77777777" w:rsidTr="003D2649">
        <w:trPr>
          <w:jc w:val="center"/>
        </w:trPr>
        <w:tc>
          <w:tcPr>
            <w:tcW w:w="562" w:type="dxa"/>
            <w:vAlign w:val="bottom"/>
          </w:tcPr>
          <w:p w14:paraId="7335FCCF"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6</w:t>
            </w:r>
          </w:p>
        </w:tc>
        <w:tc>
          <w:tcPr>
            <w:tcW w:w="993" w:type="dxa"/>
            <w:vAlign w:val="center"/>
          </w:tcPr>
          <w:p w14:paraId="79307407"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1995</w:t>
            </w:r>
          </w:p>
        </w:tc>
        <w:tc>
          <w:tcPr>
            <w:tcW w:w="1865" w:type="dxa"/>
            <w:vAlign w:val="center"/>
          </w:tcPr>
          <w:p w14:paraId="52E020DC"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2987.2</w:t>
            </w:r>
          </w:p>
        </w:tc>
        <w:tc>
          <w:tcPr>
            <w:tcW w:w="1170" w:type="dxa"/>
            <w:vAlign w:val="bottom"/>
          </w:tcPr>
          <w:p w14:paraId="7B597C8C"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w:t>
            </w:r>
          </w:p>
        </w:tc>
        <w:tc>
          <w:tcPr>
            <w:tcW w:w="1440" w:type="dxa"/>
            <w:vAlign w:val="center"/>
          </w:tcPr>
          <w:p w14:paraId="330C04E4"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2009</w:t>
            </w:r>
          </w:p>
        </w:tc>
        <w:tc>
          <w:tcPr>
            <w:tcW w:w="1866" w:type="dxa"/>
            <w:vAlign w:val="center"/>
          </w:tcPr>
          <w:p w14:paraId="6F246662"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7786</w:t>
            </w:r>
          </w:p>
        </w:tc>
      </w:tr>
      <w:tr w:rsidR="00D851A4" w:rsidRPr="003D2649" w14:paraId="7FDF4979" w14:textId="77777777" w:rsidTr="003D2649">
        <w:trPr>
          <w:jc w:val="center"/>
        </w:trPr>
        <w:tc>
          <w:tcPr>
            <w:tcW w:w="562" w:type="dxa"/>
            <w:vAlign w:val="bottom"/>
          </w:tcPr>
          <w:p w14:paraId="4A059CF7"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7</w:t>
            </w:r>
          </w:p>
        </w:tc>
        <w:tc>
          <w:tcPr>
            <w:tcW w:w="993" w:type="dxa"/>
            <w:vAlign w:val="center"/>
          </w:tcPr>
          <w:p w14:paraId="54637D35"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1996</w:t>
            </w:r>
          </w:p>
        </w:tc>
        <w:tc>
          <w:tcPr>
            <w:tcW w:w="1865" w:type="dxa"/>
            <w:vAlign w:val="center"/>
          </w:tcPr>
          <w:p w14:paraId="07C72D0E"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1772.6</w:t>
            </w:r>
          </w:p>
        </w:tc>
        <w:tc>
          <w:tcPr>
            <w:tcW w:w="1170" w:type="dxa"/>
            <w:vAlign w:val="bottom"/>
          </w:tcPr>
          <w:p w14:paraId="7F181A8B"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21</w:t>
            </w:r>
          </w:p>
        </w:tc>
        <w:tc>
          <w:tcPr>
            <w:tcW w:w="1440" w:type="dxa"/>
            <w:vAlign w:val="center"/>
          </w:tcPr>
          <w:p w14:paraId="5ABF49FE"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2010</w:t>
            </w:r>
          </w:p>
        </w:tc>
        <w:tc>
          <w:tcPr>
            <w:tcW w:w="1866" w:type="dxa"/>
            <w:vAlign w:val="center"/>
          </w:tcPr>
          <w:p w14:paraId="77868D15"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2339.8</w:t>
            </w:r>
          </w:p>
        </w:tc>
      </w:tr>
      <w:tr w:rsidR="00D851A4" w:rsidRPr="003D2649" w14:paraId="7B22F002" w14:textId="77777777" w:rsidTr="003D2649">
        <w:trPr>
          <w:jc w:val="center"/>
        </w:trPr>
        <w:tc>
          <w:tcPr>
            <w:tcW w:w="562" w:type="dxa"/>
            <w:vAlign w:val="bottom"/>
          </w:tcPr>
          <w:p w14:paraId="3412A80F"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8</w:t>
            </w:r>
          </w:p>
        </w:tc>
        <w:tc>
          <w:tcPr>
            <w:tcW w:w="993" w:type="dxa"/>
            <w:vAlign w:val="center"/>
          </w:tcPr>
          <w:p w14:paraId="4AC62017"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1997</w:t>
            </w:r>
          </w:p>
        </w:tc>
        <w:tc>
          <w:tcPr>
            <w:tcW w:w="1865" w:type="dxa"/>
            <w:vAlign w:val="center"/>
          </w:tcPr>
          <w:p w14:paraId="2DC9E7A0"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2447.5</w:t>
            </w:r>
          </w:p>
        </w:tc>
        <w:tc>
          <w:tcPr>
            <w:tcW w:w="1170" w:type="dxa"/>
            <w:vAlign w:val="bottom"/>
          </w:tcPr>
          <w:p w14:paraId="35C7B3BA"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22</w:t>
            </w:r>
          </w:p>
        </w:tc>
        <w:tc>
          <w:tcPr>
            <w:tcW w:w="1440" w:type="dxa"/>
            <w:vAlign w:val="center"/>
          </w:tcPr>
          <w:p w14:paraId="4946AECD"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2011</w:t>
            </w:r>
          </w:p>
        </w:tc>
        <w:tc>
          <w:tcPr>
            <w:tcW w:w="1866" w:type="dxa"/>
            <w:vAlign w:val="center"/>
          </w:tcPr>
          <w:p w14:paraId="37ACCC35"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4191.5</w:t>
            </w:r>
          </w:p>
        </w:tc>
      </w:tr>
      <w:tr w:rsidR="00D851A4" w:rsidRPr="003D2649" w14:paraId="49CD2F21" w14:textId="77777777" w:rsidTr="003D2649">
        <w:trPr>
          <w:jc w:val="center"/>
        </w:trPr>
        <w:tc>
          <w:tcPr>
            <w:tcW w:w="562" w:type="dxa"/>
            <w:vAlign w:val="bottom"/>
          </w:tcPr>
          <w:p w14:paraId="065E6601"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9</w:t>
            </w:r>
          </w:p>
        </w:tc>
        <w:tc>
          <w:tcPr>
            <w:tcW w:w="993" w:type="dxa"/>
            <w:vAlign w:val="center"/>
          </w:tcPr>
          <w:p w14:paraId="6E7BEFC7"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1998</w:t>
            </w:r>
          </w:p>
        </w:tc>
        <w:tc>
          <w:tcPr>
            <w:tcW w:w="1865" w:type="dxa"/>
            <w:vAlign w:val="center"/>
          </w:tcPr>
          <w:p w14:paraId="23AAA712"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5189.7</w:t>
            </w:r>
          </w:p>
        </w:tc>
        <w:tc>
          <w:tcPr>
            <w:tcW w:w="1170" w:type="dxa"/>
            <w:vAlign w:val="bottom"/>
          </w:tcPr>
          <w:p w14:paraId="64D82817"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23</w:t>
            </w:r>
          </w:p>
        </w:tc>
        <w:tc>
          <w:tcPr>
            <w:tcW w:w="1440" w:type="dxa"/>
            <w:vAlign w:val="center"/>
          </w:tcPr>
          <w:p w14:paraId="5386F04B"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2012</w:t>
            </w:r>
          </w:p>
        </w:tc>
        <w:tc>
          <w:tcPr>
            <w:tcW w:w="1866" w:type="dxa"/>
            <w:vAlign w:val="center"/>
          </w:tcPr>
          <w:p w14:paraId="7ABD4356"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4432.9</w:t>
            </w:r>
          </w:p>
        </w:tc>
      </w:tr>
      <w:tr w:rsidR="00D851A4" w:rsidRPr="003D2649" w14:paraId="7190275E" w14:textId="77777777" w:rsidTr="003D2649">
        <w:trPr>
          <w:jc w:val="center"/>
        </w:trPr>
        <w:tc>
          <w:tcPr>
            <w:tcW w:w="562" w:type="dxa"/>
            <w:vAlign w:val="bottom"/>
          </w:tcPr>
          <w:p w14:paraId="5F95EC9D"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10</w:t>
            </w:r>
          </w:p>
        </w:tc>
        <w:tc>
          <w:tcPr>
            <w:tcW w:w="993" w:type="dxa"/>
            <w:vAlign w:val="center"/>
          </w:tcPr>
          <w:p w14:paraId="15A324E5"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1999</w:t>
            </w:r>
          </w:p>
        </w:tc>
        <w:tc>
          <w:tcPr>
            <w:tcW w:w="1865" w:type="dxa"/>
            <w:vAlign w:val="center"/>
          </w:tcPr>
          <w:p w14:paraId="2ECB2136"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5430.3</w:t>
            </w:r>
          </w:p>
        </w:tc>
        <w:tc>
          <w:tcPr>
            <w:tcW w:w="1170" w:type="dxa"/>
            <w:vAlign w:val="bottom"/>
          </w:tcPr>
          <w:p w14:paraId="41C5DB0D"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24</w:t>
            </w:r>
          </w:p>
        </w:tc>
        <w:tc>
          <w:tcPr>
            <w:tcW w:w="1440" w:type="dxa"/>
            <w:vAlign w:val="center"/>
          </w:tcPr>
          <w:p w14:paraId="5E7151AB"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2013</w:t>
            </w:r>
          </w:p>
        </w:tc>
        <w:tc>
          <w:tcPr>
            <w:tcW w:w="1866" w:type="dxa"/>
            <w:vAlign w:val="center"/>
          </w:tcPr>
          <w:p w14:paraId="3C57060E"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6215.5</w:t>
            </w:r>
          </w:p>
        </w:tc>
      </w:tr>
      <w:tr w:rsidR="00D851A4" w:rsidRPr="003D2649" w14:paraId="4B229388" w14:textId="77777777" w:rsidTr="003D2649">
        <w:trPr>
          <w:jc w:val="center"/>
        </w:trPr>
        <w:tc>
          <w:tcPr>
            <w:tcW w:w="562" w:type="dxa"/>
            <w:vAlign w:val="bottom"/>
          </w:tcPr>
          <w:p w14:paraId="42432AA6"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11</w:t>
            </w:r>
          </w:p>
        </w:tc>
        <w:tc>
          <w:tcPr>
            <w:tcW w:w="993" w:type="dxa"/>
            <w:vAlign w:val="center"/>
          </w:tcPr>
          <w:p w14:paraId="25C7F28E"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2000</w:t>
            </w:r>
          </w:p>
        </w:tc>
        <w:tc>
          <w:tcPr>
            <w:tcW w:w="1865" w:type="dxa"/>
            <w:vAlign w:val="center"/>
          </w:tcPr>
          <w:p w14:paraId="02B0F9AC"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5026.9</w:t>
            </w:r>
          </w:p>
        </w:tc>
        <w:tc>
          <w:tcPr>
            <w:tcW w:w="1170" w:type="dxa"/>
            <w:vAlign w:val="bottom"/>
          </w:tcPr>
          <w:p w14:paraId="5A66E4EB"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25</w:t>
            </w:r>
          </w:p>
        </w:tc>
        <w:tc>
          <w:tcPr>
            <w:tcW w:w="1440" w:type="dxa"/>
            <w:vAlign w:val="center"/>
          </w:tcPr>
          <w:p w14:paraId="3868F65F"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2014</w:t>
            </w:r>
          </w:p>
        </w:tc>
        <w:tc>
          <w:tcPr>
            <w:tcW w:w="1866" w:type="dxa"/>
            <w:vAlign w:val="center"/>
          </w:tcPr>
          <w:p w14:paraId="2DC073AE"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18339.4</w:t>
            </w:r>
          </w:p>
        </w:tc>
      </w:tr>
      <w:tr w:rsidR="00D851A4" w:rsidRPr="003D2649" w14:paraId="1445CCD9" w14:textId="77777777" w:rsidTr="003D2649">
        <w:trPr>
          <w:jc w:val="center"/>
        </w:trPr>
        <w:tc>
          <w:tcPr>
            <w:tcW w:w="562" w:type="dxa"/>
            <w:vAlign w:val="bottom"/>
          </w:tcPr>
          <w:p w14:paraId="0882A087"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12</w:t>
            </w:r>
          </w:p>
        </w:tc>
        <w:tc>
          <w:tcPr>
            <w:tcW w:w="993" w:type="dxa"/>
            <w:vAlign w:val="center"/>
          </w:tcPr>
          <w:p w14:paraId="1654FF89"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2001</w:t>
            </w:r>
          </w:p>
        </w:tc>
        <w:tc>
          <w:tcPr>
            <w:tcW w:w="1865" w:type="dxa"/>
            <w:vAlign w:val="center"/>
          </w:tcPr>
          <w:p w14:paraId="55DBEFDA"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6111.8</w:t>
            </w:r>
          </w:p>
        </w:tc>
        <w:tc>
          <w:tcPr>
            <w:tcW w:w="1170" w:type="dxa"/>
            <w:vAlign w:val="bottom"/>
          </w:tcPr>
          <w:p w14:paraId="718D6A2A"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26</w:t>
            </w:r>
          </w:p>
        </w:tc>
        <w:tc>
          <w:tcPr>
            <w:tcW w:w="1440" w:type="dxa"/>
            <w:vAlign w:val="center"/>
          </w:tcPr>
          <w:p w14:paraId="592EC3A5"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2015</w:t>
            </w:r>
          </w:p>
        </w:tc>
        <w:tc>
          <w:tcPr>
            <w:tcW w:w="1866" w:type="dxa"/>
            <w:vAlign w:val="center"/>
          </w:tcPr>
          <w:p w14:paraId="72146A7A"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3213.9</w:t>
            </w:r>
          </w:p>
        </w:tc>
      </w:tr>
      <w:tr w:rsidR="00D851A4" w:rsidRPr="003D2649" w14:paraId="53389553" w14:textId="77777777" w:rsidTr="003D2649">
        <w:trPr>
          <w:jc w:val="center"/>
        </w:trPr>
        <w:tc>
          <w:tcPr>
            <w:tcW w:w="562" w:type="dxa"/>
            <w:vAlign w:val="bottom"/>
          </w:tcPr>
          <w:p w14:paraId="54D0647E"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13</w:t>
            </w:r>
          </w:p>
        </w:tc>
        <w:tc>
          <w:tcPr>
            <w:tcW w:w="993" w:type="dxa"/>
            <w:vAlign w:val="center"/>
          </w:tcPr>
          <w:p w14:paraId="59AC106F"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2002</w:t>
            </w:r>
          </w:p>
        </w:tc>
        <w:tc>
          <w:tcPr>
            <w:tcW w:w="1865" w:type="dxa"/>
            <w:vAlign w:val="center"/>
          </w:tcPr>
          <w:p w14:paraId="38FF6A49"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1345.4</w:t>
            </w:r>
          </w:p>
        </w:tc>
        <w:tc>
          <w:tcPr>
            <w:tcW w:w="1170" w:type="dxa"/>
            <w:vAlign w:val="bottom"/>
          </w:tcPr>
          <w:p w14:paraId="399D44F1"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27</w:t>
            </w:r>
          </w:p>
        </w:tc>
        <w:tc>
          <w:tcPr>
            <w:tcW w:w="1440" w:type="dxa"/>
            <w:vAlign w:val="center"/>
          </w:tcPr>
          <w:p w14:paraId="616AA3E5"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2016</w:t>
            </w:r>
          </w:p>
        </w:tc>
        <w:tc>
          <w:tcPr>
            <w:tcW w:w="1866" w:type="dxa"/>
            <w:vAlign w:val="center"/>
          </w:tcPr>
          <w:p w14:paraId="531E79EF"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3007.3</w:t>
            </w:r>
          </w:p>
        </w:tc>
      </w:tr>
      <w:tr w:rsidR="00D851A4" w:rsidRPr="003D2649" w14:paraId="34469AC3" w14:textId="77777777" w:rsidTr="003D2649">
        <w:trPr>
          <w:jc w:val="center"/>
        </w:trPr>
        <w:tc>
          <w:tcPr>
            <w:tcW w:w="562" w:type="dxa"/>
            <w:tcBorders>
              <w:bottom w:val="single" w:sz="4" w:space="0" w:color="auto"/>
            </w:tcBorders>
            <w:vAlign w:val="bottom"/>
          </w:tcPr>
          <w:p w14:paraId="3CC56047"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14</w:t>
            </w:r>
          </w:p>
        </w:tc>
        <w:tc>
          <w:tcPr>
            <w:tcW w:w="993" w:type="dxa"/>
            <w:tcBorders>
              <w:bottom w:val="single" w:sz="4" w:space="0" w:color="auto"/>
            </w:tcBorders>
            <w:vAlign w:val="center"/>
          </w:tcPr>
          <w:p w14:paraId="7B0B5670"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2003</w:t>
            </w:r>
          </w:p>
        </w:tc>
        <w:tc>
          <w:tcPr>
            <w:tcW w:w="1865" w:type="dxa"/>
            <w:tcBorders>
              <w:bottom w:val="single" w:sz="4" w:space="0" w:color="auto"/>
            </w:tcBorders>
            <w:vAlign w:val="center"/>
          </w:tcPr>
          <w:p w14:paraId="7CFFEDEF"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3755</w:t>
            </w:r>
          </w:p>
        </w:tc>
        <w:tc>
          <w:tcPr>
            <w:tcW w:w="1170" w:type="dxa"/>
            <w:tcBorders>
              <w:bottom w:val="single" w:sz="4" w:space="0" w:color="auto"/>
            </w:tcBorders>
            <w:vAlign w:val="bottom"/>
          </w:tcPr>
          <w:p w14:paraId="0157F5B8"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28</w:t>
            </w:r>
          </w:p>
        </w:tc>
        <w:tc>
          <w:tcPr>
            <w:tcW w:w="1440" w:type="dxa"/>
            <w:tcBorders>
              <w:bottom w:val="single" w:sz="4" w:space="0" w:color="auto"/>
            </w:tcBorders>
            <w:vAlign w:val="center"/>
          </w:tcPr>
          <w:p w14:paraId="267A4C1E"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2017</w:t>
            </w:r>
          </w:p>
        </w:tc>
        <w:tc>
          <w:tcPr>
            <w:tcW w:w="1866" w:type="dxa"/>
            <w:tcBorders>
              <w:bottom w:val="single" w:sz="4" w:space="0" w:color="auto"/>
            </w:tcBorders>
            <w:vAlign w:val="center"/>
          </w:tcPr>
          <w:p w14:paraId="3CC6DE30" w14:textId="77777777" w:rsidR="00B515FE" w:rsidRPr="003D2649" w:rsidRDefault="00B515FE" w:rsidP="00D079BC">
            <w:pPr>
              <w:pBdr>
                <w:top w:val="nil"/>
                <w:left w:val="nil"/>
                <w:bottom w:val="nil"/>
                <w:right w:val="nil"/>
                <w:between w:val="nil"/>
              </w:pBdr>
              <w:ind w:left="0" w:hanging="2"/>
              <w:jc w:val="center"/>
              <w:rPr>
                <w:color w:val="000000"/>
                <w:lang w:val="en-GB"/>
              </w:rPr>
            </w:pPr>
            <w:r w:rsidRPr="003D2649">
              <w:rPr>
                <w:color w:val="000000"/>
                <w:lang w:val="en-GB"/>
              </w:rPr>
              <w:t>7128.4</w:t>
            </w:r>
          </w:p>
        </w:tc>
      </w:tr>
    </w:tbl>
    <w:p w14:paraId="7B3F424A" w14:textId="20CD731E" w:rsidR="00B515FE" w:rsidRPr="003D2649" w:rsidRDefault="003D2649" w:rsidP="00D079BC">
      <w:pPr>
        <w:pBdr>
          <w:top w:val="nil"/>
          <w:left w:val="nil"/>
          <w:bottom w:val="nil"/>
          <w:right w:val="nil"/>
          <w:between w:val="nil"/>
        </w:pBdr>
        <w:ind w:hanging="2"/>
        <w:jc w:val="both"/>
        <w:rPr>
          <w:color w:val="000000"/>
          <w:lang w:val="en-GB"/>
        </w:rPr>
      </w:pPr>
      <w:r>
        <w:rPr>
          <w:color w:val="000000"/>
          <w:lang w:val="en-GB"/>
        </w:rPr>
        <w:t xml:space="preserve">            </w:t>
      </w:r>
      <w:r w:rsidR="00D851A4" w:rsidRPr="003D2649">
        <w:rPr>
          <w:color w:val="000000"/>
          <w:lang w:val="en-GB"/>
        </w:rPr>
        <w:t xml:space="preserve">Source: Research </w:t>
      </w:r>
      <w:r w:rsidRPr="003D2649">
        <w:rPr>
          <w:color w:val="000000"/>
          <w:lang w:val="en-GB"/>
        </w:rPr>
        <w:t>data</w:t>
      </w:r>
    </w:p>
    <w:p w14:paraId="5781CE06" w14:textId="77777777" w:rsidR="00D851A4" w:rsidRPr="00D079BC" w:rsidRDefault="00D851A4" w:rsidP="00D079BC">
      <w:pPr>
        <w:pBdr>
          <w:top w:val="nil"/>
          <w:left w:val="nil"/>
          <w:bottom w:val="nil"/>
          <w:right w:val="nil"/>
          <w:between w:val="nil"/>
        </w:pBdr>
        <w:suppressAutoHyphens/>
        <w:ind w:leftChars="-1" w:hangingChars="1" w:hanging="2"/>
        <w:jc w:val="both"/>
        <w:textDirection w:val="btLr"/>
        <w:textAlignment w:val="top"/>
        <w:outlineLvl w:val="0"/>
        <w:rPr>
          <w:color w:val="000000"/>
          <w:lang w:val="en-GB"/>
        </w:rPr>
      </w:pPr>
    </w:p>
    <w:p w14:paraId="44DEFA62" w14:textId="47EA7639" w:rsidR="00B515FE" w:rsidRPr="00D079BC" w:rsidRDefault="00B515FE" w:rsidP="00D079BC">
      <w:pPr>
        <w:pBdr>
          <w:top w:val="nil"/>
          <w:left w:val="nil"/>
          <w:bottom w:val="nil"/>
          <w:right w:val="nil"/>
          <w:between w:val="nil"/>
        </w:pBdr>
        <w:suppressAutoHyphens/>
        <w:ind w:leftChars="-1" w:hangingChars="1" w:hanging="2"/>
        <w:jc w:val="both"/>
        <w:textDirection w:val="btLr"/>
        <w:textAlignment w:val="top"/>
        <w:outlineLvl w:val="0"/>
        <w:rPr>
          <w:bCs/>
          <w:color w:val="000000"/>
        </w:rPr>
      </w:pPr>
      <w:r w:rsidRPr="00D079BC">
        <w:rPr>
          <w:bCs/>
          <w:color w:val="000000"/>
        </w:rPr>
        <w:tab/>
      </w:r>
      <w:r w:rsidRPr="00D079BC">
        <w:rPr>
          <w:bCs/>
          <w:color w:val="000000"/>
        </w:rPr>
        <w:tab/>
        <w:t>Table 2 details the ARI for different return periods. The analysis indicates that the ARI for a 2-year return period is 4,527.757 m³/s, for a 5-year return period is 8,071.863 m³/s, and for a 10-year return period is 10,300.66 m³/s. The ARI for 25-year and 50-year return periods are 13,116.39 m³/s and 15,205.22 m³/s, respectively. The predicted maximum discharge for a significant flood event, like the one in 2014, is 17,278.7 m³/s, which closely approximates the actual discharge of 18,339.4 m³/s observed in 2014.</w:t>
      </w:r>
    </w:p>
    <w:p w14:paraId="40A8E047" w14:textId="36375955" w:rsidR="00B515FE" w:rsidRPr="00D079BC" w:rsidRDefault="00B515FE" w:rsidP="00D079BC">
      <w:pPr>
        <w:pBdr>
          <w:top w:val="nil"/>
          <w:left w:val="nil"/>
          <w:bottom w:val="nil"/>
          <w:right w:val="nil"/>
          <w:between w:val="nil"/>
        </w:pBdr>
        <w:suppressAutoHyphens/>
        <w:ind w:leftChars="-1" w:hangingChars="1" w:hanging="2"/>
        <w:jc w:val="both"/>
        <w:textDirection w:val="btLr"/>
        <w:textAlignment w:val="top"/>
        <w:outlineLvl w:val="0"/>
        <w:rPr>
          <w:bCs/>
          <w:color w:val="000000"/>
        </w:rPr>
      </w:pPr>
      <w:r w:rsidRPr="00D079BC">
        <w:rPr>
          <w:bCs/>
          <w:color w:val="000000"/>
        </w:rPr>
        <w:tab/>
      </w:r>
      <w:r w:rsidRPr="00D079BC">
        <w:rPr>
          <w:bCs/>
          <w:color w:val="000000"/>
        </w:rPr>
        <w:tab/>
        <w:t>These results indicate an increasing trend in the discharge values over time, suggesting a heightened potential for future flood disasters in the Kelantan River catchment area. This trend underscores the urgent need for improved flood management and mitigation strategies to address the escalating risk.</w:t>
      </w:r>
    </w:p>
    <w:p w14:paraId="7E9333C5" w14:textId="77777777" w:rsidR="00DE6F4B" w:rsidRDefault="00DE6F4B" w:rsidP="00D079BC">
      <w:pPr>
        <w:pBdr>
          <w:top w:val="nil"/>
          <w:left w:val="nil"/>
          <w:bottom w:val="nil"/>
          <w:right w:val="nil"/>
          <w:between w:val="nil"/>
        </w:pBdr>
        <w:suppressAutoHyphens/>
        <w:ind w:leftChars="-1" w:hangingChars="1" w:hanging="2"/>
        <w:jc w:val="center"/>
        <w:textDirection w:val="btLr"/>
        <w:textAlignment w:val="top"/>
        <w:outlineLvl w:val="0"/>
        <w:rPr>
          <w:b/>
          <w:bCs/>
          <w:color w:val="000000"/>
          <w:lang w:val="en-GB"/>
        </w:rPr>
      </w:pPr>
    </w:p>
    <w:p w14:paraId="21424ABB" w14:textId="77777777" w:rsidR="003D2649" w:rsidRDefault="003D2649" w:rsidP="00D079BC">
      <w:pPr>
        <w:pBdr>
          <w:top w:val="nil"/>
          <w:left w:val="nil"/>
          <w:bottom w:val="nil"/>
          <w:right w:val="nil"/>
          <w:between w:val="nil"/>
        </w:pBdr>
        <w:suppressAutoHyphens/>
        <w:ind w:leftChars="-1" w:hangingChars="1" w:hanging="2"/>
        <w:jc w:val="center"/>
        <w:textDirection w:val="btLr"/>
        <w:textAlignment w:val="top"/>
        <w:outlineLvl w:val="0"/>
        <w:rPr>
          <w:b/>
          <w:bCs/>
          <w:color w:val="000000"/>
          <w:lang w:val="en-GB"/>
        </w:rPr>
      </w:pPr>
    </w:p>
    <w:p w14:paraId="49E90759" w14:textId="77777777" w:rsidR="003D2649" w:rsidRDefault="003D2649" w:rsidP="00D079BC">
      <w:pPr>
        <w:pBdr>
          <w:top w:val="nil"/>
          <w:left w:val="nil"/>
          <w:bottom w:val="nil"/>
          <w:right w:val="nil"/>
          <w:between w:val="nil"/>
        </w:pBdr>
        <w:suppressAutoHyphens/>
        <w:ind w:leftChars="-1" w:hangingChars="1" w:hanging="2"/>
        <w:jc w:val="center"/>
        <w:textDirection w:val="btLr"/>
        <w:textAlignment w:val="top"/>
        <w:outlineLvl w:val="0"/>
        <w:rPr>
          <w:b/>
          <w:bCs/>
          <w:color w:val="000000"/>
          <w:lang w:val="en-GB"/>
        </w:rPr>
      </w:pPr>
    </w:p>
    <w:p w14:paraId="7ABDE32F" w14:textId="77777777" w:rsidR="003D2649" w:rsidRDefault="003D2649" w:rsidP="003D2649">
      <w:pPr>
        <w:pBdr>
          <w:top w:val="nil"/>
          <w:left w:val="nil"/>
          <w:bottom w:val="nil"/>
          <w:right w:val="nil"/>
          <w:between w:val="nil"/>
        </w:pBdr>
        <w:suppressAutoHyphens/>
        <w:textDirection w:val="btLr"/>
        <w:textAlignment w:val="top"/>
        <w:outlineLvl w:val="0"/>
        <w:rPr>
          <w:b/>
          <w:bCs/>
          <w:color w:val="000000"/>
          <w:lang w:val="en-GB"/>
        </w:rPr>
      </w:pPr>
    </w:p>
    <w:p w14:paraId="788C7362" w14:textId="77777777" w:rsidR="003D2649" w:rsidRPr="003D2649" w:rsidRDefault="003D2649" w:rsidP="003D2649">
      <w:pPr>
        <w:pBdr>
          <w:top w:val="nil"/>
          <w:left w:val="nil"/>
          <w:bottom w:val="nil"/>
          <w:right w:val="nil"/>
          <w:between w:val="nil"/>
        </w:pBdr>
        <w:suppressAutoHyphens/>
        <w:textDirection w:val="btLr"/>
        <w:textAlignment w:val="top"/>
        <w:outlineLvl w:val="0"/>
        <w:rPr>
          <w:b/>
          <w:bCs/>
          <w:color w:val="000000"/>
          <w:lang w:val="en-GB"/>
        </w:rPr>
      </w:pPr>
    </w:p>
    <w:p w14:paraId="277B555A" w14:textId="77777777" w:rsidR="003D2649" w:rsidRDefault="00B515FE" w:rsidP="00D079BC">
      <w:pPr>
        <w:pBdr>
          <w:top w:val="nil"/>
          <w:left w:val="nil"/>
          <w:bottom w:val="nil"/>
          <w:right w:val="nil"/>
          <w:between w:val="nil"/>
        </w:pBdr>
        <w:suppressAutoHyphens/>
        <w:ind w:leftChars="-1" w:hangingChars="1" w:hanging="2"/>
        <w:jc w:val="center"/>
        <w:textDirection w:val="btLr"/>
        <w:textAlignment w:val="top"/>
        <w:outlineLvl w:val="0"/>
        <w:rPr>
          <w:bCs/>
          <w:color w:val="000000"/>
          <w:lang w:val="en-GB"/>
        </w:rPr>
      </w:pPr>
      <w:r w:rsidRPr="003D2649">
        <w:rPr>
          <w:b/>
          <w:bCs/>
          <w:color w:val="000000"/>
          <w:lang w:val="en-GB"/>
        </w:rPr>
        <w:lastRenderedPageBreak/>
        <w:t xml:space="preserve">Table 2. </w:t>
      </w:r>
      <w:r w:rsidRPr="003D2649">
        <w:rPr>
          <w:bCs/>
          <w:color w:val="000000"/>
          <w:lang w:val="en-GB"/>
        </w:rPr>
        <w:t xml:space="preserve">Discharge </w:t>
      </w:r>
      <w:r w:rsidR="003D2649" w:rsidRPr="003D2649">
        <w:rPr>
          <w:bCs/>
          <w:color w:val="000000"/>
          <w:lang w:val="en-GB"/>
        </w:rPr>
        <w:t>analysis</w:t>
      </w:r>
    </w:p>
    <w:p w14:paraId="29B0D398" w14:textId="6F7CF2CB" w:rsidR="00B515FE" w:rsidRPr="003D2649" w:rsidRDefault="00B515FE" w:rsidP="00D079BC">
      <w:pPr>
        <w:pBdr>
          <w:top w:val="nil"/>
          <w:left w:val="nil"/>
          <w:bottom w:val="nil"/>
          <w:right w:val="nil"/>
          <w:between w:val="nil"/>
        </w:pBdr>
        <w:suppressAutoHyphens/>
        <w:ind w:leftChars="-1" w:hangingChars="1" w:hanging="2"/>
        <w:jc w:val="center"/>
        <w:textDirection w:val="btLr"/>
        <w:textAlignment w:val="top"/>
        <w:outlineLvl w:val="0"/>
        <w:rPr>
          <w:b/>
          <w:color w:val="000000"/>
        </w:rPr>
      </w:pPr>
      <w:r w:rsidRPr="003D2649">
        <w:rPr>
          <w:b/>
          <w:bCs/>
          <w:color w:val="000000"/>
          <w:lang w:val="en-GB"/>
        </w:rPr>
        <w:fldChar w:fldCharType="begin"/>
      </w:r>
      <w:r w:rsidRPr="003D2649">
        <w:rPr>
          <w:b/>
          <w:bCs/>
          <w:color w:val="000000"/>
          <w:lang w:val="en-GB"/>
        </w:rPr>
        <w:instrText xml:space="preserve"> LINK Excel.Sheet.12 "C:\\Users\\HP\\Downloads\\Weibull Metod-2.xlsx" "Sheet2!R3C8:R9C16" \a \f 5 \h  \* MERGEFORMAT </w:instrText>
      </w:r>
      <w:r w:rsidRPr="003D2649">
        <w:rPr>
          <w:b/>
          <w:bCs/>
          <w:color w:val="000000"/>
          <w:lang w:val="en-GB"/>
        </w:rPr>
        <w:fldChar w:fldCharType="separate"/>
      </w:r>
    </w:p>
    <w:tbl>
      <w:tblPr>
        <w:tblStyle w:val="TableGrid"/>
        <w:tblpPr w:leftFromText="180" w:rightFromText="180" w:vertAnchor="text" w:tblpXSpec="center" w:tblpY="1"/>
        <w:tblOverlap w:val="never"/>
        <w:tblW w:w="95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8"/>
        <w:gridCol w:w="1172"/>
        <w:gridCol w:w="1210"/>
        <w:gridCol w:w="720"/>
        <w:gridCol w:w="1108"/>
        <w:gridCol w:w="1192"/>
        <w:gridCol w:w="1084"/>
        <w:gridCol w:w="1646"/>
      </w:tblGrid>
      <w:tr w:rsidR="00B515FE" w:rsidRPr="003D2649" w14:paraId="0002CE8A" w14:textId="77777777" w:rsidTr="003D2649">
        <w:trPr>
          <w:trHeight w:val="557"/>
        </w:trPr>
        <w:tc>
          <w:tcPr>
            <w:tcW w:w="1398" w:type="dxa"/>
            <w:tcBorders>
              <w:top w:val="single" w:sz="4" w:space="0" w:color="auto"/>
              <w:bottom w:val="single" w:sz="4" w:space="0" w:color="auto"/>
            </w:tcBorders>
            <w:shd w:val="clear" w:color="auto" w:fill="8DB3E2" w:themeFill="text2" w:themeFillTint="66"/>
            <w:noWrap/>
            <w:hideMark/>
          </w:tcPr>
          <w:p w14:paraId="7FB232D9" w14:textId="77777777" w:rsidR="00B515FE" w:rsidRPr="003D2649" w:rsidRDefault="00B515FE" w:rsidP="00D079BC">
            <w:pPr>
              <w:pBdr>
                <w:top w:val="nil"/>
                <w:left w:val="nil"/>
                <w:bottom w:val="nil"/>
                <w:right w:val="nil"/>
                <w:between w:val="nil"/>
              </w:pBdr>
              <w:ind w:left="0" w:hanging="2"/>
              <w:jc w:val="center"/>
              <w:textDirection w:val="lrTb"/>
              <w:rPr>
                <w:b/>
                <w:bCs/>
                <w:color w:val="000000"/>
                <w:lang w:val="en-GB"/>
              </w:rPr>
            </w:pPr>
            <w:bookmarkStart w:id="1" w:name="_Hlk149521230"/>
            <w:r w:rsidRPr="003D2649">
              <w:rPr>
                <w:b/>
                <w:bCs/>
                <w:color w:val="000000"/>
                <w:lang w:val="en-GB"/>
              </w:rPr>
              <w:t>Return Period (ARI)</w:t>
            </w:r>
          </w:p>
        </w:tc>
        <w:tc>
          <w:tcPr>
            <w:tcW w:w="1172" w:type="dxa"/>
            <w:tcBorders>
              <w:top w:val="single" w:sz="4" w:space="0" w:color="auto"/>
              <w:bottom w:val="single" w:sz="4" w:space="0" w:color="auto"/>
            </w:tcBorders>
            <w:shd w:val="clear" w:color="auto" w:fill="8DB3E2" w:themeFill="text2" w:themeFillTint="66"/>
            <w:hideMark/>
          </w:tcPr>
          <w:p w14:paraId="7255BDB8" w14:textId="77777777" w:rsidR="00B515FE" w:rsidRPr="003D2649" w:rsidRDefault="00B515FE" w:rsidP="00D079BC">
            <w:pPr>
              <w:pBdr>
                <w:top w:val="nil"/>
                <w:left w:val="nil"/>
                <w:bottom w:val="nil"/>
                <w:right w:val="nil"/>
                <w:between w:val="nil"/>
              </w:pBdr>
              <w:ind w:left="0" w:hanging="2"/>
              <w:jc w:val="center"/>
              <w:textDirection w:val="lrTb"/>
              <w:rPr>
                <w:b/>
                <w:bCs/>
                <w:color w:val="000000"/>
                <w:lang w:val="en-GB"/>
              </w:rPr>
            </w:pPr>
            <w:r w:rsidRPr="003D2649">
              <w:rPr>
                <w:b/>
                <w:bCs/>
                <w:color w:val="000000"/>
                <w:lang w:val="en-GB"/>
              </w:rPr>
              <w:t>Mean (</w:t>
            </w:r>
            <w:proofErr w:type="spellStart"/>
            <w:r w:rsidRPr="003D2649">
              <w:rPr>
                <w:b/>
                <w:bCs/>
                <w:color w:val="000000"/>
                <w:lang w:val="en-GB"/>
              </w:rPr>
              <w:t>Xrt</w:t>
            </w:r>
            <w:proofErr w:type="spellEnd"/>
            <w:r w:rsidRPr="003D2649">
              <w:rPr>
                <w:b/>
                <w:bCs/>
                <w:color w:val="000000"/>
                <w:lang w:val="en-GB"/>
              </w:rPr>
              <w:t>)</w:t>
            </w:r>
          </w:p>
        </w:tc>
        <w:tc>
          <w:tcPr>
            <w:tcW w:w="1210" w:type="dxa"/>
            <w:tcBorders>
              <w:top w:val="single" w:sz="4" w:space="0" w:color="auto"/>
              <w:bottom w:val="single" w:sz="4" w:space="0" w:color="auto"/>
            </w:tcBorders>
            <w:shd w:val="clear" w:color="auto" w:fill="8DB3E2" w:themeFill="text2" w:themeFillTint="66"/>
            <w:hideMark/>
          </w:tcPr>
          <w:p w14:paraId="5E5C24AB" w14:textId="7A1AA694" w:rsidR="00B515FE" w:rsidRPr="003D2649" w:rsidRDefault="00B515FE" w:rsidP="00D079BC">
            <w:pPr>
              <w:pBdr>
                <w:top w:val="nil"/>
                <w:left w:val="nil"/>
                <w:bottom w:val="nil"/>
                <w:right w:val="nil"/>
                <w:between w:val="nil"/>
              </w:pBdr>
              <w:ind w:left="0" w:hanging="2"/>
              <w:jc w:val="center"/>
              <w:textDirection w:val="lrTb"/>
              <w:rPr>
                <w:b/>
                <w:bCs/>
                <w:color w:val="000000"/>
                <w:lang w:val="en-GB"/>
              </w:rPr>
            </w:pPr>
            <w:proofErr w:type="spellStart"/>
            <w:r w:rsidRPr="003D2649">
              <w:rPr>
                <w:b/>
                <w:bCs/>
                <w:color w:val="000000"/>
                <w:lang w:val="en-GB"/>
              </w:rPr>
              <w:t>Yt</w:t>
            </w:r>
            <w:proofErr w:type="spellEnd"/>
            <w:r w:rsidRPr="003D2649">
              <w:rPr>
                <w:b/>
                <w:bCs/>
                <w:color w:val="000000"/>
                <w:lang w:val="en-GB"/>
              </w:rPr>
              <w:t>*</w:t>
            </w:r>
          </w:p>
        </w:tc>
        <w:tc>
          <w:tcPr>
            <w:tcW w:w="720" w:type="dxa"/>
            <w:tcBorders>
              <w:top w:val="single" w:sz="4" w:space="0" w:color="auto"/>
              <w:bottom w:val="single" w:sz="4" w:space="0" w:color="auto"/>
            </w:tcBorders>
            <w:shd w:val="clear" w:color="auto" w:fill="8DB3E2" w:themeFill="text2" w:themeFillTint="66"/>
            <w:hideMark/>
          </w:tcPr>
          <w:p w14:paraId="0FF79276" w14:textId="77777777" w:rsidR="00B515FE" w:rsidRPr="003D2649" w:rsidRDefault="00B515FE" w:rsidP="00D079BC">
            <w:pPr>
              <w:pBdr>
                <w:top w:val="nil"/>
                <w:left w:val="nil"/>
                <w:bottom w:val="nil"/>
                <w:right w:val="nil"/>
                <w:between w:val="nil"/>
              </w:pBdr>
              <w:ind w:left="0" w:hanging="2"/>
              <w:jc w:val="center"/>
              <w:textDirection w:val="lrTb"/>
              <w:rPr>
                <w:b/>
                <w:bCs/>
                <w:color w:val="000000"/>
                <w:lang w:val="en-GB"/>
              </w:rPr>
            </w:pPr>
            <w:proofErr w:type="spellStart"/>
            <w:r w:rsidRPr="003D2649">
              <w:rPr>
                <w:b/>
                <w:bCs/>
                <w:color w:val="000000"/>
                <w:lang w:val="en-GB"/>
              </w:rPr>
              <w:t>Yn</w:t>
            </w:r>
            <w:proofErr w:type="spellEnd"/>
            <w:r w:rsidRPr="003D2649">
              <w:rPr>
                <w:b/>
                <w:bCs/>
                <w:color w:val="000000"/>
                <w:lang w:val="en-GB"/>
              </w:rPr>
              <w:t>*</w:t>
            </w:r>
          </w:p>
        </w:tc>
        <w:tc>
          <w:tcPr>
            <w:tcW w:w="1108" w:type="dxa"/>
            <w:tcBorders>
              <w:top w:val="single" w:sz="4" w:space="0" w:color="auto"/>
              <w:bottom w:val="single" w:sz="4" w:space="0" w:color="auto"/>
            </w:tcBorders>
            <w:shd w:val="clear" w:color="auto" w:fill="8DB3E2" w:themeFill="text2" w:themeFillTint="66"/>
            <w:hideMark/>
          </w:tcPr>
          <w:p w14:paraId="27BA6048" w14:textId="6B75754C" w:rsidR="00B515FE" w:rsidRPr="003D2649" w:rsidRDefault="00B515FE" w:rsidP="00D079BC">
            <w:pPr>
              <w:pBdr>
                <w:top w:val="nil"/>
                <w:left w:val="nil"/>
                <w:bottom w:val="nil"/>
                <w:right w:val="nil"/>
                <w:between w:val="nil"/>
              </w:pBdr>
              <w:ind w:left="0" w:hanging="2"/>
              <w:jc w:val="center"/>
              <w:textDirection w:val="lrTb"/>
              <w:rPr>
                <w:b/>
                <w:bCs/>
                <w:color w:val="000000"/>
                <w:lang w:val="en-GB"/>
              </w:rPr>
            </w:pPr>
            <w:r w:rsidRPr="003D2649">
              <w:rPr>
                <w:b/>
                <w:bCs/>
                <w:color w:val="000000"/>
                <w:lang w:val="en-GB"/>
              </w:rPr>
              <w:t>Sn*</w:t>
            </w:r>
          </w:p>
        </w:tc>
        <w:tc>
          <w:tcPr>
            <w:tcW w:w="1192" w:type="dxa"/>
            <w:tcBorders>
              <w:top w:val="single" w:sz="4" w:space="0" w:color="auto"/>
              <w:bottom w:val="single" w:sz="4" w:space="0" w:color="auto"/>
            </w:tcBorders>
            <w:shd w:val="clear" w:color="auto" w:fill="8DB3E2" w:themeFill="text2" w:themeFillTint="66"/>
            <w:hideMark/>
          </w:tcPr>
          <w:p w14:paraId="340C7277" w14:textId="77777777" w:rsidR="00B515FE" w:rsidRPr="003D2649" w:rsidRDefault="00B515FE" w:rsidP="00D079BC">
            <w:pPr>
              <w:pBdr>
                <w:top w:val="nil"/>
                <w:left w:val="nil"/>
                <w:bottom w:val="nil"/>
                <w:right w:val="nil"/>
                <w:between w:val="nil"/>
              </w:pBdr>
              <w:ind w:left="0" w:hanging="2"/>
              <w:jc w:val="center"/>
              <w:textDirection w:val="lrTb"/>
              <w:rPr>
                <w:b/>
                <w:bCs/>
                <w:color w:val="000000"/>
                <w:lang w:val="en-GB"/>
              </w:rPr>
            </w:pPr>
            <w:proofErr w:type="spellStart"/>
            <w:r w:rsidRPr="003D2649">
              <w:rPr>
                <w:b/>
                <w:bCs/>
                <w:color w:val="000000"/>
                <w:lang w:val="en-GB"/>
              </w:rPr>
              <w:t>Kt</w:t>
            </w:r>
            <w:proofErr w:type="spellEnd"/>
            <w:r w:rsidRPr="003D2649">
              <w:rPr>
                <w:b/>
                <w:bCs/>
                <w:color w:val="000000"/>
                <w:lang w:val="en-GB"/>
              </w:rPr>
              <w:t>*</w:t>
            </w:r>
          </w:p>
        </w:tc>
        <w:tc>
          <w:tcPr>
            <w:tcW w:w="1084" w:type="dxa"/>
            <w:tcBorders>
              <w:top w:val="single" w:sz="4" w:space="0" w:color="auto"/>
              <w:bottom w:val="single" w:sz="4" w:space="0" w:color="auto"/>
            </w:tcBorders>
            <w:shd w:val="clear" w:color="auto" w:fill="8DB3E2" w:themeFill="text2" w:themeFillTint="66"/>
            <w:noWrap/>
            <w:hideMark/>
          </w:tcPr>
          <w:p w14:paraId="5C8FFD92" w14:textId="1421D66E" w:rsidR="00B515FE" w:rsidRPr="003D2649" w:rsidRDefault="00B515FE" w:rsidP="00D079BC">
            <w:pPr>
              <w:pBdr>
                <w:top w:val="nil"/>
                <w:left w:val="nil"/>
                <w:bottom w:val="nil"/>
                <w:right w:val="nil"/>
                <w:between w:val="nil"/>
              </w:pBdr>
              <w:ind w:left="0" w:hanging="2"/>
              <w:jc w:val="center"/>
              <w:textDirection w:val="lrTb"/>
              <w:rPr>
                <w:b/>
                <w:bCs/>
                <w:color w:val="000000"/>
                <w:lang w:val="en-GB"/>
              </w:rPr>
            </w:pPr>
            <w:proofErr w:type="spellStart"/>
            <w:r w:rsidRPr="003D2649">
              <w:rPr>
                <w:b/>
                <w:bCs/>
                <w:color w:val="000000"/>
                <w:lang w:val="en-GB"/>
              </w:rPr>
              <w:t>Sd</w:t>
            </w:r>
            <w:proofErr w:type="spellEnd"/>
            <w:r w:rsidRPr="003D2649">
              <w:rPr>
                <w:b/>
                <w:bCs/>
                <w:color w:val="000000"/>
                <w:lang w:val="en-GB"/>
              </w:rPr>
              <w:t>*</w:t>
            </w:r>
          </w:p>
        </w:tc>
        <w:tc>
          <w:tcPr>
            <w:tcW w:w="1646" w:type="dxa"/>
            <w:tcBorders>
              <w:top w:val="single" w:sz="4" w:space="0" w:color="auto"/>
              <w:bottom w:val="single" w:sz="4" w:space="0" w:color="auto"/>
            </w:tcBorders>
            <w:shd w:val="clear" w:color="auto" w:fill="8DB3E2" w:themeFill="text2" w:themeFillTint="66"/>
            <w:noWrap/>
            <w:hideMark/>
          </w:tcPr>
          <w:p w14:paraId="1AFFA8AD" w14:textId="712BEA23" w:rsidR="00B515FE" w:rsidRPr="003D2649" w:rsidRDefault="00B515FE" w:rsidP="00D079BC">
            <w:pPr>
              <w:pBdr>
                <w:top w:val="nil"/>
                <w:left w:val="nil"/>
                <w:bottom w:val="nil"/>
                <w:right w:val="nil"/>
                <w:between w:val="nil"/>
              </w:pBdr>
              <w:ind w:left="0" w:hanging="2"/>
              <w:jc w:val="center"/>
              <w:textDirection w:val="lrTb"/>
              <w:rPr>
                <w:b/>
                <w:bCs/>
                <w:color w:val="000000"/>
                <w:lang w:val="en-GB"/>
              </w:rPr>
            </w:pPr>
            <w:r w:rsidRPr="003D2649">
              <w:rPr>
                <w:b/>
                <w:bCs/>
                <w:color w:val="000000"/>
                <w:lang w:val="en-GB"/>
              </w:rPr>
              <w:t>Event Discharge</w:t>
            </w:r>
          </w:p>
          <w:p w14:paraId="5CF6B822" w14:textId="77777777" w:rsidR="00B515FE" w:rsidRPr="003D2649" w:rsidRDefault="00B515FE" w:rsidP="00D079BC">
            <w:pPr>
              <w:pBdr>
                <w:top w:val="nil"/>
                <w:left w:val="nil"/>
                <w:bottom w:val="nil"/>
                <w:right w:val="nil"/>
                <w:between w:val="nil"/>
              </w:pBdr>
              <w:ind w:left="0" w:hanging="2"/>
              <w:jc w:val="center"/>
              <w:textDirection w:val="lrTb"/>
              <w:rPr>
                <w:b/>
                <w:bCs/>
                <w:color w:val="000000"/>
                <w:lang w:val="en-GB"/>
              </w:rPr>
            </w:pPr>
            <w:r w:rsidRPr="003D2649">
              <w:rPr>
                <w:b/>
                <w:bCs/>
                <w:color w:val="000000"/>
                <w:lang w:val="en-GB"/>
              </w:rPr>
              <w:t>(m</w:t>
            </w:r>
            <w:r w:rsidRPr="003D2649">
              <w:rPr>
                <w:b/>
                <w:bCs/>
                <w:color w:val="000000"/>
                <w:vertAlign w:val="superscript"/>
                <w:lang w:val="en-GB"/>
              </w:rPr>
              <w:t>3</w:t>
            </w:r>
            <w:r w:rsidRPr="003D2649">
              <w:rPr>
                <w:b/>
                <w:bCs/>
                <w:color w:val="000000"/>
                <w:lang w:val="en-GB"/>
              </w:rPr>
              <w:t>/s)</w:t>
            </w:r>
          </w:p>
        </w:tc>
      </w:tr>
      <w:tr w:rsidR="00B515FE" w:rsidRPr="003D2649" w14:paraId="0FF9C655" w14:textId="77777777" w:rsidTr="00B515FE">
        <w:trPr>
          <w:trHeight w:val="307"/>
        </w:trPr>
        <w:tc>
          <w:tcPr>
            <w:tcW w:w="1398" w:type="dxa"/>
            <w:tcBorders>
              <w:top w:val="single" w:sz="4" w:space="0" w:color="auto"/>
            </w:tcBorders>
            <w:shd w:val="clear" w:color="auto" w:fill="auto"/>
            <w:noWrap/>
            <w:hideMark/>
          </w:tcPr>
          <w:p w14:paraId="06BA43FA"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2</w:t>
            </w:r>
          </w:p>
        </w:tc>
        <w:tc>
          <w:tcPr>
            <w:tcW w:w="1172" w:type="dxa"/>
            <w:tcBorders>
              <w:top w:val="single" w:sz="4" w:space="0" w:color="auto"/>
            </w:tcBorders>
            <w:shd w:val="clear" w:color="auto" w:fill="auto"/>
            <w:noWrap/>
            <w:hideMark/>
          </w:tcPr>
          <w:p w14:paraId="32CE7802"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5213.24</w:t>
            </w:r>
          </w:p>
        </w:tc>
        <w:tc>
          <w:tcPr>
            <w:tcW w:w="1210" w:type="dxa"/>
            <w:tcBorders>
              <w:top w:val="single" w:sz="4" w:space="0" w:color="auto"/>
            </w:tcBorders>
            <w:shd w:val="clear" w:color="auto" w:fill="auto"/>
            <w:noWrap/>
            <w:hideMark/>
          </w:tcPr>
          <w:p w14:paraId="35DEB027"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0.31</w:t>
            </w:r>
          </w:p>
        </w:tc>
        <w:tc>
          <w:tcPr>
            <w:tcW w:w="720" w:type="dxa"/>
            <w:tcBorders>
              <w:top w:val="single" w:sz="4" w:space="0" w:color="auto"/>
            </w:tcBorders>
            <w:shd w:val="clear" w:color="auto" w:fill="auto"/>
            <w:noWrap/>
            <w:hideMark/>
          </w:tcPr>
          <w:p w14:paraId="3B189738"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0.53</w:t>
            </w:r>
          </w:p>
        </w:tc>
        <w:tc>
          <w:tcPr>
            <w:tcW w:w="1108" w:type="dxa"/>
            <w:tcBorders>
              <w:top w:val="single" w:sz="4" w:space="0" w:color="auto"/>
            </w:tcBorders>
            <w:shd w:val="clear" w:color="auto" w:fill="auto"/>
            <w:noWrap/>
            <w:hideMark/>
          </w:tcPr>
          <w:p w14:paraId="396E0B06"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1.10</w:t>
            </w:r>
          </w:p>
        </w:tc>
        <w:tc>
          <w:tcPr>
            <w:tcW w:w="1192" w:type="dxa"/>
            <w:tcBorders>
              <w:top w:val="single" w:sz="4" w:space="0" w:color="auto"/>
            </w:tcBorders>
            <w:shd w:val="clear" w:color="auto" w:fill="auto"/>
            <w:noWrap/>
            <w:hideMark/>
          </w:tcPr>
          <w:p w14:paraId="4DA9AA30"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-0.21</w:t>
            </w:r>
          </w:p>
        </w:tc>
        <w:tc>
          <w:tcPr>
            <w:tcW w:w="1084" w:type="dxa"/>
            <w:tcBorders>
              <w:top w:val="single" w:sz="4" w:space="0" w:color="auto"/>
            </w:tcBorders>
            <w:shd w:val="clear" w:color="auto" w:fill="auto"/>
            <w:noWrap/>
            <w:hideMark/>
          </w:tcPr>
          <w:p w14:paraId="00F2D872"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3277.42</w:t>
            </w:r>
          </w:p>
        </w:tc>
        <w:tc>
          <w:tcPr>
            <w:tcW w:w="1646" w:type="dxa"/>
            <w:tcBorders>
              <w:top w:val="single" w:sz="4" w:space="0" w:color="auto"/>
            </w:tcBorders>
            <w:shd w:val="clear" w:color="auto" w:fill="auto"/>
            <w:noWrap/>
            <w:hideMark/>
          </w:tcPr>
          <w:p w14:paraId="7F663B31"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4527.76</w:t>
            </w:r>
          </w:p>
        </w:tc>
      </w:tr>
      <w:tr w:rsidR="00B515FE" w:rsidRPr="003D2649" w14:paraId="2B59A510" w14:textId="77777777" w:rsidTr="00B515FE">
        <w:trPr>
          <w:trHeight w:val="307"/>
        </w:trPr>
        <w:tc>
          <w:tcPr>
            <w:tcW w:w="1398" w:type="dxa"/>
            <w:shd w:val="clear" w:color="auto" w:fill="auto"/>
            <w:noWrap/>
            <w:hideMark/>
          </w:tcPr>
          <w:p w14:paraId="7C3A6FBC"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5</w:t>
            </w:r>
          </w:p>
        </w:tc>
        <w:tc>
          <w:tcPr>
            <w:tcW w:w="1172" w:type="dxa"/>
            <w:shd w:val="clear" w:color="auto" w:fill="auto"/>
            <w:noWrap/>
            <w:hideMark/>
          </w:tcPr>
          <w:p w14:paraId="68DD7CBA"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5213.24</w:t>
            </w:r>
          </w:p>
        </w:tc>
        <w:tc>
          <w:tcPr>
            <w:tcW w:w="1210" w:type="dxa"/>
            <w:shd w:val="clear" w:color="auto" w:fill="auto"/>
            <w:noWrap/>
            <w:hideMark/>
          </w:tcPr>
          <w:p w14:paraId="1406C81C"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1.50</w:t>
            </w:r>
          </w:p>
        </w:tc>
        <w:tc>
          <w:tcPr>
            <w:tcW w:w="720" w:type="dxa"/>
            <w:shd w:val="clear" w:color="auto" w:fill="auto"/>
            <w:noWrap/>
            <w:hideMark/>
          </w:tcPr>
          <w:p w14:paraId="63379A29"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0.53</w:t>
            </w:r>
          </w:p>
        </w:tc>
        <w:tc>
          <w:tcPr>
            <w:tcW w:w="1108" w:type="dxa"/>
            <w:shd w:val="clear" w:color="auto" w:fill="auto"/>
            <w:noWrap/>
            <w:hideMark/>
          </w:tcPr>
          <w:p w14:paraId="6721F561"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1.10</w:t>
            </w:r>
          </w:p>
        </w:tc>
        <w:tc>
          <w:tcPr>
            <w:tcW w:w="1192" w:type="dxa"/>
            <w:shd w:val="clear" w:color="auto" w:fill="auto"/>
            <w:noWrap/>
            <w:hideMark/>
          </w:tcPr>
          <w:p w14:paraId="1CCF65F4"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0.87</w:t>
            </w:r>
          </w:p>
        </w:tc>
        <w:tc>
          <w:tcPr>
            <w:tcW w:w="1084" w:type="dxa"/>
            <w:shd w:val="clear" w:color="auto" w:fill="auto"/>
            <w:noWrap/>
            <w:hideMark/>
          </w:tcPr>
          <w:p w14:paraId="5B8701B4"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3277.42</w:t>
            </w:r>
          </w:p>
        </w:tc>
        <w:tc>
          <w:tcPr>
            <w:tcW w:w="1646" w:type="dxa"/>
            <w:shd w:val="clear" w:color="auto" w:fill="auto"/>
            <w:noWrap/>
            <w:hideMark/>
          </w:tcPr>
          <w:p w14:paraId="65593BD7"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8071.86</w:t>
            </w:r>
          </w:p>
        </w:tc>
      </w:tr>
      <w:tr w:rsidR="00B515FE" w:rsidRPr="003D2649" w14:paraId="16013E46" w14:textId="77777777" w:rsidTr="00B515FE">
        <w:trPr>
          <w:trHeight w:val="307"/>
        </w:trPr>
        <w:tc>
          <w:tcPr>
            <w:tcW w:w="1398" w:type="dxa"/>
            <w:shd w:val="clear" w:color="auto" w:fill="auto"/>
            <w:noWrap/>
            <w:hideMark/>
          </w:tcPr>
          <w:p w14:paraId="291E1741"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10</w:t>
            </w:r>
          </w:p>
        </w:tc>
        <w:tc>
          <w:tcPr>
            <w:tcW w:w="1172" w:type="dxa"/>
            <w:shd w:val="clear" w:color="auto" w:fill="auto"/>
            <w:noWrap/>
            <w:hideMark/>
          </w:tcPr>
          <w:p w14:paraId="026ED42F"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5213.24</w:t>
            </w:r>
          </w:p>
        </w:tc>
        <w:tc>
          <w:tcPr>
            <w:tcW w:w="1210" w:type="dxa"/>
            <w:shd w:val="clear" w:color="auto" w:fill="auto"/>
            <w:noWrap/>
            <w:hideMark/>
          </w:tcPr>
          <w:p w14:paraId="70CED20F"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2.25</w:t>
            </w:r>
          </w:p>
        </w:tc>
        <w:tc>
          <w:tcPr>
            <w:tcW w:w="720" w:type="dxa"/>
            <w:shd w:val="clear" w:color="auto" w:fill="auto"/>
            <w:noWrap/>
            <w:hideMark/>
          </w:tcPr>
          <w:p w14:paraId="495D7220"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0.53</w:t>
            </w:r>
          </w:p>
        </w:tc>
        <w:tc>
          <w:tcPr>
            <w:tcW w:w="1108" w:type="dxa"/>
            <w:shd w:val="clear" w:color="auto" w:fill="auto"/>
            <w:noWrap/>
            <w:hideMark/>
          </w:tcPr>
          <w:p w14:paraId="20F01CF4"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1.10</w:t>
            </w:r>
          </w:p>
        </w:tc>
        <w:tc>
          <w:tcPr>
            <w:tcW w:w="1192" w:type="dxa"/>
            <w:shd w:val="clear" w:color="auto" w:fill="auto"/>
            <w:noWrap/>
            <w:hideMark/>
          </w:tcPr>
          <w:p w14:paraId="369382A0"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1.55</w:t>
            </w:r>
          </w:p>
        </w:tc>
        <w:tc>
          <w:tcPr>
            <w:tcW w:w="1084" w:type="dxa"/>
            <w:shd w:val="clear" w:color="auto" w:fill="auto"/>
            <w:noWrap/>
            <w:hideMark/>
          </w:tcPr>
          <w:p w14:paraId="540700A0"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3277.42</w:t>
            </w:r>
          </w:p>
        </w:tc>
        <w:tc>
          <w:tcPr>
            <w:tcW w:w="1646" w:type="dxa"/>
            <w:shd w:val="clear" w:color="auto" w:fill="auto"/>
            <w:noWrap/>
            <w:hideMark/>
          </w:tcPr>
          <w:p w14:paraId="2BAFE56D"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10300.66</w:t>
            </w:r>
          </w:p>
        </w:tc>
      </w:tr>
      <w:tr w:rsidR="00B515FE" w:rsidRPr="003D2649" w14:paraId="4758B293" w14:textId="77777777" w:rsidTr="00B515FE">
        <w:trPr>
          <w:trHeight w:val="307"/>
        </w:trPr>
        <w:tc>
          <w:tcPr>
            <w:tcW w:w="1398" w:type="dxa"/>
            <w:shd w:val="clear" w:color="auto" w:fill="auto"/>
            <w:noWrap/>
            <w:hideMark/>
          </w:tcPr>
          <w:p w14:paraId="48BEB555"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25</w:t>
            </w:r>
          </w:p>
        </w:tc>
        <w:tc>
          <w:tcPr>
            <w:tcW w:w="1172" w:type="dxa"/>
            <w:shd w:val="clear" w:color="auto" w:fill="auto"/>
            <w:noWrap/>
            <w:hideMark/>
          </w:tcPr>
          <w:p w14:paraId="573F56AB"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5213.24</w:t>
            </w:r>
          </w:p>
        </w:tc>
        <w:tc>
          <w:tcPr>
            <w:tcW w:w="1210" w:type="dxa"/>
            <w:shd w:val="clear" w:color="auto" w:fill="auto"/>
            <w:noWrap/>
            <w:hideMark/>
          </w:tcPr>
          <w:p w14:paraId="33ECC154"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3.20</w:t>
            </w:r>
          </w:p>
        </w:tc>
        <w:tc>
          <w:tcPr>
            <w:tcW w:w="720" w:type="dxa"/>
            <w:shd w:val="clear" w:color="auto" w:fill="auto"/>
            <w:noWrap/>
            <w:hideMark/>
          </w:tcPr>
          <w:p w14:paraId="1CC179E0"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0.53</w:t>
            </w:r>
          </w:p>
        </w:tc>
        <w:tc>
          <w:tcPr>
            <w:tcW w:w="1108" w:type="dxa"/>
            <w:shd w:val="clear" w:color="auto" w:fill="auto"/>
            <w:noWrap/>
            <w:hideMark/>
          </w:tcPr>
          <w:p w14:paraId="456D4F5B"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1.10</w:t>
            </w:r>
          </w:p>
        </w:tc>
        <w:tc>
          <w:tcPr>
            <w:tcW w:w="1192" w:type="dxa"/>
            <w:shd w:val="clear" w:color="auto" w:fill="auto"/>
            <w:noWrap/>
            <w:hideMark/>
          </w:tcPr>
          <w:p w14:paraId="0D8A2CC1"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2.41</w:t>
            </w:r>
          </w:p>
        </w:tc>
        <w:tc>
          <w:tcPr>
            <w:tcW w:w="1084" w:type="dxa"/>
            <w:shd w:val="clear" w:color="auto" w:fill="auto"/>
            <w:noWrap/>
            <w:hideMark/>
          </w:tcPr>
          <w:p w14:paraId="08E3A1A9"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3277.42</w:t>
            </w:r>
          </w:p>
        </w:tc>
        <w:tc>
          <w:tcPr>
            <w:tcW w:w="1646" w:type="dxa"/>
            <w:shd w:val="clear" w:color="auto" w:fill="auto"/>
            <w:noWrap/>
            <w:hideMark/>
          </w:tcPr>
          <w:p w14:paraId="1FBD970E"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13116.39</w:t>
            </w:r>
          </w:p>
        </w:tc>
      </w:tr>
      <w:tr w:rsidR="00B515FE" w:rsidRPr="003D2649" w14:paraId="76B252C7" w14:textId="77777777" w:rsidTr="00B515FE">
        <w:trPr>
          <w:trHeight w:val="307"/>
        </w:trPr>
        <w:tc>
          <w:tcPr>
            <w:tcW w:w="1398" w:type="dxa"/>
            <w:shd w:val="clear" w:color="auto" w:fill="auto"/>
            <w:noWrap/>
            <w:hideMark/>
          </w:tcPr>
          <w:p w14:paraId="30C79DFA"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50</w:t>
            </w:r>
          </w:p>
        </w:tc>
        <w:tc>
          <w:tcPr>
            <w:tcW w:w="1172" w:type="dxa"/>
            <w:shd w:val="clear" w:color="auto" w:fill="auto"/>
            <w:noWrap/>
            <w:hideMark/>
          </w:tcPr>
          <w:p w14:paraId="75043ADC"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5213.24</w:t>
            </w:r>
          </w:p>
        </w:tc>
        <w:tc>
          <w:tcPr>
            <w:tcW w:w="1210" w:type="dxa"/>
            <w:shd w:val="clear" w:color="auto" w:fill="auto"/>
            <w:noWrap/>
            <w:hideMark/>
          </w:tcPr>
          <w:p w14:paraId="3E530F38"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3.90</w:t>
            </w:r>
          </w:p>
        </w:tc>
        <w:tc>
          <w:tcPr>
            <w:tcW w:w="720" w:type="dxa"/>
            <w:shd w:val="clear" w:color="auto" w:fill="auto"/>
            <w:noWrap/>
            <w:hideMark/>
          </w:tcPr>
          <w:p w14:paraId="137BB695"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0.53</w:t>
            </w:r>
          </w:p>
        </w:tc>
        <w:tc>
          <w:tcPr>
            <w:tcW w:w="1108" w:type="dxa"/>
            <w:shd w:val="clear" w:color="auto" w:fill="auto"/>
            <w:noWrap/>
            <w:hideMark/>
          </w:tcPr>
          <w:p w14:paraId="0C182070"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1.10</w:t>
            </w:r>
          </w:p>
        </w:tc>
        <w:tc>
          <w:tcPr>
            <w:tcW w:w="1192" w:type="dxa"/>
            <w:shd w:val="clear" w:color="auto" w:fill="auto"/>
            <w:noWrap/>
            <w:hideMark/>
          </w:tcPr>
          <w:p w14:paraId="14A125E8"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3.05</w:t>
            </w:r>
          </w:p>
        </w:tc>
        <w:tc>
          <w:tcPr>
            <w:tcW w:w="1084" w:type="dxa"/>
            <w:shd w:val="clear" w:color="auto" w:fill="auto"/>
            <w:noWrap/>
            <w:hideMark/>
          </w:tcPr>
          <w:p w14:paraId="0537F81F"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3277.42</w:t>
            </w:r>
          </w:p>
        </w:tc>
        <w:tc>
          <w:tcPr>
            <w:tcW w:w="1646" w:type="dxa"/>
            <w:shd w:val="clear" w:color="auto" w:fill="auto"/>
            <w:noWrap/>
            <w:hideMark/>
          </w:tcPr>
          <w:p w14:paraId="4F3671A3"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15205.22</w:t>
            </w:r>
          </w:p>
        </w:tc>
      </w:tr>
      <w:tr w:rsidR="00B515FE" w:rsidRPr="003D2649" w14:paraId="33AAC85B" w14:textId="77777777" w:rsidTr="00B515FE">
        <w:trPr>
          <w:trHeight w:val="307"/>
        </w:trPr>
        <w:tc>
          <w:tcPr>
            <w:tcW w:w="1398" w:type="dxa"/>
            <w:shd w:val="clear" w:color="auto" w:fill="auto"/>
            <w:noWrap/>
            <w:hideMark/>
          </w:tcPr>
          <w:p w14:paraId="321E90F5"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100</w:t>
            </w:r>
          </w:p>
        </w:tc>
        <w:tc>
          <w:tcPr>
            <w:tcW w:w="1172" w:type="dxa"/>
            <w:shd w:val="clear" w:color="auto" w:fill="auto"/>
            <w:noWrap/>
            <w:hideMark/>
          </w:tcPr>
          <w:p w14:paraId="59ABD9CC"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5213.24</w:t>
            </w:r>
          </w:p>
        </w:tc>
        <w:tc>
          <w:tcPr>
            <w:tcW w:w="1210" w:type="dxa"/>
            <w:shd w:val="clear" w:color="auto" w:fill="auto"/>
            <w:noWrap/>
            <w:hideMark/>
          </w:tcPr>
          <w:p w14:paraId="30CF5C4C"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4.60</w:t>
            </w:r>
          </w:p>
        </w:tc>
        <w:tc>
          <w:tcPr>
            <w:tcW w:w="720" w:type="dxa"/>
            <w:shd w:val="clear" w:color="auto" w:fill="auto"/>
            <w:noWrap/>
            <w:hideMark/>
          </w:tcPr>
          <w:p w14:paraId="1E14ACBF"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0.53</w:t>
            </w:r>
          </w:p>
        </w:tc>
        <w:tc>
          <w:tcPr>
            <w:tcW w:w="1108" w:type="dxa"/>
            <w:shd w:val="clear" w:color="auto" w:fill="auto"/>
            <w:noWrap/>
            <w:hideMark/>
          </w:tcPr>
          <w:p w14:paraId="1A33ECC3"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1.10</w:t>
            </w:r>
          </w:p>
        </w:tc>
        <w:tc>
          <w:tcPr>
            <w:tcW w:w="1192" w:type="dxa"/>
            <w:shd w:val="clear" w:color="auto" w:fill="auto"/>
            <w:noWrap/>
            <w:hideMark/>
          </w:tcPr>
          <w:p w14:paraId="550EB25B"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3.68</w:t>
            </w:r>
          </w:p>
        </w:tc>
        <w:tc>
          <w:tcPr>
            <w:tcW w:w="1084" w:type="dxa"/>
            <w:shd w:val="clear" w:color="auto" w:fill="auto"/>
            <w:noWrap/>
            <w:hideMark/>
          </w:tcPr>
          <w:p w14:paraId="2FDD2BC5"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3277.42</w:t>
            </w:r>
          </w:p>
        </w:tc>
        <w:tc>
          <w:tcPr>
            <w:tcW w:w="1646" w:type="dxa"/>
            <w:shd w:val="clear" w:color="auto" w:fill="auto"/>
            <w:noWrap/>
            <w:hideMark/>
          </w:tcPr>
          <w:p w14:paraId="52E4EED2" w14:textId="77777777" w:rsidR="00B515FE" w:rsidRPr="003D2649" w:rsidRDefault="00B515FE" w:rsidP="00D079BC">
            <w:pPr>
              <w:pBdr>
                <w:top w:val="nil"/>
                <w:left w:val="nil"/>
                <w:bottom w:val="nil"/>
                <w:right w:val="nil"/>
                <w:between w:val="nil"/>
              </w:pBdr>
              <w:ind w:left="0" w:hanging="2"/>
              <w:jc w:val="center"/>
              <w:textDirection w:val="lrTb"/>
              <w:rPr>
                <w:bCs/>
                <w:color w:val="000000"/>
                <w:lang w:val="en-GB"/>
              </w:rPr>
            </w:pPr>
            <w:r w:rsidRPr="003D2649">
              <w:rPr>
                <w:bCs/>
                <w:color w:val="000000"/>
                <w:lang w:val="en-GB"/>
              </w:rPr>
              <w:t>17278.7</w:t>
            </w:r>
          </w:p>
        </w:tc>
      </w:tr>
      <w:bookmarkEnd w:id="1"/>
    </w:tbl>
    <w:p w14:paraId="05CC11F3" w14:textId="4E3BFE12" w:rsidR="00D851A4" w:rsidRPr="003D2649" w:rsidRDefault="00B515FE" w:rsidP="00D079BC">
      <w:pPr>
        <w:pBdr>
          <w:top w:val="nil"/>
          <w:left w:val="nil"/>
          <w:bottom w:val="nil"/>
          <w:right w:val="nil"/>
          <w:between w:val="nil"/>
        </w:pBdr>
        <w:ind w:hanging="2"/>
        <w:rPr>
          <w:color w:val="000000"/>
        </w:rPr>
      </w:pPr>
      <w:r w:rsidRPr="003D2649">
        <w:rPr>
          <w:b/>
          <w:color w:val="000000"/>
        </w:rPr>
        <w:fldChar w:fldCharType="end"/>
      </w:r>
      <w:r w:rsidR="00D851A4" w:rsidRPr="003D2649">
        <w:rPr>
          <w:color w:val="000000"/>
        </w:rPr>
        <w:t xml:space="preserve">Source: </w:t>
      </w:r>
      <w:proofErr w:type="spellStart"/>
      <w:r w:rsidR="00D851A4" w:rsidRPr="003D2649">
        <w:rPr>
          <w:color w:val="000000"/>
        </w:rPr>
        <w:t>Reseach</w:t>
      </w:r>
      <w:proofErr w:type="spellEnd"/>
      <w:r w:rsidR="00D851A4" w:rsidRPr="003D2649">
        <w:rPr>
          <w:color w:val="000000"/>
        </w:rPr>
        <w:t xml:space="preserve"> </w:t>
      </w:r>
      <w:r w:rsidR="003D2649" w:rsidRPr="003D2649">
        <w:rPr>
          <w:color w:val="000000"/>
        </w:rPr>
        <w:t xml:space="preserve">data </w:t>
      </w:r>
    </w:p>
    <w:p w14:paraId="39D50B46" w14:textId="63C48917" w:rsidR="00B515FE" w:rsidRPr="00D079BC" w:rsidRDefault="00B515FE" w:rsidP="00D079BC">
      <w:pPr>
        <w:pBdr>
          <w:top w:val="nil"/>
          <w:left w:val="nil"/>
          <w:bottom w:val="nil"/>
          <w:right w:val="nil"/>
          <w:between w:val="nil"/>
        </w:pBdr>
        <w:suppressAutoHyphens/>
        <w:ind w:leftChars="-1" w:hangingChars="1" w:hanging="2"/>
        <w:textDirection w:val="btLr"/>
        <w:textAlignment w:val="top"/>
        <w:outlineLvl w:val="0"/>
        <w:rPr>
          <w:bCs/>
          <w:color w:val="000000"/>
          <w:lang w:val="en-GB"/>
        </w:rPr>
      </w:pPr>
      <w:r w:rsidRPr="00D079BC">
        <w:rPr>
          <w:bCs/>
          <w:color w:val="000000"/>
          <w:lang w:val="en-GB"/>
        </w:rPr>
        <w:br w:type="textWrapping" w:clear="all"/>
        <w:t xml:space="preserve">* </w:t>
      </w:r>
      <w:proofErr w:type="spellStart"/>
      <w:r w:rsidRPr="00D079BC">
        <w:rPr>
          <w:bCs/>
          <w:color w:val="000000"/>
          <w:lang w:val="en-GB"/>
        </w:rPr>
        <w:t>Yt</w:t>
      </w:r>
      <w:proofErr w:type="spellEnd"/>
      <w:r w:rsidRPr="00D079BC">
        <w:rPr>
          <w:bCs/>
          <w:color w:val="000000"/>
          <w:lang w:val="en-GB"/>
        </w:rPr>
        <w:t xml:space="preserve"> = Reduced Variate</w:t>
      </w:r>
    </w:p>
    <w:p w14:paraId="3D1E4975" w14:textId="77777777" w:rsidR="00B515FE" w:rsidRPr="00D079BC" w:rsidRDefault="00B515FE" w:rsidP="00D079BC">
      <w:pPr>
        <w:pBdr>
          <w:top w:val="nil"/>
          <w:left w:val="nil"/>
          <w:bottom w:val="nil"/>
          <w:right w:val="nil"/>
          <w:between w:val="nil"/>
        </w:pBdr>
        <w:suppressAutoHyphens/>
        <w:ind w:leftChars="-1" w:hangingChars="1" w:hanging="2"/>
        <w:jc w:val="both"/>
        <w:textDirection w:val="btLr"/>
        <w:textAlignment w:val="top"/>
        <w:outlineLvl w:val="0"/>
        <w:rPr>
          <w:bCs/>
          <w:color w:val="000000"/>
          <w:lang w:val="en-GB"/>
        </w:rPr>
      </w:pPr>
      <w:r w:rsidRPr="00D079BC">
        <w:rPr>
          <w:bCs/>
          <w:color w:val="000000"/>
          <w:lang w:val="en-GB"/>
        </w:rPr>
        <w:t>* Yn = Reduced Mean</w:t>
      </w:r>
    </w:p>
    <w:p w14:paraId="4DF4DCDA" w14:textId="77777777" w:rsidR="00B515FE" w:rsidRPr="00D079BC" w:rsidRDefault="00B515FE" w:rsidP="00D079BC">
      <w:pPr>
        <w:pBdr>
          <w:top w:val="nil"/>
          <w:left w:val="nil"/>
          <w:bottom w:val="nil"/>
          <w:right w:val="nil"/>
          <w:between w:val="nil"/>
        </w:pBdr>
        <w:suppressAutoHyphens/>
        <w:ind w:leftChars="-1" w:hangingChars="1" w:hanging="2"/>
        <w:jc w:val="both"/>
        <w:textDirection w:val="btLr"/>
        <w:textAlignment w:val="top"/>
        <w:outlineLvl w:val="0"/>
        <w:rPr>
          <w:bCs/>
          <w:color w:val="000000"/>
          <w:lang w:val="en-GB"/>
        </w:rPr>
      </w:pPr>
      <w:r w:rsidRPr="00D079BC">
        <w:rPr>
          <w:bCs/>
          <w:color w:val="000000"/>
          <w:lang w:val="en-GB"/>
        </w:rPr>
        <w:t>* Sn = Reduced Standard Deviation</w:t>
      </w:r>
    </w:p>
    <w:p w14:paraId="45C97EBF" w14:textId="5D38E045" w:rsidR="00B515FE" w:rsidRPr="00D079BC" w:rsidRDefault="00B515FE" w:rsidP="00D079BC">
      <w:pPr>
        <w:pBdr>
          <w:top w:val="nil"/>
          <w:left w:val="nil"/>
          <w:bottom w:val="nil"/>
          <w:right w:val="nil"/>
          <w:between w:val="nil"/>
        </w:pBdr>
        <w:suppressAutoHyphens/>
        <w:ind w:leftChars="-1" w:hangingChars="1" w:hanging="2"/>
        <w:jc w:val="both"/>
        <w:textDirection w:val="btLr"/>
        <w:textAlignment w:val="top"/>
        <w:outlineLvl w:val="0"/>
        <w:rPr>
          <w:bCs/>
          <w:color w:val="000000"/>
          <w:lang w:val="en-GB"/>
        </w:rPr>
      </w:pPr>
      <w:r w:rsidRPr="00D079BC">
        <w:rPr>
          <w:bCs/>
          <w:color w:val="000000"/>
          <w:lang w:val="en-GB"/>
        </w:rPr>
        <w:t>* Kt = Frequency Factor</w:t>
      </w:r>
    </w:p>
    <w:p w14:paraId="5E104046" w14:textId="77777777" w:rsidR="00B515FE" w:rsidRDefault="00B515FE" w:rsidP="00D079BC">
      <w:pPr>
        <w:pBdr>
          <w:top w:val="nil"/>
          <w:left w:val="nil"/>
          <w:bottom w:val="nil"/>
          <w:right w:val="nil"/>
          <w:between w:val="nil"/>
        </w:pBdr>
        <w:suppressAutoHyphens/>
        <w:ind w:leftChars="-1" w:hangingChars="1" w:hanging="2"/>
        <w:jc w:val="both"/>
        <w:textDirection w:val="btLr"/>
        <w:textAlignment w:val="top"/>
        <w:outlineLvl w:val="0"/>
        <w:rPr>
          <w:bCs/>
          <w:color w:val="000000"/>
          <w:lang w:val="en-GB"/>
        </w:rPr>
      </w:pPr>
      <w:r w:rsidRPr="00D079BC">
        <w:rPr>
          <w:bCs/>
          <w:color w:val="000000"/>
          <w:lang w:val="en-GB"/>
        </w:rPr>
        <w:t>* Sd = Standard Deviation</w:t>
      </w:r>
    </w:p>
    <w:p w14:paraId="783DC400" w14:textId="77777777" w:rsidR="003D2649" w:rsidRPr="00D079BC" w:rsidRDefault="003D2649" w:rsidP="00D079BC">
      <w:pPr>
        <w:pBdr>
          <w:top w:val="nil"/>
          <w:left w:val="nil"/>
          <w:bottom w:val="nil"/>
          <w:right w:val="nil"/>
          <w:between w:val="nil"/>
        </w:pBdr>
        <w:suppressAutoHyphens/>
        <w:ind w:leftChars="-1" w:hangingChars="1" w:hanging="2"/>
        <w:jc w:val="both"/>
        <w:textDirection w:val="btLr"/>
        <w:textAlignment w:val="top"/>
        <w:outlineLvl w:val="0"/>
        <w:rPr>
          <w:bCs/>
          <w:color w:val="000000"/>
          <w:lang w:val="en-GB"/>
        </w:rPr>
      </w:pPr>
    </w:p>
    <w:p w14:paraId="0563CDE3" w14:textId="1C5F30DD" w:rsidR="00B515FE" w:rsidRPr="00D079BC" w:rsidRDefault="00B515FE" w:rsidP="00D079BC">
      <w:pPr>
        <w:pBdr>
          <w:top w:val="nil"/>
          <w:left w:val="nil"/>
          <w:bottom w:val="nil"/>
          <w:right w:val="nil"/>
          <w:between w:val="nil"/>
        </w:pBdr>
        <w:ind w:hanging="2"/>
        <w:jc w:val="both"/>
        <w:rPr>
          <w:bCs/>
          <w:i/>
          <w:color w:val="000000"/>
          <w:lang w:val="en-GB"/>
        </w:rPr>
      </w:pPr>
      <w:r w:rsidRPr="00D079BC">
        <w:rPr>
          <w:bCs/>
          <w:i/>
          <w:color w:val="000000"/>
          <w:lang w:val="en-GB"/>
        </w:rPr>
        <w:t xml:space="preserve">Kelantan </w:t>
      </w:r>
      <w:r w:rsidR="003D2649" w:rsidRPr="00D079BC">
        <w:rPr>
          <w:bCs/>
          <w:i/>
          <w:color w:val="000000"/>
          <w:lang w:val="en-GB"/>
        </w:rPr>
        <w:t>floodplain flood hazard maps</w:t>
      </w:r>
    </w:p>
    <w:p w14:paraId="3303231C" w14:textId="77777777" w:rsidR="00B515FE" w:rsidRPr="00D079BC" w:rsidRDefault="00B515FE" w:rsidP="00D079BC">
      <w:pPr>
        <w:pBdr>
          <w:top w:val="nil"/>
          <w:left w:val="nil"/>
          <w:bottom w:val="nil"/>
          <w:right w:val="nil"/>
          <w:between w:val="nil"/>
        </w:pBdr>
        <w:suppressAutoHyphens/>
        <w:ind w:leftChars="-1" w:hangingChars="1" w:hanging="2"/>
        <w:jc w:val="both"/>
        <w:textDirection w:val="btLr"/>
        <w:textAlignment w:val="top"/>
        <w:outlineLvl w:val="0"/>
        <w:rPr>
          <w:bCs/>
          <w:i/>
          <w:color w:val="000000"/>
          <w:lang w:val="en-GB"/>
        </w:rPr>
      </w:pPr>
    </w:p>
    <w:p w14:paraId="3793C7D0" w14:textId="40DE4F10" w:rsidR="00D851A4" w:rsidRPr="00D079BC" w:rsidRDefault="00B515FE" w:rsidP="00D079BC">
      <w:pPr>
        <w:pBdr>
          <w:top w:val="nil"/>
          <w:left w:val="nil"/>
          <w:bottom w:val="nil"/>
          <w:right w:val="nil"/>
          <w:between w:val="nil"/>
        </w:pBdr>
        <w:ind w:hanging="2"/>
        <w:jc w:val="both"/>
        <w:rPr>
          <w:color w:val="000000"/>
        </w:rPr>
      </w:pPr>
      <w:r w:rsidRPr="00D079BC">
        <w:rPr>
          <w:color w:val="000000"/>
        </w:rPr>
        <w:t>A higher ARI denotes a lower probability of such an event occurring in any given year. For instance, a 500-year flood event has a lower annual probability compared to a 100-year event. This metric is essential for floodplain management, guiding decisions on land use planning, flood protection measures, and emergency management.</w:t>
      </w:r>
      <w:r w:rsidR="00D851A4" w:rsidRPr="00D079BC">
        <w:rPr>
          <w:color w:val="000000"/>
        </w:rPr>
        <w:t xml:space="preserve"> </w:t>
      </w:r>
      <w:r w:rsidRPr="00D079BC">
        <w:rPr>
          <w:color w:val="000000"/>
        </w:rPr>
        <w:t xml:space="preserve">Figure </w:t>
      </w:r>
      <w:r w:rsidR="00D851A4" w:rsidRPr="00D079BC">
        <w:rPr>
          <w:color w:val="000000"/>
        </w:rPr>
        <w:t>2</w:t>
      </w:r>
      <w:r w:rsidRPr="00D079BC">
        <w:rPr>
          <w:color w:val="000000"/>
        </w:rPr>
        <w:t xml:space="preserve"> illustrates the ARI values for different flood magnitudes in the lower reaches of the Kelantan River. The data show that a 100-year flood event, similar to the one in 2014, has a 0.3% chance of occurring in any given year, with a discharge of 18,339.4 m³/s.</w:t>
      </w:r>
      <w:r w:rsidR="00D851A4" w:rsidRPr="00D079BC">
        <w:rPr>
          <w:color w:val="000000"/>
        </w:rPr>
        <w:t xml:space="preserve"> </w:t>
      </w:r>
    </w:p>
    <w:p w14:paraId="34EE2B10" w14:textId="02177189" w:rsidR="004A24B0" w:rsidRPr="00D079BC" w:rsidRDefault="004A24B0" w:rsidP="00D079BC">
      <w:pPr>
        <w:pBdr>
          <w:top w:val="nil"/>
          <w:left w:val="nil"/>
          <w:bottom w:val="nil"/>
          <w:right w:val="nil"/>
          <w:between w:val="nil"/>
        </w:pBdr>
        <w:suppressAutoHyphens/>
        <w:ind w:leftChars="-1" w:hangingChars="1" w:hanging="2"/>
        <w:jc w:val="center"/>
        <w:textDirection w:val="btLr"/>
        <w:textAlignment w:val="top"/>
        <w:outlineLvl w:val="0"/>
        <w:rPr>
          <w:color w:val="000000"/>
        </w:rPr>
      </w:pPr>
    </w:p>
    <w:p w14:paraId="2FF6D151" w14:textId="572545EF" w:rsidR="004A24B0" w:rsidRPr="00D079BC" w:rsidRDefault="00044DBD" w:rsidP="00D079BC">
      <w:pPr>
        <w:pBdr>
          <w:top w:val="nil"/>
          <w:left w:val="nil"/>
          <w:bottom w:val="nil"/>
          <w:right w:val="nil"/>
          <w:between w:val="nil"/>
        </w:pBdr>
        <w:suppressAutoHyphens/>
        <w:ind w:leftChars="-1" w:hangingChars="1" w:hanging="2"/>
        <w:jc w:val="center"/>
        <w:textDirection w:val="btLr"/>
        <w:textAlignment w:val="top"/>
        <w:outlineLvl w:val="0"/>
        <w:rPr>
          <w:color w:val="000000"/>
        </w:rPr>
      </w:pPr>
      <w:r>
        <w:rPr>
          <w:noProof/>
          <w:color w:val="000000"/>
          <w:lang w:val="en-MY" w:eastAsia="en-MY"/>
        </w:rPr>
        <w:lastRenderedPageBreak/>
        <mc:AlternateContent>
          <mc:Choice Requires="wps">
            <w:drawing>
              <wp:anchor distT="0" distB="0" distL="114300" distR="114300" simplePos="0" relativeHeight="251666432" behindDoc="0" locked="0" layoutInCell="1" allowOverlap="1" wp14:anchorId="2A95B238" wp14:editId="627D01B7">
                <wp:simplePos x="0" y="0"/>
                <wp:positionH relativeFrom="column">
                  <wp:posOffset>3954145</wp:posOffset>
                </wp:positionH>
                <wp:positionV relativeFrom="paragraph">
                  <wp:posOffset>5811681</wp:posOffset>
                </wp:positionV>
                <wp:extent cx="396000" cy="270000"/>
                <wp:effectExtent l="0" t="0" r="23495" b="15875"/>
                <wp:wrapNone/>
                <wp:docPr id="7" name="Rectangle 7"/>
                <wp:cNvGraphicFramePr/>
                <a:graphic xmlns:a="http://schemas.openxmlformats.org/drawingml/2006/main">
                  <a:graphicData uri="http://schemas.microsoft.com/office/word/2010/wordprocessingShape">
                    <wps:wsp>
                      <wps:cNvSpPr/>
                      <wps:spPr>
                        <a:xfrm>
                          <a:off x="0" y="0"/>
                          <a:ext cx="396000" cy="2700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2B3EFACE" w14:textId="154110B3" w:rsidR="00044DBD" w:rsidRPr="001D6C0E" w:rsidRDefault="00044DBD" w:rsidP="001D6C0E">
                            <w:pPr>
                              <w:jc w:val="center"/>
                            </w:pPr>
                            <w:r w:rsidRPr="001D6C0E">
                              <w:t>(</w:t>
                            </w:r>
                            <w:r>
                              <w:t>d</w:t>
                            </w:r>
                            <w:r w:rsidRPr="001D6C0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5B238" id="Rectangle 7" o:spid="_x0000_s1026" style="position:absolute;left:0;text-align:left;margin-left:311.35pt;margin-top:457.6pt;width:31.2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ogfwIAAIcFAAAOAAAAZHJzL2Uyb0RvYy54bWysVEtPGzEQvlfqf7B8L7tJKYGIDYpAVJUQ&#10;IKDi7HjtxKrtcW0nu+mv79j7CKWoB9SL17Mz3zw+z8z5RWs02QkfFNiKTo5KSoTlUCu7ruj3p+tP&#10;p5SEyGzNNFhR0b0I9GLx8cN54+ZiChvQtfAEndgwb1xFNzG6eVEEvhGGhSNwwqJSgjcsoujXRe1Z&#10;g96NLqZleVI04GvngYsQ8O9Vp6SL7F9KweOdlEFEoiuKucV8+nyu0lksztl87ZnbKN6nwd6RhWHK&#10;YtDR1RWLjGy9+suVUdxDABmPOJgCpFRc5Bqwmkn5qprHDXMi14LkBDfSFP6fW367u/dE1RWdUWKZ&#10;wSd6QNKYXWtBZomexoU5Wj26e99LAa+p1lZ6k75YBWkzpfuRUtFGwvHn57OTskTiOaqmM7xmyosD&#10;2PkQvwowJF0q6jF4JpLtbkLEgGg6mKRYAbSqr5XWWUhdIi61JzuG77taT1LCiPjDStt3AdFNQhap&#10;/q7ifIt7LZI/bR+EROKwxmlOOLfsIZn6x5BMtkwQiWmPoMlbIB0HUG+bYCK38Qgs3wIeoo3WOSLY&#10;OAKNsuD/DZad/VB1V2sqO7artn/9FdR7bBkP3SwFx68VPt0NC/GeeRwefG1cCPEOD6mhqSj0N0o2&#10;4H+99T/ZY0+jlpIGh7Gi4eeWeUGJ/max288mx8dperNw/GU2RcG/1KxeauzWXAL2wwRXj+P5muyj&#10;Hq7Sg3nGvbFMUVHFLMfYFeXRD8Jl7JYEbh4ulstshhPrWLyxj44n54ng1JpP7TPzru/fiI1/C8Pg&#10;svmrNu5sE9LCchtBqtzjieKO1556nPbcyP1mSuvkpZytDvtz8RsAAP//AwBQSwMEFAAGAAgAAAAh&#10;AA+SOrrfAAAACwEAAA8AAABkcnMvZG93bnJldi54bWxMj01PwzAMhu9I/IfISFwQS1upHytNJ4TE&#10;FcTGhVvWeE1F41RN1hV+PeYER9uvHj9vs1vdKBacw+BJQbpJQCB13gzUK3g/PN9XIELUZPToCRV8&#10;YYBde33V6Nr4C73hso+9YAiFWiuwMU61lKGz6HTY+AmJbyc/Ox15nHtpZn1huBtlliSFdHog/mD1&#10;hE8Wu8/92SnYfnevsfJTbuPwse1d+nKalzulbm/WxwcQEdf4F4ZffVaHlp2O/kwmiFFBkWUlRxmW&#10;5hkIThRVnoI48iYvS5BtI/93aH8AAAD//wMAUEsBAi0AFAAGAAgAAAAhALaDOJL+AAAA4QEAABMA&#10;AAAAAAAAAAAAAAAAAAAAAFtDb250ZW50X1R5cGVzXS54bWxQSwECLQAUAAYACAAAACEAOP0h/9YA&#10;AACUAQAACwAAAAAAAAAAAAAAAAAvAQAAX3JlbHMvLnJlbHNQSwECLQAUAAYACAAAACEASiV6IH8C&#10;AACHBQAADgAAAAAAAAAAAAAAAAAuAgAAZHJzL2Uyb0RvYy54bWxQSwECLQAUAAYACAAAACEAD5I6&#10;ut8AAAALAQAADwAAAAAAAAAAAAAAAADZBAAAZHJzL2Rvd25yZXYueG1sUEsFBgAAAAAEAAQA8wAA&#10;AOUFAAAAAA==&#10;" fillcolor="white [3212]" strokecolor="white [3212]" strokeweight="2pt">
                <v:textbox>
                  <w:txbxContent>
                    <w:p w14:paraId="2B3EFACE" w14:textId="154110B3" w:rsidR="00044DBD" w:rsidRPr="001D6C0E" w:rsidRDefault="00044DBD" w:rsidP="001D6C0E">
                      <w:pPr>
                        <w:jc w:val="center"/>
                      </w:pPr>
                      <w:r w:rsidRPr="001D6C0E">
                        <w:t>(</w:t>
                      </w:r>
                      <w:r>
                        <w:t>d</w:t>
                      </w:r>
                      <w:r w:rsidRPr="001D6C0E">
                        <w:t>)</w:t>
                      </w:r>
                    </w:p>
                  </w:txbxContent>
                </v:textbox>
              </v:rect>
            </w:pict>
          </mc:Fallback>
        </mc:AlternateContent>
      </w:r>
      <w:r>
        <w:rPr>
          <w:noProof/>
          <w:color w:val="000000"/>
          <w:lang w:val="en-MY" w:eastAsia="en-MY"/>
        </w:rPr>
        <mc:AlternateContent>
          <mc:Choice Requires="wps">
            <w:drawing>
              <wp:anchor distT="0" distB="0" distL="114300" distR="114300" simplePos="0" relativeHeight="251664384" behindDoc="0" locked="0" layoutInCell="1" allowOverlap="1" wp14:anchorId="50DF5D62" wp14:editId="22E4EB57">
                <wp:simplePos x="0" y="0"/>
                <wp:positionH relativeFrom="column">
                  <wp:posOffset>1748582</wp:posOffset>
                </wp:positionH>
                <wp:positionV relativeFrom="paragraph">
                  <wp:posOffset>5816856</wp:posOffset>
                </wp:positionV>
                <wp:extent cx="396000" cy="270000"/>
                <wp:effectExtent l="0" t="0" r="23495" b="15875"/>
                <wp:wrapNone/>
                <wp:docPr id="6" name="Rectangle 6"/>
                <wp:cNvGraphicFramePr/>
                <a:graphic xmlns:a="http://schemas.openxmlformats.org/drawingml/2006/main">
                  <a:graphicData uri="http://schemas.microsoft.com/office/word/2010/wordprocessingShape">
                    <wps:wsp>
                      <wps:cNvSpPr/>
                      <wps:spPr>
                        <a:xfrm>
                          <a:off x="0" y="0"/>
                          <a:ext cx="396000" cy="2700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25DD0A94" w14:textId="67B98683" w:rsidR="00044DBD" w:rsidRPr="001D6C0E" w:rsidRDefault="00044DBD" w:rsidP="001D6C0E">
                            <w:pPr>
                              <w:jc w:val="center"/>
                            </w:pPr>
                            <w:r w:rsidRPr="001D6C0E">
                              <w:t>(</w:t>
                            </w:r>
                            <w:r>
                              <w:t>c</w:t>
                            </w:r>
                            <w:r w:rsidRPr="001D6C0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F5D62" id="Rectangle 6" o:spid="_x0000_s1027" style="position:absolute;left:0;text-align:left;margin-left:137.7pt;margin-top:458pt;width:31.2pt;height:2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9XGgQIAAI4FAAAOAAAAZHJzL2Uyb0RvYy54bWysVEtPGzEQvlfqf7B8L7tJaYCIDYpAVJUQ&#10;IKDi7HjtxKrtcW0nu+mv79j7CKWoB9TLrscz37z8zZxftEaTnfBBga3o5KikRFgOtbLrin5/uv50&#10;SkmIzNZMgxUV3YtALxYfP5w3bi6msAFdC0/QiQ3zxlV0E6ObF0XgG2FYOAInLColeMMiin5d1J41&#10;6N3oYlqWs6IBXzsPXISAt1edki6yfykFj3dSBhGJrijmFvPX5+8qfYvFOZuvPXMbxfs02DuyMExZ&#10;DDq6umKRka1Xf7kyinsIIOMRB1OAlIqLXANWMylfVfO4YU7kWrA5wY1tCv/PLb/d3Xui6orOKLHM&#10;4BM9YNOYXWtBZqk9jQtztHp0976XAh5Tra30Jv2xCtLmlu7Hloo2Eo6Xn89mZYmN56ianuAxt7w4&#10;gJ0P8asAQ9Khoh6D50ay3U2IGBBNB5MUK4BW9bXSOguJJeJSe7Jj+L6r9SQljIg/rLR9FxDdJGSR&#10;6u8qzqe41yL50/ZBSGwc1jjNCWfKHpKpfwzJZMsEkZj2CJq8BdJxAPW2CSYyjUdg+RbwEG20zhHB&#10;xhFolAX/b7Ds7Iequ1pT2bFdtZklOb90s4J6j8zx0I1UcPxa4QvesBDvmccZwkfHvRDv8CM1NBWF&#10;/kTJBvyvt+6TPVIbtZQ0OJMVDT+3zAtK9DeLpD+bHB+nIc7C8ZeTKQr+pWb1UmO35hKQFhPcQI7n&#10;Y7KPejhKD+YZ18cyRUUVsxxjV5RHPwiXsdsVuIC4WC6zGQ6uY/HGPjqenKc+J4Y+tc/Mu57GEfl/&#10;C8P8svkrNne2CWlhuY0gVab6oa/9C+DQZz73CyptlZdytjqs0cVvAAAA//8DAFBLAwQUAAYACAAA&#10;ACEAGmgTeN8AAAALAQAADwAAAGRycy9kb3ducmV2LnhtbEyPwU7DMAyG70i8Q2QkLoil3ejWlaYT&#10;QuIKYnDhljVeU9E4VZJ1hafHnOBo+9fn/6t3sxvEhCH2nhTkiwwEUutNT52C97en2xJETJqMHjyh&#10;gi+MsGsuL2pdGX+mV5z2qRMMoVhpBTalsZIythadjgs/IvHt6IPTicfQSRP0meFukMssW0une+IP&#10;Vo/4aLH93J+cgu13+5JKPxY29R/bzuXPxzDdKHV9NT/cg0g4p78w/Nbn6tBwp4M/kYliULDcFHcc&#10;ZVi+ZilOrFYbljnwpigLkE0t/zs0PwAAAP//AwBQSwECLQAUAAYACAAAACEAtoM4kv4AAADhAQAA&#10;EwAAAAAAAAAAAAAAAAAAAAAAW0NvbnRlbnRfVHlwZXNdLnhtbFBLAQItABQABgAIAAAAIQA4/SH/&#10;1gAAAJQBAAALAAAAAAAAAAAAAAAAAC8BAABfcmVscy8ucmVsc1BLAQItABQABgAIAAAAIQBS39XG&#10;gQIAAI4FAAAOAAAAAAAAAAAAAAAAAC4CAABkcnMvZTJvRG9jLnhtbFBLAQItABQABgAIAAAAIQAa&#10;aBN43wAAAAsBAAAPAAAAAAAAAAAAAAAAANsEAABkcnMvZG93bnJldi54bWxQSwUGAAAAAAQABADz&#10;AAAA5wUAAAAA&#10;" fillcolor="white [3212]" strokecolor="white [3212]" strokeweight="2pt">
                <v:textbox>
                  <w:txbxContent>
                    <w:p w14:paraId="25DD0A94" w14:textId="67B98683" w:rsidR="00044DBD" w:rsidRPr="001D6C0E" w:rsidRDefault="00044DBD" w:rsidP="001D6C0E">
                      <w:pPr>
                        <w:jc w:val="center"/>
                      </w:pPr>
                      <w:r w:rsidRPr="001D6C0E">
                        <w:t>(</w:t>
                      </w:r>
                      <w:r>
                        <w:t>c</w:t>
                      </w:r>
                      <w:r w:rsidRPr="001D6C0E">
                        <w:t>)</w:t>
                      </w:r>
                    </w:p>
                  </w:txbxContent>
                </v:textbox>
              </v:rect>
            </w:pict>
          </mc:Fallback>
        </mc:AlternateContent>
      </w:r>
      <w:r w:rsidR="001D6C0E">
        <w:rPr>
          <w:noProof/>
          <w:color w:val="000000"/>
          <w:lang w:val="en-MY" w:eastAsia="en-MY"/>
        </w:rPr>
        <mc:AlternateContent>
          <mc:Choice Requires="wps">
            <w:drawing>
              <wp:anchor distT="0" distB="0" distL="114300" distR="114300" simplePos="0" relativeHeight="251662336" behindDoc="0" locked="0" layoutInCell="1" allowOverlap="1" wp14:anchorId="2B9E8220" wp14:editId="5F25C353">
                <wp:simplePos x="0" y="0"/>
                <wp:positionH relativeFrom="column">
                  <wp:posOffset>3959860</wp:posOffset>
                </wp:positionH>
                <wp:positionV relativeFrom="paragraph">
                  <wp:posOffset>2802416</wp:posOffset>
                </wp:positionV>
                <wp:extent cx="396000" cy="270000"/>
                <wp:effectExtent l="0" t="0" r="23495" b="15875"/>
                <wp:wrapNone/>
                <wp:docPr id="5" name="Rectangle 5"/>
                <wp:cNvGraphicFramePr/>
                <a:graphic xmlns:a="http://schemas.openxmlformats.org/drawingml/2006/main">
                  <a:graphicData uri="http://schemas.microsoft.com/office/word/2010/wordprocessingShape">
                    <wps:wsp>
                      <wps:cNvSpPr/>
                      <wps:spPr>
                        <a:xfrm>
                          <a:off x="0" y="0"/>
                          <a:ext cx="396000" cy="2700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5CB99755" w14:textId="498FF661" w:rsidR="001D6C0E" w:rsidRPr="001D6C0E" w:rsidRDefault="001D6C0E" w:rsidP="001D6C0E">
                            <w:pPr>
                              <w:jc w:val="center"/>
                            </w:pPr>
                            <w:r w:rsidRPr="001D6C0E">
                              <w:t>(</w:t>
                            </w:r>
                            <w:r>
                              <w:t>b</w:t>
                            </w:r>
                            <w:r w:rsidRPr="001D6C0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E8220" id="Rectangle 5" o:spid="_x0000_s1028" style="position:absolute;left:0;text-align:left;margin-left:311.8pt;margin-top:220.65pt;width:31.2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9vggIAAI4FAAAOAAAAZHJzL2Uyb0RvYy54bWysVEtPGzEQvlfqf7B8L7tJeZSIDYpAVJUQ&#10;REDF2fHaiVXb49pOdtNf37H3EUpRD6gXr2dnvnn5m7m4bI0mO+GDAlvRyVFJibAcamXXFf3+dPPp&#10;CyUhMlszDVZUdC8CvZx//HDRuJmYwgZ0LTxBJzbMGlfRTYxuVhSBb4Rh4QicsKiU4A2LKPp1UXvW&#10;oHeji2lZnhYN+Np54CIE/HvdKek8+5dS8HgvZRCR6IpibjGfPp+rdBbzCzZbe+Y2ivdpsHdkYZiy&#10;GHR0dc0iI1uv/nJlFPcQQMYjDqYAKRUXuQasZlK+quZxw5zItWBzghvbFP6fW363W3qi6oqeUGKZ&#10;wSd6wKYxu9aCnKT2NC7M0OrRLX0vBbymWlvpTfpiFaTNLd2PLRVtJBx/fj4/LUtsPEfV9AyvueXF&#10;Aex8iF8FGJIuFfUYPDeS7W5DxIBoOpikWAG0qm+U1llILBFX2pMdw/ddrScpYUT8YaXtu4DoJiGL&#10;VH9Xcb7FvRbJn7YPQmLjsMZpTjhT9pBM/WNIJlsmiMS0R9DkLZCOA6i3TTCRaTwCy7eAh2ijdY4I&#10;No5Aoyz4f4NlZz9U3dWayo7tqs0smQ6UWEG9R+Z46EYqOH6j8AVvWYhL5nGG8NFxL8R7PKSGpqLQ&#10;3yjZgP/11v9kj9RGLSUNzmRFw88t84IS/c0i6c8nx8dpiLNwfHI2RcG/1KxeauzWXAHSYoIbyPF8&#10;TfZRD1fpwTzj+likqKhilmPsivLoB+EqdrsCFxAXi0U2w8F1LN7aR8eT89TnxNCn9pl519M4Iv/v&#10;YJhfNnvF5s42IS0sthGkylRPne762r8ADn3mc7+g0lZ5KWerwxqd/wYAAP//AwBQSwMEFAAGAAgA&#10;AAAhAPMvdC7fAAAACwEAAA8AAABkcnMvZG93bnJldi54bWxMj8FOwzAMhu9IvENkJC6IpV1HlJWm&#10;E0LiCmJw4ZY1WVPROFWSdYWnx5zgaPvT7+9vdosf2WxjGgIqKFcFMItdMAP2Ct7fnm4lsJQ1Gj0G&#10;tAq+bIJde3nR6NqEM77aeZ97RiGYaq3A5TzVnKfOWa/TKkwW6XYM0etMY+y5ifpM4X7k66IQ3OsB&#10;6YPTk310tvvcn7yC7Xf3kmWY7lwePra9L5+Pcb5R6vpqebgHlu2S/2D41Sd1aMnpEE5oEhsViHUl&#10;CFWw2ZQVMCKEFNTuQBtZSeBtw/93aH8AAAD//wMAUEsBAi0AFAAGAAgAAAAhALaDOJL+AAAA4QEA&#10;ABMAAAAAAAAAAAAAAAAAAAAAAFtDb250ZW50X1R5cGVzXS54bWxQSwECLQAUAAYACAAAACEAOP0h&#10;/9YAAACUAQAACwAAAAAAAAAAAAAAAAAvAQAAX3JlbHMvLnJlbHNQSwECLQAUAAYACAAAACEAOLUv&#10;b4ICAACOBQAADgAAAAAAAAAAAAAAAAAuAgAAZHJzL2Uyb0RvYy54bWxQSwECLQAUAAYACAAAACEA&#10;8y90Lt8AAAALAQAADwAAAAAAAAAAAAAAAADcBAAAZHJzL2Rvd25yZXYueG1sUEsFBgAAAAAEAAQA&#10;8wAAAOgFAAAAAA==&#10;" fillcolor="white [3212]" strokecolor="white [3212]" strokeweight="2pt">
                <v:textbox>
                  <w:txbxContent>
                    <w:p w14:paraId="5CB99755" w14:textId="498FF661" w:rsidR="001D6C0E" w:rsidRPr="001D6C0E" w:rsidRDefault="001D6C0E" w:rsidP="001D6C0E">
                      <w:pPr>
                        <w:jc w:val="center"/>
                      </w:pPr>
                      <w:r w:rsidRPr="001D6C0E">
                        <w:t>(</w:t>
                      </w:r>
                      <w:r>
                        <w:t>b</w:t>
                      </w:r>
                      <w:r w:rsidRPr="001D6C0E">
                        <w:t>)</w:t>
                      </w:r>
                    </w:p>
                  </w:txbxContent>
                </v:textbox>
              </v:rect>
            </w:pict>
          </mc:Fallback>
        </mc:AlternateContent>
      </w:r>
      <w:r w:rsidR="001D6C0E">
        <w:rPr>
          <w:noProof/>
          <w:color w:val="000000"/>
          <w:lang w:val="en-MY" w:eastAsia="en-MY"/>
        </w:rPr>
        <mc:AlternateContent>
          <mc:Choice Requires="wps">
            <w:drawing>
              <wp:anchor distT="0" distB="0" distL="114300" distR="114300" simplePos="0" relativeHeight="251660288" behindDoc="0" locked="0" layoutInCell="1" allowOverlap="1" wp14:anchorId="23F9E323" wp14:editId="34E1FC28">
                <wp:simplePos x="0" y="0"/>
                <wp:positionH relativeFrom="column">
                  <wp:posOffset>1664970</wp:posOffset>
                </wp:positionH>
                <wp:positionV relativeFrom="paragraph">
                  <wp:posOffset>2828764</wp:posOffset>
                </wp:positionV>
                <wp:extent cx="396000" cy="270000"/>
                <wp:effectExtent l="0" t="0" r="23495" b="15875"/>
                <wp:wrapNone/>
                <wp:docPr id="4" name="Rectangle 4"/>
                <wp:cNvGraphicFramePr/>
                <a:graphic xmlns:a="http://schemas.openxmlformats.org/drawingml/2006/main">
                  <a:graphicData uri="http://schemas.microsoft.com/office/word/2010/wordprocessingShape">
                    <wps:wsp>
                      <wps:cNvSpPr/>
                      <wps:spPr>
                        <a:xfrm>
                          <a:off x="0" y="0"/>
                          <a:ext cx="396000" cy="2700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17756622" w14:textId="1220BC09" w:rsidR="001D6C0E" w:rsidRPr="001D6C0E" w:rsidRDefault="001D6C0E" w:rsidP="001D6C0E">
                            <w:pPr>
                              <w:jc w:val="center"/>
                            </w:pPr>
                            <w:r w:rsidRPr="001D6C0E">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9E323" id="Rectangle 4" o:spid="_x0000_s1029" style="position:absolute;left:0;text-align:left;margin-left:131.1pt;margin-top:222.75pt;width:31.2pt;height:2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kIggIAAI4FAAAOAAAAZHJzL2Uyb0RvYy54bWysVEtPGzEQvlfqf7B8L7sJKZSIDYpAVJUQ&#10;IKDi7HjtxKrtcW0nu+mv79j7CKWoB9SL17Mz37z8zZxftEaTnfBBga3o5KikRFgOtbLrin5/uv70&#10;hZIQma2ZBisquheBXiw+fjhv3FxMYQO6Fp6gExvmjavoJkY3L4rAN8KwcAROWFRK8IZFFP26qD1r&#10;0LvRxbQsT4oGfO08cBEC/r3qlHSR/UspeLyTMohIdEUxt5hPn89VOovFOZuvPXMbxfs02DuyMExZ&#10;DDq6umKRka1Xf7kyinsIIOMRB1OAlIqLXANWMylfVfO4YU7kWrA5wY1tCv/PLb/d3Xui6orOKLHM&#10;4BM9YNOYXWtBZqk9jQtztHp0976XAl5Tra30Jn2xCtLmlu7Hloo2Eo4/j89OyhIbz1E1PcVrbnlx&#10;ADsf4lcBhqRLRT0Gz41ku5sQMSCaDiYpVgCt6muldRYSS8Sl9mTH8H1X60lKGBF/WGn7LiC6Scgi&#10;1d9VnG9xr0Xyp+2DkNg4rHGaE86UPSRT/xiSyZYJIjHtETR5C6TjAOptE0xkGo/A8i3gIdponSOC&#10;jSPQKAv+32DZ2Q9Vd7WmsmO7ajNLjgdKrKDeI3M8dCMVHL9W+II3LMR75nGG8NFxL8Q7PKSGpqLQ&#10;3yjZgP/11v9kj9RGLSUNzmRFw88t84IS/c0i6c8ms1ka4izMPp9OUfAvNauXGrs1l4C0mOAGcjxf&#10;k33Uw1V6MM+4PpYpKqqY5Ri7ojz6QbiM3a7ABcTFcpnNcHAdizf20fHkPPU5MfSpfWbe9TSOyP9b&#10;GOaXzV+xubNNSAvLbQSpMtVTp7u+9i+AQ5/53C+otFVeytnqsEYXvwEAAP//AwBQSwMEFAAGAAgA&#10;AAAhAJBjs6fgAAAACwEAAA8AAABkcnMvZG93bnJldi54bWxMj8FOwzAMhu9IvENkJC5oSxfaquua&#10;TgiJK4jBhVvWeE1Fk1RJ1hWeHnOCo+1Pv7+/2S92ZDOGOHgnYbPOgKHrvB5cL+H97WlVAYtJOa1G&#10;71DCF0bYt9dXjaq1v7hXnA+pZxTiYq0kmJSmmvPYGbQqrv2Ejm4nH6xKNIae66AuFG5HLrKs5FYN&#10;jj4YNeGjwe7zcLYStt/dS6r8VJg0fGx7u3k+hflOytub5WEHLOGS/mD41Sd1aMnp6M9ORzZKEKUQ&#10;hErI86IARsS9yEtgR9pUVQa8bfj/Du0PAAAA//8DAFBLAQItABQABgAIAAAAIQC2gziS/gAAAOEB&#10;AAATAAAAAAAAAAAAAAAAAAAAAABbQ29udGVudF9UeXBlc10ueG1sUEsBAi0AFAAGAAgAAAAhADj9&#10;If/WAAAAlAEAAAsAAAAAAAAAAAAAAAAALwEAAF9yZWxzLy5yZWxzUEsBAi0AFAAGAAgAAAAhAB6T&#10;eQiCAgAAjgUAAA4AAAAAAAAAAAAAAAAALgIAAGRycy9lMm9Eb2MueG1sUEsBAi0AFAAGAAgAAAAh&#10;AJBjs6fgAAAACwEAAA8AAAAAAAAAAAAAAAAA3AQAAGRycy9kb3ducmV2LnhtbFBLBQYAAAAABAAE&#10;APMAAADpBQAAAAA=&#10;" fillcolor="white [3212]" strokecolor="white [3212]" strokeweight="2pt">
                <v:textbox>
                  <w:txbxContent>
                    <w:p w14:paraId="17756622" w14:textId="1220BC09" w:rsidR="001D6C0E" w:rsidRPr="001D6C0E" w:rsidRDefault="001D6C0E" w:rsidP="001D6C0E">
                      <w:pPr>
                        <w:jc w:val="center"/>
                      </w:pPr>
                      <w:r w:rsidRPr="001D6C0E">
                        <w:t>(a)</w:t>
                      </w:r>
                    </w:p>
                  </w:txbxContent>
                </v:textbox>
              </v:rect>
            </w:pict>
          </mc:Fallback>
        </mc:AlternateContent>
      </w:r>
      <w:r w:rsidR="009C7A55" w:rsidRPr="00D079BC">
        <w:rPr>
          <w:noProof/>
          <w:color w:val="000000"/>
          <w:lang w:val="en-MY" w:eastAsia="en-MY"/>
        </w:rPr>
        <w:drawing>
          <wp:inline distT="0" distB="0" distL="0" distR="0" wp14:anchorId="73332E75" wp14:editId="1525E8DF">
            <wp:extent cx="4405745" cy="6088982"/>
            <wp:effectExtent l="19050" t="19050" r="1397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993" t="8333" r="24437" b="19736"/>
                    <a:stretch/>
                  </pic:blipFill>
                  <pic:spPr bwMode="auto">
                    <a:xfrm>
                      <a:off x="0" y="0"/>
                      <a:ext cx="4408756" cy="609314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01DFC7D" w14:textId="573E09EA" w:rsidR="009C7A55" w:rsidRPr="00D079BC" w:rsidRDefault="009C7A55" w:rsidP="00D079BC">
      <w:pPr>
        <w:pBdr>
          <w:top w:val="nil"/>
          <w:left w:val="nil"/>
          <w:bottom w:val="nil"/>
          <w:right w:val="nil"/>
          <w:between w:val="nil"/>
        </w:pBdr>
        <w:suppressAutoHyphens/>
        <w:ind w:leftChars="-1" w:hangingChars="1" w:hanging="2"/>
        <w:jc w:val="center"/>
        <w:textDirection w:val="btLr"/>
        <w:textAlignment w:val="top"/>
        <w:outlineLvl w:val="0"/>
        <w:rPr>
          <w:color w:val="000000"/>
        </w:rPr>
      </w:pPr>
    </w:p>
    <w:p w14:paraId="020F2D28" w14:textId="49591964" w:rsidR="009C7A55" w:rsidRPr="00D079BC" w:rsidRDefault="009C7A55" w:rsidP="00D079BC">
      <w:pPr>
        <w:pBdr>
          <w:top w:val="nil"/>
          <w:left w:val="nil"/>
          <w:bottom w:val="nil"/>
          <w:right w:val="nil"/>
          <w:between w:val="nil"/>
        </w:pBdr>
        <w:suppressAutoHyphens/>
        <w:ind w:leftChars="-1" w:hangingChars="1" w:hanging="2"/>
        <w:jc w:val="center"/>
        <w:textDirection w:val="btLr"/>
        <w:textAlignment w:val="top"/>
        <w:outlineLvl w:val="0"/>
        <w:rPr>
          <w:color w:val="000000"/>
        </w:rPr>
      </w:pPr>
    </w:p>
    <w:p w14:paraId="1B86E77E" w14:textId="45CEC020" w:rsidR="009C7A55" w:rsidRPr="00D079BC" w:rsidRDefault="00044DBD" w:rsidP="00D079BC">
      <w:pPr>
        <w:pBdr>
          <w:top w:val="nil"/>
          <w:left w:val="nil"/>
          <w:bottom w:val="nil"/>
          <w:right w:val="nil"/>
          <w:between w:val="nil"/>
        </w:pBdr>
        <w:suppressAutoHyphens/>
        <w:ind w:leftChars="-1" w:hangingChars="1" w:hanging="2"/>
        <w:jc w:val="center"/>
        <w:textDirection w:val="btLr"/>
        <w:textAlignment w:val="top"/>
        <w:outlineLvl w:val="0"/>
        <w:rPr>
          <w:color w:val="000000"/>
        </w:rPr>
      </w:pPr>
      <w:r>
        <w:rPr>
          <w:noProof/>
          <w:color w:val="000000"/>
          <w:lang w:val="en-MY" w:eastAsia="en-MY"/>
        </w:rPr>
        <w:lastRenderedPageBreak/>
        <mc:AlternateContent>
          <mc:Choice Requires="wps">
            <w:drawing>
              <wp:anchor distT="0" distB="0" distL="114300" distR="114300" simplePos="0" relativeHeight="251670528" behindDoc="0" locked="0" layoutInCell="1" allowOverlap="1" wp14:anchorId="27AD629E" wp14:editId="2E0871E5">
                <wp:simplePos x="0" y="0"/>
                <wp:positionH relativeFrom="column">
                  <wp:posOffset>4035264</wp:posOffset>
                </wp:positionH>
                <wp:positionV relativeFrom="paragraph">
                  <wp:posOffset>3467735</wp:posOffset>
                </wp:positionV>
                <wp:extent cx="396000" cy="270000"/>
                <wp:effectExtent l="0" t="0" r="23495" b="15875"/>
                <wp:wrapNone/>
                <wp:docPr id="9" name="Rectangle 9"/>
                <wp:cNvGraphicFramePr/>
                <a:graphic xmlns:a="http://schemas.openxmlformats.org/drawingml/2006/main">
                  <a:graphicData uri="http://schemas.microsoft.com/office/word/2010/wordprocessingShape">
                    <wps:wsp>
                      <wps:cNvSpPr/>
                      <wps:spPr>
                        <a:xfrm>
                          <a:off x="0" y="0"/>
                          <a:ext cx="396000" cy="2700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72F361E4" w14:textId="23ED5EC8" w:rsidR="00044DBD" w:rsidRPr="001D6C0E" w:rsidRDefault="00044DBD" w:rsidP="001D6C0E">
                            <w:pPr>
                              <w:jc w:val="center"/>
                            </w:pPr>
                            <w:r w:rsidRPr="001D6C0E">
                              <w:t>(</w:t>
                            </w:r>
                            <w:r>
                              <w:t>f</w:t>
                            </w:r>
                            <w:r w:rsidRPr="001D6C0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D629E" id="Rectangle 9" o:spid="_x0000_s1030" style="position:absolute;left:0;text-align:left;margin-left:317.75pt;margin-top:273.05pt;width:31.2pt;height:2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HQggIAAI4FAAAOAAAAZHJzL2Uyb0RvYy54bWysVEtvGyEQvlfqf0Dcm127blJbWUdWolSV&#10;ojRKUuWMWbBRgaGAvev++g7sw2ka9RD1wjI7882Lb+b8ojWa7IUPCmxFJyclJcJyqJXdVPT74/WH&#10;z5SEyGzNNFhR0YMI9GL5/t154xZiClvQtfAEndiwaFxFtzG6RVEEvhWGhRNwwqJSgjcsoug3Re1Z&#10;g96NLqZleVo04GvngYsQ8O9Vp6TL7F9KweM3KYOIRFcUc4v59Plcp7NYnrPFxjO3VbxPg70hC8OU&#10;xaCjqysWGdl59Zcro7iHADKecDAFSKm4yDVgNZPyRTUPW+ZErgWbE9zYpvD/3PLb/Z0nqq7onBLL&#10;DD7RPTaN2Y0WZJ7a07iwQKsHd+d7KeA11dpKb9IXqyBtbulhbKloI+H48+P8tCyx8RxV0zO85pYX&#10;R7DzIX4RYEi6VNRj8NxItr8JEQOi6WCSYgXQqr5WWmchsURcak/2DN93vZmkhBHxh5W2bwKim4Qs&#10;Uv1dxfkWD1okf9reC4mNwxqnOeFM2WMy9Y8hmWyZIBLTHkGT10A6DqDeNsFEpvEILF8DHqON1jki&#10;2DgCjbLg/w2Wnf1QdVdrKju26zazZDZQYg31AZnjoRup4Pi1whe8YSHeMY8zhI+OeyF+w0NqaCoK&#10;/Y2SLfhfr/1P9kht1FLS4ExWNPzcMS8o0V8tkn4+mc3SEGdh9ulsioJ/rlk/19iduQSkxQQ3kOP5&#10;muyjHq7Sg3nC9bFKUVHFLMfYFeXRD8Jl7HYFLiAuVqtshoPrWLyxD44n56nPiaGP7RPzrqdxRP7f&#10;wjC/bPGCzZ1tQlpY7SJIlameOt31tX8BHPrM535Bpa3yXM5WxzW6/A0AAP//AwBQSwMEFAAGAAgA&#10;AAAhAGbTL77fAAAACwEAAA8AAABkcnMvZG93bnJldi54bWxMj8FOwzAMhu9IvENkJC6IpQWataXp&#10;hJC4ghhcdssar6lonCrJusLTE07saPvT7+9vNosd2Yw+DI4k5KsMGFLn9EC9hM+Pl9sSWIiKtBod&#10;oYRvDLBpLy8aVWt3onect7FnKYRCrSSYGKea89AZtCqs3ISUbgfnrYpp9D3XXp1SuB35XZYJbtVA&#10;6YNREz4b7L62Ryuh+uneYummwsRhV/U2fz34+UbK66vl6RFYxCX+w/Cnn9ShTU57dyQd2ChB3BdF&#10;QiUUDyIHlghRrStg+7QpSwG8bfh5h/YXAAD//wMAUEsBAi0AFAAGAAgAAAAhALaDOJL+AAAA4QEA&#10;ABMAAAAAAAAAAAAAAAAAAAAAAFtDb250ZW50X1R5cGVzXS54bWxQSwECLQAUAAYACAAAACEAOP0h&#10;/9YAAACUAQAACwAAAAAAAAAAAAAAAAAvAQAAX3JlbHMvLnJlbHNQSwECLQAUAAYACAAAACEAiNbR&#10;0IICAACOBQAADgAAAAAAAAAAAAAAAAAuAgAAZHJzL2Uyb0RvYy54bWxQSwECLQAUAAYACAAAACEA&#10;ZtMvvt8AAAALAQAADwAAAAAAAAAAAAAAAADcBAAAZHJzL2Rvd25yZXYueG1sUEsFBgAAAAAEAAQA&#10;8wAAAOgFAAAAAA==&#10;" fillcolor="white [3212]" strokecolor="white [3212]" strokeweight="2pt">
                <v:textbox>
                  <w:txbxContent>
                    <w:p w14:paraId="72F361E4" w14:textId="23ED5EC8" w:rsidR="00044DBD" w:rsidRPr="001D6C0E" w:rsidRDefault="00044DBD" w:rsidP="001D6C0E">
                      <w:pPr>
                        <w:jc w:val="center"/>
                      </w:pPr>
                      <w:r w:rsidRPr="001D6C0E">
                        <w:t>(</w:t>
                      </w:r>
                      <w:r>
                        <w:t>f</w:t>
                      </w:r>
                      <w:r w:rsidRPr="001D6C0E">
                        <w:t>)</w:t>
                      </w:r>
                    </w:p>
                  </w:txbxContent>
                </v:textbox>
              </v:rect>
            </w:pict>
          </mc:Fallback>
        </mc:AlternateContent>
      </w:r>
      <w:r>
        <w:rPr>
          <w:noProof/>
          <w:color w:val="000000"/>
          <w:lang w:val="en-MY" w:eastAsia="en-MY"/>
        </w:rPr>
        <mc:AlternateContent>
          <mc:Choice Requires="wps">
            <w:drawing>
              <wp:anchor distT="0" distB="0" distL="114300" distR="114300" simplePos="0" relativeHeight="251668480" behindDoc="0" locked="0" layoutInCell="1" allowOverlap="1" wp14:anchorId="2C666434" wp14:editId="70E467DC">
                <wp:simplePos x="0" y="0"/>
                <wp:positionH relativeFrom="column">
                  <wp:posOffset>1762599</wp:posOffset>
                </wp:positionH>
                <wp:positionV relativeFrom="paragraph">
                  <wp:posOffset>3465830</wp:posOffset>
                </wp:positionV>
                <wp:extent cx="396000" cy="270000"/>
                <wp:effectExtent l="0" t="0" r="23495" b="15875"/>
                <wp:wrapNone/>
                <wp:docPr id="8" name="Rectangle 8"/>
                <wp:cNvGraphicFramePr/>
                <a:graphic xmlns:a="http://schemas.openxmlformats.org/drawingml/2006/main">
                  <a:graphicData uri="http://schemas.microsoft.com/office/word/2010/wordprocessingShape">
                    <wps:wsp>
                      <wps:cNvSpPr/>
                      <wps:spPr>
                        <a:xfrm>
                          <a:off x="0" y="0"/>
                          <a:ext cx="396000" cy="2700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470271FF" w14:textId="30C9571F" w:rsidR="00044DBD" w:rsidRPr="001D6C0E" w:rsidRDefault="00044DBD" w:rsidP="001D6C0E">
                            <w:pPr>
                              <w:jc w:val="center"/>
                            </w:pPr>
                            <w:r w:rsidRPr="001D6C0E">
                              <w:t>(</w:t>
                            </w:r>
                            <w:r>
                              <w:t>e</w:t>
                            </w:r>
                            <w:r w:rsidRPr="001D6C0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66434" id="Rectangle 8" o:spid="_x0000_s1031" style="position:absolute;left:0;text-align:left;margin-left:138.8pt;margin-top:272.9pt;width:31.2pt;height:2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e3gQIAAI4FAAAOAAAAZHJzL2Uyb0RvYy54bWysVEtPGzEQvlfqf7B8L7tJeUZsUASiqoQA&#10;ARVnx2snVm2PazvZTX99x95HgKIeUC9ez8588/I3c37RGk22wgcFtqKTg5ISYTnUyq4q+uPp+ssp&#10;JSEyWzMNVlR0JwK9mH/+dN64mZjCGnQtPEEnNswaV9F1jG5WFIGvhWHhAJywqJTgDYso+lVRe9ag&#10;d6OLaVkeFw342nngIgT8e9Up6Tz7l1LweCdlEJHoimJuMZ8+n8t0FvNzNlt55taK92mwD2RhmLIY&#10;dHR1xSIjG6/+cmUU9xBAxgMOpgApFRe5BqxmUr6p5nHNnMi1YHOCG9sU/p9bfru990TVFcWHsszg&#10;Ez1g05hdaUFOU3saF2Zo9ejufS8FvKZaW+lN+mIVpM0t3Y0tFW0kHH9+PTsuS2w8R9X0BK+55cUe&#10;7HyI3wQYki4V9Rg8N5Jtb0LEgGg6mKRYAbSqr5XWWUgsEZfaky3D912uJilhRLyy0vZDQHSTkEWq&#10;v6s43+JOi+RP2wchsXFY4zQnnCm7T6b+OSSTLRNEYtojaPIeSMcB1NsmmMg0HoHle8B9tNE6RwQb&#10;R6BRFvy/wbKzH6ruak1lx3bZZpYcDZRYQr1D5njoRio4fq3wBW9YiPfM4wzho+NeiHd4SA1NRaG/&#10;UbIG//u9/8keqY1aShqcyYqGXxvmBSX6u0XSn00OD9MQZ+Hw6GSKgn+pWb7U2I25BKTFBDeQ4/ma&#10;7KMertKDecb1sUhRUcUsx9gV5dEPwmXsdgUuIC4Wi2yGg+tYvLGPjifnqc+JoU/tM/Oup3FE/t/C&#10;ML9s9obNnW1CWlhsIkiVqZ463fW1fwEc+sznfkGlrfJSzlb7NTr/AwAA//8DAFBLAwQUAAYACAAA&#10;ACEArn0WW+AAAAALAQAADwAAAGRycy9kb3ducmV2LnhtbEyPTU/DMAyG70j8h8hIXBBL99GtK00n&#10;hMQVxODCLWu8pqJxqiTrCr8ec2JH249eP2+1m1wvRgyx86RgPstAIDXedNQq+Hh/vi9AxKTJ6N4T&#10;KvjGCLv6+qrSpfFnesNxn1rBIRRLrcCmNJRSxsai03HmByS+HX1wOvEYWmmCPnO46+Uiy9bS6Y74&#10;g9UDPllsvvYnp2D707ymwg+5Td3ntnXzl2MY75S6vZkeH0AknNI/DH/6rA41Ox38iUwUvYLFZrNm&#10;VEG+yrkDE8tVxu0OvCmKJci6kpcd6l8AAAD//wMAUEsBAi0AFAAGAAgAAAAhALaDOJL+AAAA4QEA&#10;ABMAAAAAAAAAAAAAAAAAAAAAAFtDb250ZW50X1R5cGVzXS54bWxQSwECLQAUAAYACAAAACEAOP0h&#10;/9YAAACUAQAACwAAAAAAAAAAAAAAAAAvAQAAX3JlbHMvLnJlbHNQSwECLQAUAAYACAAAACEArvCH&#10;t4ECAACOBQAADgAAAAAAAAAAAAAAAAAuAgAAZHJzL2Uyb0RvYy54bWxQSwECLQAUAAYACAAAACEA&#10;rn0WW+AAAAALAQAADwAAAAAAAAAAAAAAAADbBAAAZHJzL2Rvd25yZXYueG1sUEsFBgAAAAAEAAQA&#10;8wAAAOgFAAAAAA==&#10;" fillcolor="white [3212]" strokecolor="white [3212]" strokeweight="2pt">
                <v:textbox>
                  <w:txbxContent>
                    <w:p w14:paraId="470271FF" w14:textId="30C9571F" w:rsidR="00044DBD" w:rsidRPr="001D6C0E" w:rsidRDefault="00044DBD" w:rsidP="001D6C0E">
                      <w:pPr>
                        <w:jc w:val="center"/>
                      </w:pPr>
                      <w:r w:rsidRPr="001D6C0E">
                        <w:t>(</w:t>
                      </w:r>
                      <w:r>
                        <w:t>e</w:t>
                      </w:r>
                      <w:r w:rsidRPr="001D6C0E">
                        <w:t>)</w:t>
                      </w:r>
                    </w:p>
                  </w:txbxContent>
                </v:textbox>
              </v:rect>
            </w:pict>
          </mc:Fallback>
        </mc:AlternateContent>
      </w:r>
      <w:r w:rsidR="00902DEC" w:rsidRPr="00D079BC">
        <w:rPr>
          <w:noProof/>
          <w:color w:val="000000"/>
          <w:lang w:val="en-MY" w:eastAsia="en-MY"/>
        </w:rPr>
        <w:drawing>
          <wp:inline distT="0" distB="0" distL="0" distR="0" wp14:anchorId="5493D1D2" wp14:editId="14D3C872">
            <wp:extent cx="4832451" cy="37869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753" t="8418" r="28047" b="58247"/>
                    <a:stretch/>
                  </pic:blipFill>
                  <pic:spPr bwMode="auto">
                    <a:xfrm>
                      <a:off x="0" y="0"/>
                      <a:ext cx="4845728" cy="3797313"/>
                    </a:xfrm>
                    <a:prstGeom prst="rect">
                      <a:avLst/>
                    </a:prstGeom>
                    <a:ln>
                      <a:noFill/>
                    </a:ln>
                    <a:extLst>
                      <a:ext uri="{53640926-AAD7-44D8-BBD7-CCE9431645EC}">
                        <a14:shadowObscured xmlns:a14="http://schemas.microsoft.com/office/drawing/2010/main"/>
                      </a:ext>
                    </a:extLst>
                  </pic:spPr>
                </pic:pic>
              </a:graphicData>
            </a:graphic>
          </wp:inline>
        </w:drawing>
      </w:r>
    </w:p>
    <w:p w14:paraId="7D25E192" w14:textId="77777777" w:rsidR="003D2649" w:rsidRDefault="003D2649" w:rsidP="00D079BC">
      <w:pPr>
        <w:pBdr>
          <w:top w:val="nil"/>
          <w:left w:val="nil"/>
          <w:bottom w:val="nil"/>
          <w:right w:val="nil"/>
          <w:between w:val="nil"/>
        </w:pBdr>
        <w:suppressAutoHyphens/>
        <w:ind w:leftChars="-1" w:hangingChars="1" w:hanging="2"/>
        <w:jc w:val="center"/>
        <w:textDirection w:val="btLr"/>
        <w:textAlignment w:val="top"/>
        <w:outlineLvl w:val="0"/>
        <w:rPr>
          <w:b/>
          <w:color w:val="000000"/>
        </w:rPr>
      </w:pPr>
    </w:p>
    <w:p w14:paraId="2AC8D55D" w14:textId="10AAA26D" w:rsidR="004A24B0" w:rsidRPr="003D2649" w:rsidRDefault="004A24B0" w:rsidP="00D079BC">
      <w:pPr>
        <w:pBdr>
          <w:top w:val="nil"/>
          <w:left w:val="nil"/>
          <w:bottom w:val="nil"/>
          <w:right w:val="nil"/>
          <w:between w:val="nil"/>
        </w:pBdr>
        <w:suppressAutoHyphens/>
        <w:ind w:leftChars="-1" w:hangingChars="1" w:hanging="2"/>
        <w:jc w:val="center"/>
        <w:textDirection w:val="btLr"/>
        <w:textAlignment w:val="top"/>
        <w:outlineLvl w:val="0"/>
        <w:rPr>
          <w:b/>
          <w:color w:val="000000"/>
        </w:rPr>
      </w:pPr>
      <w:r w:rsidRPr="003D2649">
        <w:rPr>
          <w:b/>
          <w:color w:val="000000"/>
        </w:rPr>
        <w:t xml:space="preserve">Figure 2. </w:t>
      </w:r>
      <w:r w:rsidRPr="003D2649">
        <w:rPr>
          <w:color w:val="000000"/>
        </w:rPr>
        <w:t xml:space="preserve">Average Recurrence Interval (ARI) of </w:t>
      </w:r>
      <w:r w:rsidR="003D2649" w:rsidRPr="003D2649">
        <w:rPr>
          <w:color w:val="000000"/>
        </w:rPr>
        <w:t xml:space="preserve">lower reach </w:t>
      </w:r>
      <w:r w:rsidRPr="003D2649">
        <w:rPr>
          <w:color w:val="000000"/>
        </w:rPr>
        <w:t>of Kelantan River</w:t>
      </w:r>
    </w:p>
    <w:p w14:paraId="57560DBF" w14:textId="1B5A3946" w:rsidR="00DF0596" w:rsidRPr="00D079BC" w:rsidRDefault="00DF0596" w:rsidP="00D079BC">
      <w:pPr>
        <w:pBdr>
          <w:top w:val="nil"/>
          <w:left w:val="nil"/>
          <w:bottom w:val="nil"/>
          <w:right w:val="nil"/>
          <w:between w:val="nil"/>
        </w:pBdr>
        <w:ind w:hanging="2"/>
        <w:jc w:val="both"/>
        <w:rPr>
          <w:color w:val="000000"/>
        </w:rPr>
      </w:pPr>
    </w:p>
    <w:p w14:paraId="7AF38E42" w14:textId="5D1E17C8" w:rsidR="007B2BAA" w:rsidRPr="00D079BC" w:rsidRDefault="00902DEC" w:rsidP="003D2649">
      <w:pPr>
        <w:pBdr>
          <w:top w:val="nil"/>
          <w:left w:val="nil"/>
          <w:bottom w:val="nil"/>
          <w:right w:val="nil"/>
          <w:between w:val="nil"/>
        </w:pBdr>
        <w:ind w:firstLine="720"/>
        <w:jc w:val="both"/>
        <w:rPr>
          <w:color w:val="000000"/>
        </w:rPr>
      </w:pPr>
      <w:r w:rsidRPr="00D079BC">
        <w:rPr>
          <w:color w:val="000000"/>
        </w:rPr>
        <w:t>In Figure 2, the data shows that ARI 2 does not affect many areas with flood waters, and the flood water level is not very high. Typically, ARI 2 occurs during heavy rainfall and mainly inundates low-lying areas. Additionally, communities in flood-prone areas, as shown in ARI 2, are usually more resilient and well-prepared to face flooding.</w:t>
      </w:r>
      <w:r w:rsidR="007B2BAA" w:rsidRPr="00D079BC">
        <w:rPr>
          <w:color w:val="000000"/>
        </w:rPr>
        <w:t xml:space="preserve"> </w:t>
      </w:r>
      <w:r w:rsidRPr="00D079BC">
        <w:rPr>
          <w:color w:val="000000"/>
        </w:rPr>
        <w:t>On the other hand, when compared to areas with flood potential under ARI 100, the difference in extent and water level is significant. ARI 100 represents a severe flood event, impacting both high and low-lying areas. This type of flood is rare but can have a massive impact when it does occur. The flood discharge level of ARI 100 is similar to the 2014 flood, where the Kelantan River’s discharge was approximately 18,000 m³/s. That event was a tragic moment in Kelantan’s history, as the high discharge rate led to widespread river overflow</w:t>
      </w:r>
      <w:r w:rsidR="007B2BAA" w:rsidRPr="00D079BC">
        <w:rPr>
          <w:color w:val="000000"/>
        </w:rPr>
        <w:t xml:space="preserve"> and</w:t>
      </w:r>
      <w:r w:rsidRPr="00D079BC">
        <w:rPr>
          <w:color w:val="000000"/>
        </w:rPr>
        <w:t xml:space="preserve"> causing severe flooding.</w:t>
      </w:r>
      <w:r w:rsidR="007B2BAA" w:rsidRPr="00D079BC">
        <w:rPr>
          <w:color w:val="000000"/>
        </w:rPr>
        <w:t xml:space="preserve"> </w:t>
      </w:r>
      <w:r w:rsidRPr="00D079BC">
        <w:rPr>
          <w:color w:val="000000"/>
        </w:rPr>
        <w:t>The 2014 flood, which closely resembles the ARI 100 flood simulation map, resulted in dozens of casualties and billions of ringgit</w:t>
      </w:r>
      <w:r w:rsidR="00255919" w:rsidRPr="00D079BC">
        <w:rPr>
          <w:color w:val="000000"/>
        </w:rPr>
        <w:t>s</w:t>
      </w:r>
      <w:r w:rsidRPr="00D079BC">
        <w:rPr>
          <w:color w:val="000000"/>
        </w:rPr>
        <w:t xml:space="preserve"> in property damage. Severe floods like ARI 100 typically occur during high tides or dams break</w:t>
      </w:r>
      <w:r w:rsidR="007B2BAA" w:rsidRPr="00D079BC">
        <w:rPr>
          <w:color w:val="000000"/>
        </w:rPr>
        <w:t xml:space="preserve"> that may</w:t>
      </w:r>
      <w:r w:rsidRPr="00D079BC">
        <w:rPr>
          <w:color w:val="000000"/>
        </w:rPr>
        <w:t xml:space="preserve"> </w:t>
      </w:r>
      <w:proofErr w:type="gramStart"/>
      <w:r w:rsidRPr="00D079BC">
        <w:rPr>
          <w:color w:val="000000"/>
        </w:rPr>
        <w:t>leading</w:t>
      </w:r>
      <w:proofErr w:type="gramEnd"/>
      <w:r w:rsidRPr="00D079BC">
        <w:rPr>
          <w:color w:val="000000"/>
        </w:rPr>
        <w:t xml:space="preserve"> to catastrophic consequences.</w:t>
      </w:r>
    </w:p>
    <w:p w14:paraId="3EF8BEC8" w14:textId="5599E316" w:rsidR="007B2BAA" w:rsidRPr="00D079BC" w:rsidRDefault="007B2BAA" w:rsidP="00D079BC">
      <w:pPr>
        <w:pBdr>
          <w:top w:val="nil"/>
          <w:left w:val="nil"/>
          <w:bottom w:val="nil"/>
          <w:right w:val="nil"/>
          <w:between w:val="nil"/>
        </w:pBdr>
        <w:ind w:hanging="2"/>
        <w:jc w:val="both"/>
        <w:rPr>
          <w:color w:val="000000"/>
        </w:rPr>
      </w:pPr>
      <w:r w:rsidRPr="00D079BC">
        <w:rPr>
          <w:color w:val="000000"/>
        </w:rPr>
        <w:tab/>
      </w:r>
      <w:r w:rsidRPr="00D079BC">
        <w:rPr>
          <w:color w:val="000000"/>
        </w:rPr>
        <w:tab/>
        <w:t>The findings of this study underscore the increasing magnitude and frequency of flooding in the Kelantan River Basin, largely driven by climatic and environmental changes. The close match between predicted and observed discharge values for major flood events confirms the reliability of the Gumbel distribution method for flood frequency analysis. However, flood risk management should not rely solely on past data but also integrate predictive models, community engagement, and robust mitigation strategies to enhance resilience.</w:t>
      </w:r>
    </w:p>
    <w:p w14:paraId="48F4F576" w14:textId="169D7AE6" w:rsidR="00DF0596" w:rsidRPr="00D079BC" w:rsidRDefault="007B2BAA" w:rsidP="00D079BC">
      <w:pPr>
        <w:pBdr>
          <w:top w:val="nil"/>
          <w:left w:val="nil"/>
          <w:bottom w:val="nil"/>
          <w:right w:val="nil"/>
          <w:between w:val="nil"/>
        </w:pBdr>
        <w:ind w:hanging="2"/>
        <w:jc w:val="both"/>
        <w:rPr>
          <w:color w:val="000000"/>
        </w:rPr>
      </w:pPr>
      <w:r w:rsidRPr="00D079BC">
        <w:rPr>
          <w:color w:val="000000"/>
        </w:rPr>
        <w:tab/>
      </w:r>
      <w:r w:rsidRPr="00D079BC">
        <w:rPr>
          <w:color w:val="000000"/>
        </w:rPr>
        <w:tab/>
        <w:t>Climate change significantly influences rainfall patterns, river discharge rates, and flood frequencies</w:t>
      </w:r>
      <w:r w:rsidR="00255919" w:rsidRPr="00D079BC">
        <w:rPr>
          <w:color w:val="000000"/>
        </w:rPr>
        <w:t xml:space="preserve"> (Lariyah et al., 2022)</w:t>
      </w:r>
      <w:r w:rsidRPr="00D079BC">
        <w:rPr>
          <w:color w:val="000000"/>
        </w:rPr>
        <w:t xml:space="preserve">. Future flood mitigation must incorporate climate-responsive planning. By utilizing General Circulation Models (GCMs) and Regional Climate Models </w:t>
      </w:r>
      <w:r w:rsidRPr="00D079BC">
        <w:rPr>
          <w:color w:val="000000"/>
        </w:rPr>
        <w:lastRenderedPageBreak/>
        <w:t xml:space="preserve">(RCMs), policymakers can forecast long-term precipitation and sea-level rise trends, allowing for proactive flood mitigation strategies. For example, projections indicate a 10% increase in annual rainfall over the next 50 years, which must be factored into infrastructure planning and flood hazard mapping. Flood-prone areas, such as Kota </w:t>
      </w:r>
      <w:proofErr w:type="spellStart"/>
      <w:r w:rsidRPr="00D079BC">
        <w:rPr>
          <w:color w:val="000000"/>
        </w:rPr>
        <w:t>Bharu</w:t>
      </w:r>
      <w:proofErr w:type="spellEnd"/>
      <w:r w:rsidRPr="00D079BC">
        <w:rPr>
          <w:color w:val="000000"/>
        </w:rPr>
        <w:t xml:space="preserve"> and </w:t>
      </w:r>
      <w:proofErr w:type="spellStart"/>
      <w:r w:rsidRPr="00D079BC">
        <w:rPr>
          <w:color w:val="000000"/>
        </w:rPr>
        <w:t>Tumpat</w:t>
      </w:r>
      <w:proofErr w:type="spellEnd"/>
      <w:r w:rsidRPr="00D079BC">
        <w:rPr>
          <w:color w:val="000000"/>
        </w:rPr>
        <w:t>, require zoning regulations that prevent the construction of critical infrastructure in high-risk zones</w:t>
      </w:r>
      <w:r w:rsidR="00255919" w:rsidRPr="00D079BC">
        <w:rPr>
          <w:color w:val="000000"/>
        </w:rPr>
        <w:t xml:space="preserve"> (See Too et al., 2023)</w:t>
      </w:r>
      <w:r w:rsidRPr="00D079BC">
        <w:rPr>
          <w:color w:val="000000"/>
        </w:rPr>
        <w:t>. Additionally, urban expansion should incorporate green infrastructure such as wetlands, retention ponds, and permeable surfaces to reduce runoff and enhance water absorption.</w:t>
      </w:r>
    </w:p>
    <w:p w14:paraId="666DB581" w14:textId="3DE59821" w:rsidR="007B2BAA" w:rsidRPr="00D079BC" w:rsidRDefault="007B2BAA" w:rsidP="00D079BC">
      <w:pPr>
        <w:pBdr>
          <w:top w:val="nil"/>
          <w:left w:val="nil"/>
          <w:bottom w:val="nil"/>
          <w:right w:val="nil"/>
          <w:between w:val="nil"/>
        </w:pBdr>
        <w:ind w:hanging="2"/>
        <w:jc w:val="both"/>
        <w:rPr>
          <w:color w:val="000000"/>
        </w:rPr>
      </w:pPr>
      <w:r w:rsidRPr="00D079BC">
        <w:rPr>
          <w:color w:val="000000"/>
        </w:rPr>
        <w:tab/>
      </w:r>
      <w:r w:rsidRPr="00D079BC">
        <w:rPr>
          <w:color w:val="000000"/>
        </w:rPr>
        <w:tab/>
        <w:t>Traditional flood models are limited in their ability to process large datasets and predict flood patterns with high accuracy</w:t>
      </w:r>
      <w:r w:rsidR="009D347C" w:rsidRPr="00D079BC">
        <w:rPr>
          <w:color w:val="000000"/>
        </w:rPr>
        <w:t xml:space="preserve"> (Margarita et al., 2024)</w:t>
      </w:r>
      <w:r w:rsidRPr="00D079BC">
        <w:rPr>
          <w:color w:val="000000"/>
        </w:rPr>
        <w:t>. The adoption of advanced hydrological and machine learning models can significantly improve flood preparedness and mitigation. Algorithms such as Random Forest and Neural Networks can analyze historical flood data, rainfall trends, and land-use changes to predict peak discharge events more accurately</w:t>
      </w:r>
      <w:r w:rsidR="00261D07" w:rsidRPr="00D079BC">
        <w:rPr>
          <w:color w:val="000000"/>
        </w:rPr>
        <w:t xml:space="preserve"> (Robert et al., 2024)</w:t>
      </w:r>
      <w:r w:rsidRPr="00D079BC">
        <w:rPr>
          <w:color w:val="000000"/>
        </w:rPr>
        <w:t>. This reduces false alarms and enhances early warning system efficiency. Hydrodynamic models like MIKE SHE, coupled with HEC-RAS, simulate water flow, soil moisture, and urbanization effects, helping authorities design flood mitigation structures like levees, embankments, and flood diversion channels</w:t>
      </w:r>
      <w:r w:rsidR="001D0799" w:rsidRPr="00D079BC">
        <w:rPr>
          <w:color w:val="000000"/>
        </w:rPr>
        <w:t xml:space="preserve"> (Fred </w:t>
      </w:r>
      <w:r w:rsidR="003D2649">
        <w:rPr>
          <w:color w:val="000000"/>
        </w:rPr>
        <w:t>&amp;</w:t>
      </w:r>
      <w:r w:rsidR="001D0799" w:rsidRPr="00D079BC">
        <w:rPr>
          <w:color w:val="000000"/>
        </w:rPr>
        <w:t xml:space="preserve"> Kyung, 2024)</w:t>
      </w:r>
      <w:r w:rsidRPr="00D079BC">
        <w:rPr>
          <w:color w:val="000000"/>
        </w:rPr>
        <w:t>. Besides, an IoT-based sensor network along the Kelantan River could provide continuous data on river discharge, rainfall, and water levels. This data, processed through predictive analytics, can issue automated flood warnings, allowing authorities and communities to respond proactively rather than reactively.</w:t>
      </w:r>
    </w:p>
    <w:p w14:paraId="09BBCD82" w14:textId="64BA2602" w:rsidR="007B2BAA" w:rsidRPr="00D079BC" w:rsidRDefault="007B2BAA" w:rsidP="00D079BC">
      <w:pPr>
        <w:pBdr>
          <w:top w:val="nil"/>
          <w:left w:val="nil"/>
          <w:bottom w:val="nil"/>
          <w:right w:val="nil"/>
          <w:between w:val="nil"/>
        </w:pBdr>
        <w:ind w:hanging="2"/>
        <w:jc w:val="both"/>
        <w:rPr>
          <w:color w:val="000000"/>
        </w:rPr>
      </w:pPr>
      <w:r w:rsidRPr="00D079BC">
        <w:rPr>
          <w:color w:val="000000"/>
        </w:rPr>
        <w:tab/>
      </w:r>
      <w:r w:rsidRPr="00D079BC">
        <w:rPr>
          <w:color w:val="000000"/>
        </w:rPr>
        <w:tab/>
        <w:t>However, scientific models and infrastructure alone cannot fully mitigate flood risks without strong community engagement and localized flood management efforts</w:t>
      </w:r>
      <w:r w:rsidR="001D0799" w:rsidRPr="00D079BC">
        <w:rPr>
          <w:color w:val="000000"/>
        </w:rPr>
        <w:t xml:space="preserve"> (Samiri et al., 2024)</w:t>
      </w:r>
      <w:r w:rsidRPr="00D079BC">
        <w:rPr>
          <w:color w:val="000000"/>
        </w:rPr>
        <w:t>. This study emphasizes the role of local communities in flood preparedness and response</w:t>
      </w:r>
      <w:r w:rsidR="001D0799" w:rsidRPr="00D079BC">
        <w:rPr>
          <w:color w:val="000000"/>
        </w:rPr>
        <w:t xml:space="preserve"> (Watkins and Collins, 2024)</w:t>
      </w:r>
      <w:r w:rsidRPr="00D079BC">
        <w:rPr>
          <w:color w:val="000000"/>
        </w:rPr>
        <w:t>. Flood hazard maps should incorporate community knowledge and real-time observations. Engaging local residents in GIS-based flood mapping workshops ensures that maps accurately reflect on-the-ground conditions. Establishing community flood response teams can enhance preparedness, evacuation coordination, and first-aid response. For example, localized flood monitoring groups in Kelantan could receive training in interpreting flood warnings, conducting evacuations, and assisting vulnerable populations. Flood literacy programs should educate residents on flood risk, evacuation procedures, and emergency preparedness</w:t>
      </w:r>
      <w:r w:rsidR="00115402" w:rsidRPr="00D079BC">
        <w:rPr>
          <w:color w:val="000000"/>
        </w:rPr>
        <w:t xml:space="preserve"> (</w:t>
      </w:r>
      <w:proofErr w:type="spellStart"/>
      <w:r w:rsidR="00115402" w:rsidRPr="00D079BC">
        <w:rPr>
          <w:color w:val="000000"/>
        </w:rPr>
        <w:t>Rameli</w:t>
      </w:r>
      <w:proofErr w:type="spellEnd"/>
      <w:r w:rsidR="00115402" w:rsidRPr="00D079BC">
        <w:rPr>
          <w:color w:val="000000"/>
        </w:rPr>
        <w:t xml:space="preserve"> et al., 2024)</w:t>
      </w:r>
      <w:r w:rsidRPr="00D079BC">
        <w:rPr>
          <w:color w:val="000000"/>
        </w:rPr>
        <w:t>. Workshops in schools, mosques, and community centers can ensure widespread awareness and readiness. Community-driven efforts, such as mangrove reforestation, riverbank stabilization, and drainage maintenance, can reduce flood intensity and protect critical ecosystems that naturally mitigate flood risks.</w:t>
      </w:r>
    </w:p>
    <w:p w14:paraId="54E4CED1" w14:textId="68DEFBC5" w:rsidR="007B2BAA" w:rsidRPr="00D079BC" w:rsidRDefault="007B2BAA" w:rsidP="00D079BC">
      <w:pPr>
        <w:pBdr>
          <w:top w:val="nil"/>
          <w:left w:val="nil"/>
          <w:bottom w:val="nil"/>
          <w:right w:val="nil"/>
          <w:between w:val="nil"/>
        </w:pBdr>
        <w:ind w:hanging="2"/>
        <w:jc w:val="both"/>
        <w:rPr>
          <w:color w:val="000000"/>
        </w:rPr>
      </w:pPr>
    </w:p>
    <w:p w14:paraId="7E864A06" w14:textId="78D4F94E" w:rsidR="007B2BAA" w:rsidRPr="007B2BAA" w:rsidRDefault="007B2BAA" w:rsidP="00D079BC">
      <w:pPr>
        <w:pBdr>
          <w:top w:val="nil"/>
          <w:left w:val="nil"/>
          <w:bottom w:val="nil"/>
          <w:right w:val="nil"/>
          <w:between w:val="nil"/>
        </w:pBdr>
        <w:ind w:hanging="2"/>
        <w:jc w:val="both"/>
        <w:rPr>
          <w:color w:val="000000"/>
        </w:rPr>
      </w:pPr>
      <w:r w:rsidRPr="007B2BAA">
        <w:rPr>
          <w:color w:val="000000"/>
        </w:rPr>
        <w:t>To </w:t>
      </w:r>
      <w:r w:rsidRPr="007B2BAA">
        <w:rPr>
          <w:bCs/>
          <w:color w:val="000000"/>
        </w:rPr>
        <w:t xml:space="preserve">effectively reduce flood </w:t>
      </w:r>
      <w:r w:rsidRPr="00D079BC">
        <w:rPr>
          <w:bCs/>
          <w:color w:val="000000"/>
        </w:rPr>
        <w:t xml:space="preserve">risk </w:t>
      </w:r>
      <w:r w:rsidRPr="007B2BAA">
        <w:rPr>
          <w:bCs/>
          <w:color w:val="000000"/>
        </w:rPr>
        <w:t>in Kelantan</w:t>
      </w:r>
      <w:r w:rsidRPr="007B2BAA">
        <w:rPr>
          <w:color w:val="000000"/>
        </w:rPr>
        <w:t>, this study recommends:</w:t>
      </w:r>
    </w:p>
    <w:p w14:paraId="00D2D2CD" w14:textId="77777777" w:rsidR="007B2BAA" w:rsidRPr="007B2BAA" w:rsidRDefault="007B2BAA" w:rsidP="00D079BC">
      <w:pPr>
        <w:numPr>
          <w:ilvl w:val="0"/>
          <w:numId w:val="2"/>
        </w:numPr>
        <w:pBdr>
          <w:top w:val="nil"/>
          <w:left w:val="nil"/>
          <w:bottom w:val="nil"/>
          <w:right w:val="nil"/>
          <w:between w:val="nil"/>
        </w:pBdr>
        <w:jc w:val="both"/>
        <w:rPr>
          <w:color w:val="000000"/>
        </w:rPr>
      </w:pPr>
      <w:r w:rsidRPr="007B2BAA">
        <w:rPr>
          <w:bCs/>
          <w:color w:val="000000"/>
        </w:rPr>
        <w:t>Enhanced Coordination Between Government and Local Communities:</w:t>
      </w:r>
      <w:r w:rsidRPr="007B2BAA">
        <w:rPr>
          <w:color w:val="000000"/>
        </w:rPr>
        <w:t> </w:t>
      </w:r>
      <w:r w:rsidRPr="007B2BAA">
        <w:rPr>
          <w:bCs/>
          <w:color w:val="000000"/>
        </w:rPr>
        <w:t>Joint flood response teams</w:t>
      </w:r>
      <w:r w:rsidRPr="007B2BAA">
        <w:rPr>
          <w:color w:val="000000"/>
        </w:rPr>
        <w:t> between the </w:t>
      </w:r>
      <w:r w:rsidRPr="007B2BAA">
        <w:rPr>
          <w:bCs/>
          <w:color w:val="000000"/>
        </w:rPr>
        <w:t>National Disaster Management Agency (NADMA), local authorities, and community groups</w:t>
      </w:r>
      <w:r w:rsidRPr="007B2BAA">
        <w:rPr>
          <w:color w:val="000000"/>
        </w:rPr>
        <w:t> can improve </w:t>
      </w:r>
      <w:r w:rsidRPr="007B2BAA">
        <w:rPr>
          <w:bCs/>
          <w:color w:val="000000"/>
        </w:rPr>
        <w:t>communication and resource mobilization</w:t>
      </w:r>
      <w:r w:rsidRPr="007B2BAA">
        <w:rPr>
          <w:color w:val="000000"/>
        </w:rPr>
        <w:t>.</w:t>
      </w:r>
    </w:p>
    <w:p w14:paraId="32EDB773" w14:textId="77777777" w:rsidR="007B2BAA" w:rsidRPr="007B2BAA" w:rsidRDefault="007B2BAA" w:rsidP="00D079BC">
      <w:pPr>
        <w:numPr>
          <w:ilvl w:val="0"/>
          <w:numId w:val="2"/>
        </w:numPr>
        <w:pBdr>
          <w:top w:val="nil"/>
          <w:left w:val="nil"/>
          <w:bottom w:val="nil"/>
          <w:right w:val="nil"/>
          <w:between w:val="nil"/>
        </w:pBdr>
        <w:jc w:val="both"/>
        <w:rPr>
          <w:color w:val="000000"/>
        </w:rPr>
      </w:pPr>
      <w:r w:rsidRPr="007B2BAA">
        <w:rPr>
          <w:bCs/>
          <w:color w:val="000000"/>
        </w:rPr>
        <w:t>Investment in Sustainable Infrastructure:</w:t>
      </w:r>
      <w:r w:rsidRPr="007B2BAA">
        <w:rPr>
          <w:color w:val="000000"/>
        </w:rPr>
        <w:t> The government should prioritize the construction of </w:t>
      </w:r>
      <w:r w:rsidRPr="007B2BAA">
        <w:rPr>
          <w:bCs/>
          <w:color w:val="000000"/>
        </w:rPr>
        <w:t>multipurpose retention basins, flood bypass channels, and eco-friendly embankments</w:t>
      </w:r>
      <w:r w:rsidRPr="007B2BAA">
        <w:rPr>
          <w:color w:val="000000"/>
        </w:rPr>
        <w:t> that align with </w:t>
      </w:r>
      <w:r w:rsidRPr="007B2BAA">
        <w:rPr>
          <w:bCs/>
          <w:color w:val="000000"/>
        </w:rPr>
        <w:t>sustainable urban development goals</w:t>
      </w:r>
      <w:r w:rsidRPr="007B2BAA">
        <w:rPr>
          <w:color w:val="000000"/>
        </w:rPr>
        <w:t>.</w:t>
      </w:r>
    </w:p>
    <w:p w14:paraId="64A37A5D" w14:textId="77777777" w:rsidR="007B2BAA" w:rsidRPr="007B2BAA" w:rsidRDefault="007B2BAA" w:rsidP="00D079BC">
      <w:pPr>
        <w:numPr>
          <w:ilvl w:val="0"/>
          <w:numId w:val="2"/>
        </w:numPr>
        <w:pBdr>
          <w:top w:val="nil"/>
          <w:left w:val="nil"/>
          <w:bottom w:val="nil"/>
          <w:right w:val="nil"/>
          <w:between w:val="nil"/>
        </w:pBdr>
        <w:jc w:val="both"/>
        <w:rPr>
          <w:color w:val="000000"/>
        </w:rPr>
      </w:pPr>
      <w:r w:rsidRPr="007B2BAA">
        <w:rPr>
          <w:bCs/>
          <w:color w:val="000000"/>
        </w:rPr>
        <w:t>Strengthening Flood Early Warning Systems (FEWS):</w:t>
      </w:r>
      <w:r w:rsidRPr="007B2BAA">
        <w:rPr>
          <w:color w:val="000000"/>
        </w:rPr>
        <w:t> Investing in </w:t>
      </w:r>
      <w:r w:rsidRPr="007B2BAA">
        <w:rPr>
          <w:bCs/>
          <w:color w:val="000000"/>
        </w:rPr>
        <w:t>automated flood forecasting tools, mobile alert systems, and community alarm networks</w:t>
      </w:r>
      <w:r w:rsidRPr="007B2BAA">
        <w:rPr>
          <w:color w:val="000000"/>
        </w:rPr>
        <w:t> can </w:t>
      </w:r>
      <w:r w:rsidRPr="007B2BAA">
        <w:rPr>
          <w:bCs/>
          <w:color w:val="000000"/>
        </w:rPr>
        <w:t>increase response times and minimize losses</w:t>
      </w:r>
      <w:r w:rsidRPr="007B2BAA">
        <w:rPr>
          <w:color w:val="000000"/>
        </w:rPr>
        <w:t>.</w:t>
      </w:r>
    </w:p>
    <w:p w14:paraId="6E9A20FB" w14:textId="77777777" w:rsidR="007B2BAA" w:rsidRPr="007B2BAA" w:rsidRDefault="007B2BAA" w:rsidP="00D079BC">
      <w:pPr>
        <w:numPr>
          <w:ilvl w:val="0"/>
          <w:numId w:val="2"/>
        </w:numPr>
        <w:pBdr>
          <w:top w:val="nil"/>
          <w:left w:val="nil"/>
          <w:bottom w:val="nil"/>
          <w:right w:val="nil"/>
          <w:between w:val="nil"/>
        </w:pBdr>
        <w:jc w:val="both"/>
        <w:rPr>
          <w:color w:val="000000"/>
        </w:rPr>
      </w:pPr>
      <w:r w:rsidRPr="007B2BAA">
        <w:rPr>
          <w:bCs/>
          <w:color w:val="000000"/>
        </w:rPr>
        <w:lastRenderedPageBreak/>
        <w:t>Regular Flood Drills and Simulations:</w:t>
      </w:r>
      <w:r w:rsidRPr="007B2BAA">
        <w:rPr>
          <w:color w:val="000000"/>
        </w:rPr>
        <w:t> Conducting </w:t>
      </w:r>
      <w:r w:rsidRPr="007B2BAA">
        <w:rPr>
          <w:bCs/>
          <w:color w:val="000000"/>
        </w:rPr>
        <w:t>annual community flood drills</w:t>
      </w:r>
      <w:r w:rsidRPr="007B2BAA">
        <w:rPr>
          <w:color w:val="000000"/>
        </w:rPr>
        <w:t> ensures that residents, schools, and businesses are </w:t>
      </w:r>
      <w:r w:rsidRPr="007B2BAA">
        <w:rPr>
          <w:bCs/>
          <w:color w:val="000000"/>
        </w:rPr>
        <w:t>prepared for evacuation and emergency response</w:t>
      </w:r>
      <w:r w:rsidRPr="007B2BAA">
        <w:rPr>
          <w:color w:val="000000"/>
        </w:rPr>
        <w:t>.</w:t>
      </w:r>
    </w:p>
    <w:p w14:paraId="29F02197" w14:textId="77777777" w:rsidR="007B2BAA" w:rsidRPr="007B2BAA" w:rsidRDefault="007B2BAA" w:rsidP="00D079BC">
      <w:pPr>
        <w:numPr>
          <w:ilvl w:val="0"/>
          <w:numId w:val="2"/>
        </w:numPr>
        <w:pBdr>
          <w:top w:val="nil"/>
          <w:left w:val="nil"/>
          <w:bottom w:val="nil"/>
          <w:right w:val="nil"/>
          <w:between w:val="nil"/>
        </w:pBdr>
        <w:jc w:val="both"/>
        <w:rPr>
          <w:color w:val="000000"/>
        </w:rPr>
      </w:pPr>
      <w:r w:rsidRPr="007B2BAA">
        <w:rPr>
          <w:bCs/>
          <w:color w:val="000000"/>
        </w:rPr>
        <w:t>Policy Integration with Climate Adaptation Strategies:</w:t>
      </w:r>
      <w:r w:rsidRPr="007B2BAA">
        <w:rPr>
          <w:color w:val="000000"/>
        </w:rPr>
        <w:t> Flood management should be integrated into </w:t>
      </w:r>
      <w:r w:rsidRPr="007B2BAA">
        <w:rPr>
          <w:bCs/>
          <w:color w:val="000000"/>
        </w:rPr>
        <w:t>Malaysia’s National Climate Change Adaptation Plan</w:t>
      </w:r>
      <w:r w:rsidRPr="007B2BAA">
        <w:rPr>
          <w:color w:val="000000"/>
        </w:rPr>
        <w:t>, ensuring that </w:t>
      </w:r>
      <w:r w:rsidRPr="007B2BAA">
        <w:rPr>
          <w:bCs/>
          <w:color w:val="000000"/>
        </w:rPr>
        <w:t>development projects account for future climate risks</w:t>
      </w:r>
      <w:r w:rsidRPr="007B2BAA">
        <w:rPr>
          <w:color w:val="000000"/>
        </w:rPr>
        <w:t>.</w:t>
      </w:r>
    </w:p>
    <w:p w14:paraId="4E631D52" w14:textId="77777777" w:rsidR="007108E9" w:rsidRDefault="007108E9" w:rsidP="00D079BC">
      <w:pPr>
        <w:ind w:hanging="2"/>
        <w:jc w:val="center"/>
      </w:pPr>
    </w:p>
    <w:p w14:paraId="167B569D" w14:textId="77777777" w:rsidR="003D2649" w:rsidRPr="00D079BC" w:rsidRDefault="003D2649" w:rsidP="00D079BC">
      <w:pPr>
        <w:ind w:hanging="2"/>
        <w:jc w:val="center"/>
      </w:pPr>
    </w:p>
    <w:p w14:paraId="4B68AE0D" w14:textId="568A8744" w:rsidR="007108E9" w:rsidRPr="00D079BC" w:rsidRDefault="00C55DAE" w:rsidP="00D079BC">
      <w:pPr>
        <w:ind w:hanging="2"/>
      </w:pPr>
      <w:r w:rsidRPr="00D079BC">
        <w:rPr>
          <w:b/>
        </w:rPr>
        <w:t xml:space="preserve">Conclusion </w:t>
      </w:r>
      <w:r w:rsidRPr="00D079BC">
        <w:t xml:space="preserve"> </w:t>
      </w:r>
    </w:p>
    <w:p w14:paraId="09EA0BB5" w14:textId="77777777" w:rsidR="007108E9" w:rsidRPr="00D079BC" w:rsidRDefault="007108E9" w:rsidP="00D079BC">
      <w:pPr>
        <w:ind w:hanging="2"/>
        <w:jc w:val="both"/>
      </w:pPr>
    </w:p>
    <w:p w14:paraId="2B47FBBD" w14:textId="77777777" w:rsidR="00EA26A8" w:rsidRPr="00D079BC" w:rsidRDefault="00EA26A8" w:rsidP="00D079BC">
      <w:pPr>
        <w:ind w:hanging="2"/>
        <w:jc w:val="both"/>
      </w:pPr>
      <w:r w:rsidRPr="00D079BC">
        <w:t>Flooding remains a critical environmental and socio-economic challenge in Kelantan, with devastating impacts on communities, infrastructure, and local economies. This study underscores the urgent need for advanced flood risk management strategies by developing high-resolution flood hazard maps using HEC-RAS 2D modeling and GIS techniques. The results reveal a significant flood hazard in the Kelantan floodplain, particularly in high-impact zones, where frequent and severe floods continue to threaten lives, properties, and livelihoods.</w:t>
      </w:r>
    </w:p>
    <w:p w14:paraId="6803B1D1" w14:textId="547B0BB0" w:rsidR="00EA26A8" w:rsidRPr="00D079BC" w:rsidRDefault="00EA26A8" w:rsidP="00D079BC">
      <w:pPr>
        <w:ind w:hanging="2"/>
        <w:jc w:val="both"/>
      </w:pPr>
      <w:r w:rsidRPr="00D079BC">
        <w:tab/>
      </w:r>
      <w:r w:rsidRPr="00D079BC">
        <w:tab/>
        <w:t>By analyzing historical flood data and simulating flood scenarios for return periods ranging from 2 to 100 years, this study provides scientific validation for flood predictions and offers critical insights into flood dynamics in the region. The integration of hydraulic modeling, GIS-based mapping, and statistical analysis enhances the accuracy of flood risk assessment and contributes to informed decision-making for flood mitigation and disaster preparedness. The flood maps generated in this study provide detailed visual representations of flood-prone areas, helping authorities and policymakers in land-use planning, emergency response, and long-term mitigation efforts. The study confirms the effectiveness of hydraulic modeling techniques in identifying flood hazard zones, highlighting their importance for future flood risk studies in Malaysia.</w:t>
      </w:r>
    </w:p>
    <w:p w14:paraId="5090BDBD" w14:textId="5BCBC9F5" w:rsidR="00EA26A8" w:rsidRPr="00D079BC" w:rsidRDefault="00EA26A8" w:rsidP="00D079BC">
      <w:pPr>
        <w:jc w:val="both"/>
      </w:pPr>
      <w:r w:rsidRPr="00D079BC">
        <w:tab/>
        <w:t>This study provides a solid foundation for flood risk assessment in Kelantan, offering both scientific insights and practical recommendations. However, addressing flood risks requires a multi-disciplinary approach, combining cutting-edge technology, community participation, and strong policy frameworks. Future research should continue to explore climate resilience strategies, advanced hydrological modeling, and real-time flood response systems to minimize disaster impacts and enhance flood resilience in Kelantan and beyond.</w:t>
      </w:r>
    </w:p>
    <w:p w14:paraId="060E48CF" w14:textId="77777777" w:rsidR="00EA26A8" w:rsidRDefault="00EA26A8" w:rsidP="00D079BC">
      <w:pPr>
        <w:ind w:hanging="2"/>
      </w:pPr>
    </w:p>
    <w:p w14:paraId="398750C0" w14:textId="77777777" w:rsidR="003D2649" w:rsidRPr="00D079BC" w:rsidRDefault="003D2649" w:rsidP="00D079BC">
      <w:pPr>
        <w:ind w:hanging="2"/>
      </w:pPr>
    </w:p>
    <w:p w14:paraId="21C460CC" w14:textId="25632809" w:rsidR="007108E9" w:rsidRPr="00D079BC" w:rsidRDefault="00C55DAE" w:rsidP="00D079BC">
      <w:pPr>
        <w:ind w:hanging="2"/>
      </w:pPr>
      <w:r w:rsidRPr="00D079BC">
        <w:rPr>
          <w:b/>
        </w:rPr>
        <w:t xml:space="preserve">Acknowledgement  </w:t>
      </w:r>
    </w:p>
    <w:p w14:paraId="05C22B5C" w14:textId="77777777" w:rsidR="007108E9" w:rsidRPr="00D079BC" w:rsidRDefault="00C55DAE" w:rsidP="00D079BC">
      <w:pPr>
        <w:ind w:hanging="2"/>
      </w:pPr>
      <w:r w:rsidRPr="00D079BC">
        <w:t xml:space="preserve"> </w:t>
      </w:r>
    </w:p>
    <w:p w14:paraId="15D93534" w14:textId="0FC163CA" w:rsidR="00DE6F4B" w:rsidRPr="003D75E4" w:rsidRDefault="00D851A4" w:rsidP="00D079BC">
      <w:pPr>
        <w:ind w:hanging="2"/>
        <w:rPr>
          <w:lang w:val="en-GB"/>
        </w:rPr>
      </w:pPr>
      <w:r w:rsidRPr="00D079BC">
        <w:rPr>
          <w:lang w:val="en-GB"/>
        </w:rPr>
        <w:t>We would like to express our sincere appreciation to all the stakeholders who provided us with invaluable information that was essential for the successful completion of this study.</w:t>
      </w:r>
      <w:r w:rsidR="00C55DAE" w:rsidRPr="00D079BC">
        <w:rPr>
          <w:b/>
        </w:rPr>
        <w:t xml:space="preserve"> </w:t>
      </w:r>
    </w:p>
    <w:p w14:paraId="0AAA2DCC" w14:textId="77777777" w:rsidR="00DE6F4B" w:rsidRDefault="00DE6F4B" w:rsidP="00D079BC">
      <w:pPr>
        <w:ind w:hanging="2"/>
      </w:pPr>
    </w:p>
    <w:p w14:paraId="67F927B9" w14:textId="77777777" w:rsidR="003D2649" w:rsidRPr="00D079BC" w:rsidRDefault="003D2649" w:rsidP="00D079BC">
      <w:pPr>
        <w:ind w:hanging="2"/>
      </w:pPr>
    </w:p>
    <w:p w14:paraId="7D151F91" w14:textId="1C916AE4" w:rsidR="007108E9" w:rsidRPr="00D079BC" w:rsidRDefault="00C55DAE" w:rsidP="00D079BC">
      <w:pPr>
        <w:ind w:hanging="2"/>
      </w:pPr>
      <w:r w:rsidRPr="00D079BC">
        <w:rPr>
          <w:b/>
        </w:rPr>
        <w:t xml:space="preserve">References </w:t>
      </w:r>
    </w:p>
    <w:p w14:paraId="4274873A" w14:textId="75DDDFA6" w:rsidR="00DE6F4B" w:rsidRPr="00D079BC" w:rsidRDefault="00C55DAE" w:rsidP="00D079BC">
      <w:pPr>
        <w:ind w:hanging="2"/>
      </w:pPr>
      <w:r w:rsidRPr="00D079BC">
        <w:rPr>
          <w:b/>
        </w:rPr>
        <w:t xml:space="preserve"> </w:t>
      </w:r>
    </w:p>
    <w:p w14:paraId="310AE1D5" w14:textId="77777777" w:rsidR="00D079BC" w:rsidRPr="00D079BC" w:rsidRDefault="00D079BC" w:rsidP="00D079BC">
      <w:pPr>
        <w:ind w:left="900" w:hanging="902"/>
        <w:jc w:val="both"/>
        <w:rPr>
          <w:lang w:eastAsia="en-US"/>
        </w:rPr>
      </w:pPr>
      <w:r w:rsidRPr="00D079BC">
        <w:rPr>
          <w:lang w:eastAsia="en-US"/>
        </w:rPr>
        <w:t xml:space="preserve">Abdullah, M. B., Zakaria, N. A., </w:t>
      </w:r>
      <w:proofErr w:type="spellStart"/>
      <w:r w:rsidRPr="00D079BC">
        <w:rPr>
          <w:lang w:eastAsia="en-US"/>
        </w:rPr>
        <w:t>Abustan</w:t>
      </w:r>
      <w:proofErr w:type="spellEnd"/>
      <w:r w:rsidRPr="00D079BC">
        <w:rPr>
          <w:lang w:eastAsia="en-US"/>
        </w:rPr>
        <w:t xml:space="preserve">, I., &amp; Ghani, A. A. (2015). Application of HEC-RAS 2D for flood hazard mapping in Pahang River Basin, Malaysia. </w:t>
      </w:r>
      <w:r w:rsidRPr="003D2649">
        <w:rPr>
          <w:i/>
          <w:iCs/>
          <w:lang w:eastAsia="en-US"/>
        </w:rPr>
        <w:t>Water and Environment Journal, 29</w:t>
      </w:r>
      <w:r w:rsidRPr="00D079BC">
        <w:rPr>
          <w:lang w:eastAsia="en-US"/>
        </w:rPr>
        <w:t>(4), 530-542.</w:t>
      </w:r>
    </w:p>
    <w:p w14:paraId="0633478F" w14:textId="77777777" w:rsidR="00D079BC" w:rsidRPr="00D079BC" w:rsidRDefault="00D079BC" w:rsidP="00D079BC">
      <w:pPr>
        <w:ind w:left="900" w:hanging="902"/>
        <w:jc w:val="both"/>
      </w:pPr>
      <w:r w:rsidRPr="00D079BC">
        <w:rPr>
          <w:lang w:eastAsia="en-US"/>
        </w:rPr>
        <w:t xml:space="preserve">Aerts, J. C., </w:t>
      </w:r>
      <w:proofErr w:type="spellStart"/>
      <w:r w:rsidRPr="00D079BC">
        <w:rPr>
          <w:lang w:eastAsia="en-US"/>
        </w:rPr>
        <w:t>Botzen</w:t>
      </w:r>
      <w:proofErr w:type="spellEnd"/>
      <w:r w:rsidRPr="00D079BC">
        <w:rPr>
          <w:lang w:eastAsia="en-US"/>
        </w:rPr>
        <w:t xml:space="preserve">, W. J., &amp; De Moel, H. (2013). Evaluating flood resilience strategies for coastal megacities. </w:t>
      </w:r>
      <w:r w:rsidRPr="00681992">
        <w:rPr>
          <w:i/>
          <w:iCs/>
          <w:lang w:eastAsia="en-US"/>
        </w:rPr>
        <w:t>Science, 344</w:t>
      </w:r>
      <w:r w:rsidRPr="00D079BC">
        <w:rPr>
          <w:lang w:eastAsia="en-US"/>
        </w:rPr>
        <w:t>(6183), 473-475.</w:t>
      </w:r>
    </w:p>
    <w:p w14:paraId="784CDABD" w14:textId="77777777" w:rsidR="00D079BC" w:rsidRPr="00D079BC" w:rsidRDefault="00D079BC" w:rsidP="00D079BC">
      <w:pPr>
        <w:ind w:left="900" w:hanging="902"/>
        <w:jc w:val="both"/>
      </w:pPr>
      <w:r w:rsidRPr="00D079BC">
        <w:rPr>
          <w:lang w:eastAsia="en-US"/>
        </w:rPr>
        <w:lastRenderedPageBreak/>
        <w:t xml:space="preserve">Birkmann, J., &amp; von Teichman, K. (2010). Integrating disaster risk reduction and climate change adaptation: key challenges-scales, knowledge, and norms. </w:t>
      </w:r>
      <w:r w:rsidRPr="00681992">
        <w:rPr>
          <w:i/>
          <w:iCs/>
          <w:lang w:eastAsia="en-US"/>
        </w:rPr>
        <w:t>Sustainability Science, 5</w:t>
      </w:r>
      <w:r w:rsidRPr="00D079BC">
        <w:rPr>
          <w:lang w:eastAsia="en-US"/>
        </w:rPr>
        <w:t>(2), 171-184.</w:t>
      </w:r>
    </w:p>
    <w:p w14:paraId="377081CB" w14:textId="4BE183F8" w:rsidR="00D079BC" w:rsidRPr="00D079BC" w:rsidRDefault="00D079BC" w:rsidP="00D079BC">
      <w:pPr>
        <w:ind w:left="900" w:hanging="902"/>
        <w:jc w:val="both"/>
      </w:pPr>
      <w:r w:rsidRPr="00D079BC">
        <w:rPr>
          <w:lang w:eastAsia="en-US"/>
        </w:rPr>
        <w:t xml:space="preserve">Bubeck, P., </w:t>
      </w:r>
      <w:proofErr w:type="spellStart"/>
      <w:r w:rsidRPr="00D079BC">
        <w:rPr>
          <w:lang w:eastAsia="en-US"/>
        </w:rPr>
        <w:t>Botzen</w:t>
      </w:r>
      <w:proofErr w:type="spellEnd"/>
      <w:r w:rsidRPr="00D079BC">
        <w:rPr>
          <w:lang w:eastAsia="en-US"/>
        </w:rPr>
        <w:t xml:space="preserve">, W. J., &amp; Aerts, J. C. (2012). A review of risk perceptions and other factors that influence flood mitigation behavior. </w:t>
      </w:r>
      <w:r w:rsidRPr="00714C03">
        <w:rPr>
          <w:i/>
          <w:iCs/>
          <w:lang w:eastAsia="en-US"/>
        </w:rPr>
        <w:t xml:space="preserve">Risk </w:t>
      </w:r>
      <w:r w:rsidR="00714C03" w:rsidRPr="00714C03">
        <w:rPr>
          <w:i/>
          <w:iCs/>
          <w:lang w:eastAsia="en-US"/>
        </w:rPr>
        <w:t>Analysis, 32</w:t>
      </w:r>
      <w:r w:rsidRPr="00D079BC">
        <w:rPr>
          <w:lang w:eastAsia="en-US"/>
        </w:rPr>
        <w:t>(9), 1481-1495.</w:t>
      </w:r>
    </w:p>
    <w:p w14:paraId="72300968" w14:textId="2955F953" w:rsidR="00D079BC" w:rsidRPr="00D079BC" w:rsidRDefault="00D079BC" w:rsidP="00D079BC">
      <w:pPr>
        <w:ind w:left="900" w:hanging="902"/>
        <w:jc w:val="both"/>
        <w:rPr>
          <w:lang w:eastAsia="en-US"/>
        </w:rPr>
      </w:pPr>
      <w:r w:rsidRPr="00D079BC">
        <w:rPr>
          <w:lang w:eastAsia="en-US"/>
        </w:rPr>
        <w:t>Bukhari, S.</w:t>
      </w:r>
      <w:r w:rsidR="004B7015">
        <w:rPr>
          <w:lang w:eastAsia="en-US"/>
        </w:rPr>
        <w:t xml:space="preserve"> </w:t>
      </w:r>
      <w:r w:rsidRPr="00D079BC">
        <w:rPr>
          <w:lang w:eastAsia="en-US"/>
        </w:rPr>
        <w:t>A.</w:t>
      </w:r>
      <w:r w:rsidR="004B7015">
        <w:rPr>
          <w:lang w:eastAsia="en-US"/>
        </w:rPr>
        <w:t xml:space="preserve"> </w:t>
      </w:r>
      <w:r w:rsidRPr="00D079BC">
        <w:rPr>
          <w:lang w:eastAsia="en-US"/>
        </w:rPr>
        <w:t>S., Shafi, I., Ahmad, J.</w:t>
      </w:r>
      <w:r w:rsidR="004B7015">
        <w:rPr>
          <w:lang w:eastAsia="en-US"/>
        </w:rPr>
        <w:t xml:space="preserve">, Villar, S. G., Villena, E. G., </w:t>
      </w:r>
      <w:proofErr w:type="spellStart"/>
      <w:r w:rsidR="004B7015">
        <w:rPr>
          <w:lang w:eastAsia="en-US"/>
        </w:rPr>
        <w:t>Khurshaid</w:t>
      </w:r>
      <w:proofErr w:type="spellEnd"/>
      <w:r w:rsidR="004B7015">
        <w:rPr>
          <w:lang w:eastAsia="en-US"/>
        </w:rPr>
        <w:t>, T., &amp; Ashraf, I.</w:t>
      </w:r>
      <w:r w:rsidRPr="00D079BC">
        <w:rPr>
          <w:lang w:eastAsia="en-US"/>
        </w:rPr>
        <w:t xml:space="preserve"> </w:t>
      </w:r>
      <w:r w:rsidR="004B7015">
        <w:rPr>
          <w:lang w:eastAsia="en-US"/>
        </w:rPr>
        <w:t xml:space="preserve">(2024). </w:t>
      </w:r>
      <w:r w:rsidRPr="00D079BC">
        <w:rPr>
          <w:lang w:eastAsia="en-US"/>
        </w:rPr>
        <w:t xml:space="preserve">Review of flood monitoring and prevention approaches: </w:t>
      </w:r>
      <w:r w:rsidR="004B7015" w:rsidRPr="00D079BC">
        <w:rPr>
          <w:lang w:eastAsia="en-US"/>
        </w:rPr>
        <w:t>A</w:t>
      </w:r>
      <w:r w:rsidRPr="00D079BC">
        <w:rPr>
          <w:lang w:eastAsia="en-US"/>
        </w:rPr>
        <w:t xml:space="preserve"> data analytic perspective. </w:t>
      </w:r>
      <w:r w:rsidRPr="004B7015">
        <w:rPr>
          <w:i/>
          <w:iCs/>
          <w:lang w:eastAsia="en-US"/>
        </w:rPr>
        <w:t>Nat</w:t>
      </w:r>
      <w:r w:rsidR="004B7015" w:rsidRPr="004B7015">
        <w:rPr>
          <w:i/>
          <w:iCs/>
          <w:lang w:eastAsia="en-US"/>
        </w:rPr>
        <w:t>ural Hazards</w:t>
      </w:r>
      <w:r w:rsidR="004B7015">
        <w:rPr>
          <w:i/>
          <w:iCs/>
          <w:lang w:eastAsia="en-US"/>
        </w:rPr>
        <w:t>.</w:t>
      </w:r>
    </w:p>
    <w:p w14:paraId="37E5D19E" w14:textId="5C37D41E" w:rsidR="00D079BC" w:rsidRPr="00D079BC" w:rsidRDefault="00D079BC" w:rsidP="00D079BC">
      <w:pPr>
        <w:ind w:left="900" w:hanging="902"/>
        <w:jc w:val="both"/>
      </w:pPr>
      <w:r w:rsidRPr="00D079BC">
        <w:rPr>
          <w:lang w:eastAsia="en-US"/>
        </w:rPr>
        <w:t xml:space="preserve">Chan, N. W. (1995). Flood disaster management in Malaysia: </w:t>
      </w:r>
      <w:r w:rsidR="004B7015">
        <w:rPr>
          <w:lang w:eastAsia="en-US"/>
        </w:rPr>
        <w:t>A</w:t>
      </w:r>
      <w:r w:rsidRPr="00D079BC">
        <w:rPr>
          <w:lang w:eastAsia="en-US"/>
        </w:rPr>
        <w:t>n evaluation of the effectiveness of government reset-</w:t>
      </w:r>
      <w:proofErr w:type="spellStart"/>
      <w:r w:rsidRPr="00D079BC">
        <w:rPr>
          <w:lang w:eastAsia="en-US"/>
        </w:rPr>
        <w:t>tlement</w:t>
      </w:r>
      <w:proofErr w:type="spellEnd"/>
      <w:r w:rsidRPr="00D079BC">
        <w:rPr>
          <w:lang w:eastAsia="en-US"/>
        </w:rPr>
        <w:t xml:space="preserve"> schemes. </w:t>
      </w:r>
      <w:r w:rsidRPr="004B7015">
        <w:rPr>
          <w:i/>
          <w:iCs/>
          <w:lang w:eastAsia="en-US"/>
        </w:rPr>
        <w:t>Disaster Prevention and Management</w:t>
      </w:r>
      <w:r w:rsidR="004B7015" w:rsidRPr="004B7015">
        <w:rPr>
          <w:i/>
          <w:iCs/>
          <w:lang w:eastAsia="en-US"/>
        </w:rPr>
        <w:t xml:space="preserve">, </w:t>
      </w:r>
      <w:r w:rsidRPr="004B7015">
        <w:rPr>
          <w:i/>
          <w:iCs/>
          <w:lang w:eastAsia="en-US"/>
        </w:rPr>
        <w:t>4</w:t>
      </w:r>
      <w:r w:rsidRPr="00D079BC">
        <w:rPr>
          <w:lang w:eastAsia="en-US"/>
        </w:rPr>
        <w:t>(4</w:t>
      </w:r>
      <w:r w:rsidR="004B7015">
        <w:rPr>
          <w:lang w:eastAsia="en-US"/>
        </w:rPr>
        <w:t xml:space="preserve">), </w:t>
      </w:r>
      <w:r w:rsidRPr="00D079BC">
        <w:rPr>
          <w:lang w:eastAsia="en-US"/>
        </w:rPr>
        <w:t>22-29</w:t>
      </w:r>
      <w:r w:rsidR="004B7015">
        <w:rPr>
          <w:lang w:eastAsia="en-US"/>
        </w:rPr>
        <w:t>.</w:t>
      </w:r>
    </w:p>
    <w:p w14:paraId="06A7778A" w14:textId="4E5B4F88" w:rsidR="00D079BC" w:rsidRPr="00D079BC" w:rsidRDefault="00D079BC" w:rsidP="00D079BC">
      <w:pPr>
        <w:ind w:left="900" w:hanging="902"/>
        <w:jc w:val="both"/>
        <w:rPr>
          <w:lang w:eastAsia="en-US"/>
        </w:rPr>
      </w:pPr>
      <w:proofErr w:type="spellStart"/>
      <w:r w:rsidRPr="00D079BC">
        <w:rPr>
          <w:lang w:eastAsia="en-US"/>
        </w:rPr>
        <w:t>Chlumsky</w:t>
      </w:r>
      <w:proofErr w:type="spellEnd"/>
      <w:r w:rsidRPr="00D079BC">
        <w:rPr>
          <w:lang w:eastAsia="en-US"/>
        </w:rPr>
        <w:t>, R., Craig, J. R., &amp; Tolson, B. A. (2024). A reach-integrated hydraulic modelling approach for large-scale and real-time inundation mapping</w:t>
      </w:r>
      <w:r w:rsidR="004B7015">
        <w:rPr>
          <w:lang w:eastAsia="en-US"/>
        </w:rPr>
        <w:t xml:space="preserve">. </w:t>
      </w:r>
      <w:r w:rsidR="004B7015" w:rsidRPr="004B7015">
        <w:rPr>
          <w:i/>
          <w:iCs/>
          <w:lang w:eastAsia="en-US"/>
        </w:rPr>
        <w:t>Geoscientific Model Development</w:t>
      </w:r>
      <w:r w:rsidR="004B7015">
        <w:rPr>
          <w:lang w:eastAsia="en-US"/>
        </w:rPr>
        <w:t>, 1-28.</w:t>
      </w:r>
    </w:p>
    <w:p w14:paraId="61A19424" w14:textId="20070001" w:rsidR="00D079BC" w:rsidRPr="00D079BC" w:rsidRDefault="00D079BC" w:rsidP="00D079BC">
      <w:pPr>
        <w:ind w:left="900" w:hanging="902"/>
        <w:jc w:val="both"/>
      </w:pPr>
      <w:r w:rsidRPr="00D079BC">
        <w:rPr>
          <w:lang w:eastAsia="en-US"/>
        </w:rPr>
        <w:t>Coles</w:t>
      </w:r>
      <w:r w:rsidR="004B7015">
        <w:rPr>
          <w:lang w:eastAsia="en-US"/>
        </w:rPr>
        <w:t>,</w:t>
      </w:r>
      <w:r w:rsidRPr="00D079BC">
        <w:rPr>
          <w:lang w:eastAsia="en-US"/>
        </w:rPr>
        <w:t xml:space="preserve"> S. (2001). </w:t>
      </w:r>
      <w:r w:rsidRPr="004B7015">
        <w:rPr>
          <w:i/>
          <w:iCs/>
          <w:lang w:eastAsia="en-US"/>
        </w:rPr>
        <w:t>An Introduction to Statistical Modeling of Extreme Values</w:t>
      </w:r>
      <w:r w:rsidRPr="00D079BC">
        <w:rPr>
          <w:lang w:eastAsia="en-US"/>
        </w:rPr>
        <w:t>. Springer.</w:t>
      </w:r>
    </w:p>
    <w:p w14:paraId="0EBD0CF6" w14:textId="300621C2" w:rsidR="00D079BC" w:rsidRPr="00D079BC" w:rsidRDefault="00D079BC" w:rsidP="00D079BC">
      <w:pPr>
        <w:ind w:left="900" w:hanging="902"/>
        <w:jc w:val="both"/>
        <w:rPr>
          <w:lang w:eastAsia="en-US"/>
        </w:rPr>
      </w:pPr>
      <w:r w:rsidRPr="00D079BC">
        <w:rPr>
          <w:lang w:eastAsia="en-US"/>
        </w:rPr>
        <w:t xml:space="preserve">Cook, A., &amp; </w:t>
      </w:r>
      <w:proofErr w:type="spellStart"/>
      <w:r w:rsidRPr="00D079BC">
        <w:rPr>
          <w:lang w:eastAsia="en-US"/>
        </w:rPr>
        <w:t>Merwade</w:t>
      </w:r>
      <w:proofErr w:type="spellEnd"/>
      <w:r w:rsidRPr="00D079BC">
        <w:rPr>
          <w:lang w:eastAsia="en-US"/>
        </w:rPr>
        <w:t xml:space="preserve">, V. (2009). Effect of topographic data, geometric configuration and modeling approach on flood inundation mapping. </w:t>
      </w:r>
      <w:r w:rsidRPr="004B7015">
        <w:rPr>
          <w:i/>
          <w:iCs/>
          <w:lang w:eastAsia="en-US"/>
        </w:rPr>
        <w:t>Journal of Hydrology, 377</w:t>
      </w:r>
      <w:r w:rsidRPr="00D079BC">
        <w:rPr>
          <w:lang w:eastAsia="en-US"/>
        </w:rPr>
        <w:t>(1-2), 131-142.</w:t>
      </w:r>
    </w:p>
    <w:p w14:paraId="05A6F1B8" w14:textId="77777777" w:rsidR="00D079BC" w:rsidRPr="00D079BC" w:rsidRDefault="00D079BC" w:rsidP="00D079BC">
      <w:pPr>
        <w:ind w:left="900" w:hanging="902"/>
        <w:jc w:val="both"/>
      </w:pPr>
      <w:r w:rsidRPr="00D079BC">
        <w:rPr>
          <w:lang w:eastAsia="en-US"/>
        </w:rPr>
        <w:t xml:space="preserve">De Marchi, B., &amp; </w:t>
      </w:r>
      <w:proofErr w:type="spellStart"/>
      <w:r w:rsidRPr="00D079BC">
        <w:rPr>
          <w:lang w:eastAsia="en-US"/>
        </w:rPr>
        <w:t>Scolobig</w:t>
      </w:r>
      <w:proofErr w:type="spellEnd"/>
      <w:r w:rsidRPr="00D079BC">
        <w:rPr>
          <w:lang w:eastAsia="en-US"/>
        </w:rPr>
        <w:t xml:space="preserve">, A. (2010). The role of information in disaster risk reduction: The case of flood risk maps. </w:t>
      </w:r>
      <w:r w:rsidRPr="004B7015">
        <w:rPr>
          <w:i/>
          <w:iCs/>
          <w:lang w:eastAsia="en-US"/>
        </w:rPr>
        <w:t>Journal of Flood Risk Management, 3</w:t>
      </w:r>
      <w:r w:rsidRPr="00D079BC">
        <w:rPr>
          <w:lang w:eastAsia="en-US"/>
        </w:rPr>
        <w:t>(2), 136-144.</w:t>
      </w:r>
    </w:p>
    <w:p w14:paraId="7093C3BB" w14:textId="0F3ABA29" w:rsidR="00D079BC" w:rsidRPr="00D079BC" w:rsidRDefault="00D079BC" w:rsidP="00D079BC">
      <w:pPr>
        <w:ind w:left="900" w:hanging="902"/>
        <w:jc w:val="both"/>
      </w:pPr>
      <w:r w:rsidRPr="00D079BC">
        <w:rPr>
          <w:lang w:eastAsia="en-US"/>
        </w:rPr>
        <w:t>Department of Irrigation and Drainage Malaysia. (2019). Kelantan River Basin Flood Mitigation Study.</w:t>
      </w:r>
      <w:r w:rsidR="004B7015">
        <w:rPr>
          <w:lang w:eastAsia="en-US"/>
        </w:rPr>
        <w:t xml:space="preserve"> </w:t>
      </w:r>
      <w:r w:rsidRPr="00D079BC">
        <w:rPr>
          <w:lang w:eastAsia="en-US"/>
        </w:rPr>
        <w:t>http://www.water.gov.my/images/technical_reports/Kelantan_River_Basin_Flood_Mitigation_Study_2019.pdf</w:t>
      </w:r>
    </w:p>
    <w:p w14:paraId="6FC8DD5C" w14:textId="77777777" w:rsidR="00D079BC" w:rsidRPr="00D079BC" w:rsidRDefault="00D079BC" w:rsidP="00D079BC">
      <w:pPr>
        <w:ind w:left="900" w:hanging="902"/>
        <w:jc w:val="both"/>
      </w:pPr>
      <w:r w:rsidRPr="00D079BC">
        <w:rPr>
          <w:lang w:eastAsia="en-US"/>
        </w:rPr>
        <w:t>Department of Irrigation and Drainage Malaysia. (2022). Flood information. https://www.water.gov.my/index.php/pages/view/463</w:t>
      </w:r>
    </w:p>
    <w:p w14:paraId="07E0F927" w14:textId="71C5F86D" w:rsidR="00D079BC" w:rsidRPr="00D079BC" w:rsidRDefault="00D079BC" w:rsidP="00D079BC">
      <w:pPr>
        <w:ind w:left="900" w:hanging="902"/>
        <w:jc w:val="both"/>
      </w:pPr>
      <w:r w:rsidRPr="00D079BC">
        <w:rPr>
          <w:lang w:eastAsia="en-US"/>
        </w:rPr>
        <w:t xml:space="preserve">ESRI. (2023). </w:t>
      </w:r>
      <w:r w:rsidRPr="004B7015">
        <w:rPr>
          <w:iCs/>
          <w:lang w:eastAsia="en-US"/>
        </w:rPr>
        <w:t xml:space="preserve">What is </w:t>
      </w:r>
      <w:proofErr w:type="gramStart"/>
      <w:r w:rsidRPr="004B7015">
        <w:rPr>
          <w:iCs/>
          <w:lang w:eastAsia="en-US"/>
        </w:rPr>
        <w:t>GIS?</w:t>
      </w:r>
      <w:r w:rsidR="004B7015">
        <w:rPr>
          <w:lang w:eastAsia="en-US"/>
        </w:rPr>
        <w:t>.</w:t>
      </w:r>
      <w:proofErr w:type="gramEnd"/>
      <w:r w:rsidRPr="00D079BC">
        <w:rPr>
          <w:lang w:eastAsia="en-US"/>
        </w:rPr>
        <w:t xml:space="preserve"> https://www.esri.com/en-us/what-is-gis/overview</w:t>
      </w:r>
    </w:p>
    <w:p w14:paraId="5CC301D7" w14:textId="52D85A8B" w:rsidR="00D079BC" w:rsidRPr="00D079BC" w:rsidRDefault="00D079BC" w:rsidP="00D079BC">
      <w:pPr>
        <w:ind w:left="900" w:hanging="902"/>
        <w:jc w:val="both"/>
      </w:pPr>
      <w:r w:rsidRPr="00D079BC">
        <w:rPr>
          <w:lang w:eastAsia="en-US"/>
        </w:rPr>
        <w:t>Federal Emergency Management Agency (FEMA) (2021). Flood Hazard Identification and Risk Assessment. https://www.fema.gov/flood-hazard-identification-and-risk-assessment</w:t>
      </w:r>
    </w:p>
    <w:p w14:paraId="402A898B" w14:textId="479F37DF" w:rsidR="00D079BC" w:rsidRPr="00D079BC" w:rsidRDefault="00D079BC" w:rsidP="005A4A20">
      <w:pPr>
        <w:tabs>
          <w:tab w:val="left" w:pos="851"/>
        </w:tabs>
        <w:ind w:left="900" w:hanging="902"/>
        <w:jc w:val="both"/>
      </w:pPr>
      <w:r w:rsidRPr="00D079BC">
        <w:rPr>
          <w:lang w:eastAsia="en-US"/>
        </w:rPr>
        <w:t>Fischer, C.</w:t>
      </w:r>
      <w:r w:rsidR="00AA1DFA">
        <w:rPr>
          <w:lang w:eastAsia="en-US"/>
        </w:rPr>
        <w:t>, &amp;</w:t>
      </w:r>
      <w:r w:rsidRPr="00D079BC">
        <w:rPr>
          <w:lang w:eastAsia="en-US"/>
        </w:rPr>
        <w:t xml:space="preserve"> </w:t>
      </w:r>
      <w:proofErr w:type="spellStart"/>
      <w:r w:rsidRPr="00D079BC">
        <w:rPr>
          <w:lang w:eastAsia="en-US"/>
        </w:rPr>
        <w:t>Stanchev</w:t>
      </w:r>
      <w:proofErr w:type="spellEnd"/>
      <w:r w:rsidRPr="00D079BC">
        <w:rPr>
          <w:lang w:eastAsia="en-US"/>
        </w:rPr>
        <w:t>, P. (2022). Flood hazard and risk maps: A</w:t>
      </w:r>
      <w:r w:rsidR="005A4A20">
        <w:rPr>
          <w:lang w:eastAsia="en-US"/>
        </w:rPr>
        <w:t xml:space="preserve"> key instrument for flood risk </w:t>
      </w:r>
      <w:r w:rsidRPr="00D079BC">
        <w:rPr>
          <w:lang w:eastAsia="en-US"/>
        </w:rPr>
        <w:t xml:space="preserve">management. </w:t>
      </w:r>
      <w:r w:rsidRPr="00AA1DFA">
        <w:rPr>
          <w:i/>
          <w:iCs/>
          <w:lang w:eastAsia="en-US"/>
        </w:rPr>
        <w:t>The Water Blog</w:t>
      </w:r>
      <w:r w:rsidRPr="00D079BC">
        <w:rPr>
          <w:lang w:eastAsia="en-US"/>
        </w:rPr>
        <w:t>. https://blogs.worldbank.org/water/flood-hazard-</w:t>
      </w:r>
      <w:r w:rsidRPr="00D079BC">
        <w:rPr>
          <w:lang w:eastAsia="en-US"/>
        </w:rPr>
        <w:tab/>
        <w:t>and-risk-maps-key-instrument-flood-risk-management</w:t>
      </w:r>
      <w:bookmarkStart w:id="2" w:name="_GoBack"/>
      <w:bookmarkEnd w:id="2"/>
    </w:p>
    <w:p w14:paraId="3AEB7DAD" w14:textId="39D1FA4B" w:rsidR="00D079BC" w:rsidRPr="00D079BC" w:rsidRDefault="00D079BC" w:rsidP="00524C79">
      <w:pPr>
        <w:jc w:val="both"/>
      </w:pPr>
      <w:r w:rsidRPr="00D079BC">
        <w:rPr>
          <w:lang w:eastAsia="en-US"/>
        </w:rPr>
        <w:t xml:space="preserve">Muhammad </w:t>
      </w:r>
      <w:proofErr w:type="spellStart"/>
      <w:r w:rsidRPr="00D079BC">
        <w:rPr>
          <w:lang w:eastAsia="en-US"/>
        </w:rPr>
        <w:t>Barzani</w:t>
      </w:r>
      <w:proofErr w:type="spellEnd"/>
      <w:r w:rsidR="00AA1DFA">
        <w:rPr>
          <w:lang w:eastAsia="en-US"/>
        </w:rPr>
        <w:t xml:space="preserve"> </w:t>
      </w:r>
      <w:proofErr w:type="spellStart"/>
      <w:r w:rsidR="00AA1DFA">
        <w:rPr>
          <w:lang w:eastAsia="en-US"/>
        </w:rPr>
        <w:t>Gasim</w:t>
      </w:r>
      <w:proofErr w:type="spellEnd"/>
      <w:r w:rsidR="00AA1DFA">
        <w:rPr>
          <w:lang w:eastAsia="en-US"/>
        </w:rPr>
        <w:t>,</w:t>
      </w:r>
      <w:r w:rsidRPr="00D079BC">
        <w:rPr>
          <w:lang w:eastAsia="en-US"/>
        </w:rPr>
        <w:t xml:space="preserve"> </w:t>
      </w:r>
      <w:proofErr w:type="spellStart"/>
      <w:r w:rsidR="00AA1DFA" w:rsidRPr="00D079BC">
        <w:rPr>
          <w:lang w:eastAsia="en-US"/>
        </w:rPr>
        <w:t>Mohd</w:t>
      </w:r>
      <w:proofErr w:type="spellEnd"/>
      <w:r w:rsidR="00AA1DFA" w:rsidRPr="00D079BC">
        <w:rPr>
          <w:lang w:eastAsia="en-US"/>
        </w:rPr>
        <w:t xml:space="preserve"> </w:t>
      </w:r>
      <w:proofErr w:type="spellStart"/>
      <w:r w:rsidR="00AA1DFA" w:rsidRPr="00D079BC">
        <w:rPr>
          <w:lang w:eastAsia="en-US"/>
        </w:rPr>
        <w:t>Ekhwan</w:t>
      </w:r>
      <w:proofErr w:type="spellEnd"/>
      <w:r w:rsidR="00AA1DFA" w:rsidRPr="00D079BC">
        <w:rPr>
          <w:lang w:eastAsia="en-US"/>
        </w:rPr>
        <w:t xml:space="preserve"> </w:t>
      </w:r>
      <w:proofErr w:type="spellStart"/>
      <w:r w:rsidR="00AA1DFA">
        <w:rPr>
          <w:lang w:eastAsia="en-US"/>
        </w:rPr>
        <w:t>Toriman</w:t>
      </w:r>
      <w:proofErr w:type="spellEnd"/>
      <w:r w:rsidR="00AA1DFA">
        <w:rPr>
          <w:lang w:eastAsia="en-US"/>
        </w:rPr>
        <w:t xml:space="preserve">, </w:t>
      </w:r>
      <w:proofErr w:type="spellStart"/>
      <w:r w:rsidRPr="00D079BC">
        <w:rPr>
          <w:lang w:eastAsia="en-US"/>
        </w:rPr>
        <w:t>Mohd</w:t>
      </w:r>
      <w:proofErr w:type="spellEnd"/>
      <w:r w:rsidRPr="00D079BC">
        <w:rPr>
          <w:lang w:eastAsia="en-US"/>
        </w:rPr>
        <w:t xml:space="preserve"> </w:t>
      </w:r>
      <w:proofErr w:type="spellStart"/>
      <w:r w:rsidRPr="00D079BC">
        <w:rPr>
          <w:lang w:eastAsia="en-US"/>
        </w:rPr>
        <w:t>Khairul</w:t>
      </w:r>
      <w:proofErr w:type="spellEnd"/>
      <w:r w:rsidRPr="00D079BC">
        <w:rPr>
          <w:lang w:eastAsia="en-US"/>
        </w:rPr>
        <w:t xml:space="preserve"> </w:t>
      </w:r>
      <w:proofErr w:type="spellStart"/>
      <w:r w:rsidRPr="00D079BC">
        <w:rPr>
          <w:lang w:eastAsia="en-US"/>
        </w:rPr>
        <w:t>Amri</w:t>
      </w:r>
      <w:proofErr w:type="spellEnd"/>
      <w:r w:rsidRPr="00D079BC">
        <w:rPr>
          <w:lang w:eastAsia="en-US"/>
        </w:rPr>
        <w:t xml:space="preserve"> </w:t>
      </w:r>
      <w:proofErr w:type="spellStart"/>
      <w:r w:rsidR="00AA1DFA">
        <w:rPr>
          <w:lang w:eastAsia="en-US"/>
        </w:rPr>
        <w:t>Kamarudin</w:t>
      </w:r>
      <w:proofErr w:type="spellEnd"/>
      <w:r w:rsidR="00AA1DFA">
        <w:rPr>
          <w:lang w:eastAsia="en-US"/>
        </w:rPr>
        <w:t>,</w:t>
      </w:r>
      <w:r w:rsidRPr="00D079BC">
        <w:rPr>
          <w:lang w:eastAsia="en-US"/>
        </w:rPr>
        <w:t xml:space="preserve"> </w:t>
      </w:r>
      <w:proofErr w:type="spellStart"/>
      <w:r w:rsidR="00AA1DFA">
        <w:rPr>
          <w:lang w:eastAsia="en-US"/>
        </w:rPr>
        <w:t>Azman</w:t>
      </w:r>
      <w:proofErr w:type="spellEnd"/>
      <w:r w:rsidR="00AA1DFA">
        <w:rPr>
          <w:lang w:eastAsia="en-US"/>
        </w:rPr>
        <w:t xml:space="preserve"> </w:t>
      </w:r>
      <w:r w:rsidR="00524C79">
        <w:rPr>
          <w:lang w:eastAsia="en-US"/>
        </w:rPr>
        <w:tab/>
      </w:r>
      <w:proofErr w:type="spellStart"/>
      <w:r w:rsidR="00AA1DFA">
        <w:rPr>
          <w:lang w:eastAsia="en-US"/>
        </w:rPr>
        <w:t>Azid</w:t>
      </w:r>
      <w:proofErr w:type="spellEnd"/>
      <w:r w:rsidR="00AA1DFA">
        <w:rPr>
          <w:lang w:eastAsia="en-US"/>
        </w:rPr>
        <w:t>, Moham</w:t>
      </w:r>
      <w:r w:rsidR="008A6C6D">
        <w:rPr>
          <w:lang w:eastAsia="en-US"/>
        </w:rPr>
        <w:t xml:space="preserve">mad </w:t>
      </w:r>
      <w:proofErr w:type="spellStart"/>
      <w:r w:rsidR="008A6C6D">
        <w:rPr>
          <w:lang w:eastAsia="en-US"/>
        </w:rPr>
        <w:t>Azizi</w:t>
      </w:r>
      <w:proofErr w:type="spellEnd"/>
      <w:r w:rsidR="008A6C6D">
        <w:rPr>
          <w:lang w:eastAsia="en-US"/>
        </w:rPr>
        <w:t xml:space="preserve"> </w:t>
      </w:r>
      <w:proofErr w:type="spellStart"/>
      <w:r w:rsidR="008A6C6D">
        <w:rPr>
          <w:lang w:eastAsia="en-US"/>
        </w:rPr>
        <w:t>Amran</w:t>
      </w:r>
      <w:proofErr w:type="spellEnd"/>
      <w:r w:rsidR="008A6C6D">
        <w:rPr>
          <w:lang w:eastAsia="en-US"/>
        </w:rPr>
        <w:t xml:space="preserve">, </w:t>
      </w:r>
      <w:proofErr w:type="spellStart"/>
      <w:r w:rsidR="008A6C6D">
        <w:rPr>
          <w:lang w:eastAsia="en-US"/>
        </w:rPr>
        <w:t>Fazureen</w:t>
      </w:r>
      <w:proofErr w:type="spellEnd"/>
      <w:r w:rsidR="008A6C6D">
        <w:rPr>
          <w:lang w:eastAsia="en-US"/>
        </w:rPr>
        <w:t xml:space="preserve"> </w:t>
      </w:r>
      <w:proofErr w:type="spellStart"/>
      <w:r w:rsidR="008A6C6D">
        <w:rPr>
          <w:lang w:eastAsia="en-US"/>
        </w:rPr>
        <w:t>Azaman</w:t>
      </w:r>
      <w:proofErr w:type="spellEnd"/>
      <w:r w:rsidR="008A6C6D">
        <w:rPr>
          <w:lang w:eastAsia="en-US"/>
        </w:rPr>
        <w:t xml:space="preserve"> &amp; </w:t>
      </w:r>
      <w:proofErr w:type="spellStart"/>
      <w:r w:rsidR="008A6C6D">
        <w:rPr>
          <w:lang w:eastAsia="en-US"/>
        </w:rPr>
        <w:t>Norsyuhada</w:t>
      </w:r>
      <w:proofErr w:type="spellEnd"/>
      <w:r w:rsidR="008A6C6D">
        <w:rPr>
          <w:lang w:eastAsia="en-US"/>
        </w:rPr>
        <w:t xml:space="preserve"> </w:t>
      </w:r>
      <w:proofErr w:type="spellStart"/>
      <w:r w:rsidR="008A6C6D">
        <w:rPr>
          <w:lang w:eastAsia="en-US"/>
        </w:rPr>
        <w:t>Hairoma</w:t>
      </w:r>
      <w:proofErr w:type="spellEnd"/>
      <w:r w:rsidR="008A6C6D">
        <w:rPr>
          <w:lang w:eastAsia="en-US"/>
        </w:rPr>
        <w:t xml:space="preserve">. </w:t>
      </w:r>
      <w:r w:rsidRPr="00D079BC">
        <w:rPr>
          <w:lang w:eastAsia="en-US"/>
        </w:rPr>
        <w:t xml:space="preserve">(2015). </w:t>
      </w:r>
      <w:r w:rsidR="00524C79">
        <w:rPr>
          <w:lang w:eastAsia="en-US"/>
        </w:rPr>
        <w:tab/>
      </w:r>
      <w:r w:rsidRPr="00BF605E">
        <w:rPr>
          <w:lang w:val="pt-BR" w:eastAsia="en-US"/>
        </w:rPr>
        <w:t>Fenomena banjir terburuk di</w:t>
      </w:r>
      <w:r w:rsidR="008A6C6D">
        <w:rPr>
          <w:lang w:val="pt-BR" w:eastAsia="en-US"/>
        </w:rPr>
        <w:t xml:space="preserve"> </w:t>
      </w:r>
      <w:r w:rsidRPr="00BF605E">
        <w:rPr>
          <w:lang w:val="pt-BR" w:eastAsia="en-US"/>
        </w:rPr>
        <w:t xml:space="preserve">Kelantan sepanjang musim monsun di pantai timur </w:t>
      </w:r>
      <w:r w:rsidR="00524C79">
        <w:rPr>
          <w:lang w:val="pt-BR" w:eastAsia="en-US"/>
        </w:rPr>
        <w:tab/>
      </w:r>
      <w:r w:rsidR="008A6C6D" w:rsidRPr="00BF605E">
        <w:rPr>
          <w:lang w:val="pt-BR" w:eastAsia="en-US"/>
        </w:rPr>
        <w:t>Semenanjung</w:t>
      </w:r>
      <w:r w:rsidRPr="00BF605E">
        <w:rPr>
          <w:lang w:val="pt-BR" w:eastAsia="en-US"/>
        </w:rPr>
        <w:t xml:space="preserve">. </w:t>
      </w:r>
      <w:r w:rsidRPr="00D079BC">
        <w:rPr>
          <w:lang w:eastAsia="en-US"/>
        </w:rPr>
        <w:t xml:space="preserve">In </w:t>
      </w:r>
      <w:proofErr w:type="spellStart"/>
      <w:r w:rsidRPr="00D079BC">
        <w:rPr>
          <w:i/>
          <w:lang w:eastAsia="en-US"/>
        </w:rPr>
        <w:t>Bencana</w:t>
      </w:r>
      <w:proofErr w:type="spellEnd"/>
      <w:r w:rsidRPr="00D079BC">
        <w:rPr>
          <w:i/>
          <w:lang w:eastAsia="en-US"/>
        </w:rPr>
        <w:t xml:space="preserve"> </w:t>
      </w:r>
      <w:proofErr w:type="spellStart"/>
      <w:r w:rsidRPr="00D079BC">
        <w:rPr>
          <w:i/>
          <w:lang w:eastAsia="en-US"/>
        </w:rPr>
        <w:t>Banjir</w:t>
      </w:r>
      <w:proofErr w:type="spellEnd"/>
      <w:r w:rsidRPr="00D079BC">
        <w:rPr>
          <w:i/>
          <w:lang w:eastAsia="en-US"/>
        </w:rPr>
        <w:t xml:space="preserve"> </w:t>
      </w:r>
      <w:proofErr w:type="spellStart"/>
      <w:r w:rsidRPr="00D079BC">
        <w:rPr>
          <w:i/>
          <w:lang w:eastAsia="en-US"/>
        </w:rPr>
        <w:t>Kupasan</w:t>
      </w:r>
      <w:proofErr w:type="spellEnd"/>
      <w:r w:rsidRPr="00D079BC">
        <w:rPr>
          <w:i/>
          <w:lang w:eastAsia="en-US"/>
        </w:rPr>
        <w:t xml:space="preserve"> </w:t>
      </w:r>
      <w:proofErr w:type="spellStart"/>
      <w:r w:rsidRPr="00D079BC">
        <w:rPr>
          <w:i/>
          <w:lang w:eastAsia="en-US"/>
        </w:rPr>
        <w:t>Pelbagai</w:t>
      </w:r>
      <w:proofErr w:type="spellEnd"/>
      <w:r w:rsidRPr="00D079BC">
        <w:rPr>
          <w:i/>
          <w:lang w:eastAsia="en-US"/>
        </w:rPr>
        <w:t xml:space="preserve"> </w:t>
      </w:r>
      <w:proofErr w:type="spellStart"/>
      <w:r w:rsidRPr="00D079BC">
        <w:rPr>
          <w:i/>
          <w:lang w:eastAsia="en-US"/>
        </w:rPr>
        <w:t>Perspektif</w:t>
      </w:r>
      <w:proofErr w:type="spellEnd"/>
      <w:r w:rsidR="008A6C6D">
        <w:rPr>
          <w:lang w:eastAsia="en-US"/>
        </w:rPr>
        <w:t xml:space="preserve"> (pp. 25-28). </w:t>
      </w:r>
      <w:proofErr w:type="spellStart"/>
      <w:r w:rsidRPr="00D079BC">
        <w:rPr>
          <w:lang w:eastAsia="en-US"/>
        </w:rPr>
        <w:t>Penerbit</w:t>
      </w:r>
      <w:proofErr w:type="spellEnd"/>
      <w:r w:rsidRPr="00D079BC">
        <w:rPr>
          <w:lang w:eastAsia="en-US"/>
        </w:rPr>
        <w:t xml:space="preserve"> </w:t>
      </w:r>
      <w:r w:rsidR="00524C79">
        <w:rPr>
          <w:lang w:eastAsia="en-US"/>
        </w:rPr>
        <w:tab/>
      </w:r>
      <w:proofErr w:type="spellStart"/>
      <w:r w:rsidRPr="00D079BC">
        <w:rPr>
          <w:lang w:eastAsia="en-US"/>
        </w:rPr>
        <w:t>UniSZA</w:t>
      </w:r>
      <w:proofErr w:type="spellEnd"/>
      <w:r w:rsidR="008A6C6D">
        <w:rPr>
          <w:lang w:eastAsia="en-US"/>
        </w:rPr>
        <w:t>.</w:t>
      </w:r>
    </w:p>
    <w:p w14:paraId="77412A10" w14:textId="77777777" w:rsidR="00D079BC" w:rsidRPr="00D079BC" w:rsidRDefault="00D079BC" w:rsidP="00D079BC">
      <w:pPr>
        <w:ind w:left="900" w:hanging="902"/>
        <w:jc w:val="both"/>
      </w:pPr>
      <w:r w:rsidRPr="00BF605E">
        <w:rPr>
          <w:lang w:val="pt-BR" w:eastAsia="en-US"/>
        </w:rPr>
        <w:t xml:space="preserve">Gilissen, H. K., &amp; de Moel, H. (2019). </w:t>
      </w:r>
      <w:r w:rsidRPr="00D079BC">
        <w:rPr>
          <w:lang w:eastAsia="en-US"/>
        </w:rPr>
        <w:t xml:space="preserve">Flood risk perceptions and spatial multi-criteria decision analysis for flood risk mitigation planning. </w:t>
      </w:r>
      <w:r w:rsidRPr="008A6C6D">
        <w:rPr>
          <w:i/>
          <w:lang w:eastAsia="en-US"/>
        </w:rPr>
        <w:t>International Journal of Disaster Risk Reduction, 38,</w:t>
      </w:r>
      <w:r w:rsidRPr="00D079BC">
        <w:rPr>
          <w:lang w:eastAsia="en-US"/>
        </w:rPr>
        <w:t xml:space="preserve"> 101182.</w:t>
      </w:r>
    </w:p>
    <w:p w14:paraId="19F7AE50" w14:textId="77777777" w:rsidR="00D079BC" w:rsidRPr="00D079BC" w:rsidRDefault="00D079BC" w:rsidP="00D079BC">
      <w:pPr>
        <w:ind w:left="900" w:hanging="902"/>
        <w:jc w:val="both"/>
      </w:pPr>
      <w:r w:rsidRPr="00D079BC">
        <w:rPr>
          <w:lang w:eastAsia="en-US"/>
        </w:rPr>
        <w:t xml:space="preserve">Grothmann, T., &amp; Patt, A. (2005). Adaptive capacity and human cognition: the process of individual adaptation to climate change. </w:t>
      </w:r>
      <w:r w:rsidRPr="008A6C6D">
        <w:rPr>
          <w:i/>
          <w:lang w:eastAsia="en-US"/>
        </w:rPr>
        <w:t>Global Environmental Change Part A, 15</w:t>
      </w:r>
      <w:r w:rsidRPr="00D079BC">
        <w:rPr>
          <w:lang w:eastAsia="en-US"/>
        </w:rPr>
        <w:t>(3), 199-213.</w:t>
      </w:r>
    </w:p>
    <w:p w14:paraId="4DE6E856" w14:textId="77777777" w:rsidR="00D079BC" w:rsidRPr="00D079BC" w:rsidRDefault="00D079BC" w:rsidP="00D079BC">
      <w:pPr>
        <w:ind w:left="900" w:hanging="902"/>
        <w:jc w:val="both"/>
      </w:pPr>
      <w:r w:rsidRPr="00D079BC">
        <w:rPr>
          <w:lang w:eastAsia="en-US"/>
        </w:rPr>
        <w:t xml:space="preserve">Grothmann, T., &amp; Reusswig, F. (2006). People at risk of flooding: Why some residents take precautionary action while others do not. </w:t>
      </w:r>
      <w:r w:rsidRPr="00D079BC">
        <w:rPr>
          <w:i/>
          <w:lang w:eastAsia="en-US"/>
        </w:rPr>
        <w:t>Natural hazards</w:t>
      </w:r>
      <w:r w:rsidRPr="00D079BC">
        <w:rPr>
          <w:lang w:eastAsia="en-US"/>
        </w:rPr>
        <w:t xml:space="preserve">, </w:t>
      </w:r>
      <w:r w:rsidRPr="008A6C6D">
        <w:rPr>
          <w:i/>
          <w:iCs/>
          <w:lang w:eastAsia="en-US"/>
        </w:rPr>
        <w:t>38</w:t>
      </w:r>
      <w:r w:rsidRPr="00D079BC">
        <w:rPr>
          <w:lang w:eastAsia="en-US"/>
        </w:rPr>
        <w:t>(1-2), 101-120.</w:t>
      </w:r>
    </w:p>
    <w:p w14:paraId="2E6C0AB4" w14:textId="77777777" w:rsidR="00D079BC" w:rsidRPr="00D079BC" w:rsidRDefault="00D079BC" w:rsidP="00D079BC">
      <w:pPr>
        <w:ind w:left="900" w:hanging="902"/>
        <w:jc w:val="both"/>
      </w:pPr>
      <w:r w:rsidRPr="00D079BC">
        <w:rPr>
          <w:lang w:eastAsia="en-US"/>
        </w:rPr>
        <w:lastRenderedPageBreak/>
        <w:t xml:space="preserve">Harun, S. B., &amp; Aziz, N. A. (2021). Post-flood review on the 2021 Kota Bharu flash flood, Kelantan, Malaysia. </w:t>
      </w:r>
      <w:r w:rsidRPr="003F669C">
        <w:rPr>
          <w:i/>
          <w:lang w:eastAsia="en-US"/>
        </w:rPr>
        <w:t>International Journal of Advanced Science and Technology, 30</w:t>
      </w:r>
      <w:r w:rsidRPr="00D079BC">
        <w:rPr>
          <w:lang w:eastAsia="en-US"/>
        </w:rPr>
        <w:t>(04), 3802-3810.</w:t>
      </w:r>
    </w:p>
    <w:p w14:paraId="01E35E9B" w14:textId="1B453620" w:rsidR="00D079BC" w:rsidRPr="00D079BC" w:rsidRDefault="00D079BC" w:rsidP="00D079BC">
      <w:pPr>
        <w:ind w:left="900" w:hanging="902"/>
        <w:jc w:val="both"/>
      </w:pPr>
      <w:r w:rsidRPr="00D079BC">
        <w:rPr>
          <w:lang w:eastAsia="en-US"/>
        </w:rPr>
        <w:t xml:space="preserve">Hashim, A. M. A., &amp; Yusof, K. W. (2015). The December 2014 flood disaster in Malaysia: </w:t>
      </w:r>
      <w:r w:rsidR="003F669C" w:rsidRPr="00D079BC">
        <w:rPr>
          <w:lang w:eastAsia="en-US"/>
        </w:rPr>
        <w:t>A</w:t>
      </w:r>
      <w:r w:rsidRPr="00D079BC">
        <w:rPr>
          <w:lang w:eastAsia="en-US"/>
        </w:rPr>
        <w:t xml:space="preserve"> review. </w:t>
      </w:r>
      <w:r w:rsidRPr="003F669C">
        <w:rPr>
          <w:iCs/>
          <w:lang w:eastAsia="en-US"/>
        </w:rPr>
        <w:t>Natural Hazards, 77</w:t>
      </w:r>
      <w:r w:rsidRPr="00D079BC">
        <w:rPr>
          <w:lang w:eastAsia="en-US"/>
        </w:rPr>
        <w:t xml:space="preserve">(1), 405-420. </w:t>
      </w:r>
    </w:p>
    <w:p w14:paraId="0AB1112A" w14:textId="77777777" w:rsidR="00D079BC" w:rsidRPr="00D079BC" w:rsidRDefault="00D079BC" w:rsidP="00D079BC">
      <w:pPr>
        <w:ind w:left="900" w:hanging="902"/>
        <w:jc w:val="both"/>
        <w:rPr>
          <w:lang w:eastAsia="en-US"/>
        </w:rPr>
      </w:pPr>
      <w:r w:rsidRPr="00D079BC">
        <w:rPr>
          <w:lang w:eastAsia="en-US"/>
        </w:rPr>
        <w:t xml:space="preserve">Horritt, M. S., &amp; Bates, P. D. (2002). Evaluation of 1D and 2D numerical models for predicting river flood inundation. </w:t>
      </w:r>
      <w:r w:rsidRPr="003F669C">
        <w:rPr>
          <w:i/>
          <w:iCs/>
          <w:lang w:eastAsia="en-US"/>
        </w:rPr>
        <w:t>Journal of Hydrology, 268</w:t>
      </w:r>
      <w:r w:rsidRPr="00D079BC">
        <w:rPr>
          <w:lang w:eastAsia="en-US"/>
        </w:rPr>
        <w:t>(1-4), 87-99.</w:t>
      </w:r>
    </w:p>
    <w:p w14:paraId="45EC3C38" w14:textId="77777777" w:rsidR="00D079BC" w:rsidRPr="00D079BC" w:rsidRDefault="00D079BC" w:rsidP="00D079BC">
      <w:pPr>
        <w:ind w:left="900" w:hanging="902"/>
        <w:jc w:val="both"/>
      </w:pPr>
      <w:r w:rsidRPr="00D079BC">
        <w:rPr>
          <w:lang w:eastAsia="en-US"/>
        </w:rPr>
        <w:t xml:space="preserve">Hossain, S. M., Biswas, S., &amp; Baten, M. A. (2016). Flood hazard mapping using HEC-RAS model and GIS: A case study on the Brahmaputra River in Bangladesh. </w:t>
      </w:r>
      <w:r w:rsidRPr="003F669C">
        <w:rPr>
          <w:i/>
          <w:lang w:eastAsia="en-US"/>
        </w:rPr>
        <w:t>Natural Hazards, 81</w:t>
      </w:r>
      <w:r w:rsidRPr="00D079BC">
        <w:rPr>
          <w:lang w:eastAsia="en-US"/>
        </w:rPr>
        <w:t>(3), 1603-1622.</w:t>
      </w:r>
    </w:p>
    <w:p w14:paraId="12CF1784" w14:textId="2672ECB7" w:rsidR="00D079BC" w:rsidRPr="00D079BC" w:rsidRDefault="00D079BC" w:rsidP="00D079BC">
      <w:pPr>
        <w:ind w:left="900" w:hanging="902"/>
        <w:jc w:val="both"/>
      </w:pPr>
      <w:r w:rsidRPr="00D079BC">
        <w:rPr>
          <w:lang w:eastAsia="en-US"/>
        </w:rPr>
        <w:t xml:space="preserve">Hung, N. N., Jose, M. D., Vo, K. T., Hung, L. M., Merz, B., </w:t>
      </w:r>
      <w:proofErr w:type="spellStart"/>
      <w:r w:rsidRPr="00D079BC">
        <w:rPr>
          <w:lang w:eastAsia="en-US"/>
        </w:rPr>
        <w:t>Bardossy</w:t>
      </w:r>
      <w:proofErr w:type="spellEnd"/>
      <w:r w:rsidRPr="00D079BC">
        <w:rPr>
          <w:lang w:eastAsia="en-US"/>
        </w:rPr>
        <w:t>, A.</w:t>
      </w:r>
      <w:r w:rsidR="003F669C">
        <w:rPr>
          <w:lang w:eastAsia="en-US"/>
        </w:rPr>
        <w:t>,</w:t>
      </w:r>
      <w:r w:rsidRPr="00D079BC">
        <w:rPr>
          <w:lang w:eastAsia="en-US"/>
        </w:rPr>
        <w:t xml:space="preserve"> </w:t>
      </w:r>
      <w:r w:rsidR="003F669C">
        <w:rPr>
          <w:lang w:eastAsia="en-US"/>
        </w:rPr>
        <w:t>&amp;</w:t>
      </w:r>
      <w:r w:rsidRPr="00D079BC">
        <w:rPr>
          <w:lang w:eastAsia="en-US"/>
        </w:rPr>
        <w:t xml:space="preserve"> Apel, H. (2012). Floodplain hydrology of the Mekong Delta, Vietnam. </w:t>
      </w:r>
      <w:r w:rsidRPr="003F669C">
        <w:rPr>
          <w:i/>
          <w:lang w:eastAsia="en-US"/>
        </w:rPr>
        <w:t>Hydrological Processes</w:t>
      </w:r>
      <w:r w:rsidR="003F669C" w:rsidRPr="003F669C">
        <w:rPr>
          <w:i/>
          <w:lang w:eastAsia="en-US"/>
        </w:rPr>
        <w:t xml:space="preserve">, </w:t>
      </w:r>
      <w:r w:rsidRPr="003F669C">
        <w:rPr>
          <w:i/>
          <w:lang w:eastAsia="en-US"/>
        </w:rPr>
        <w:t>26</w:t>
      </w:r>
      <w:r w:rsidRPr="00D079BC">
        <w:rPr>
          <w:lang w:eastAsia="en-US"/>
        </w:rPr>
        <w:t>(5)</w:t>
      </w:r>
      <w:r w:rsidR="003F669C">
        <w:rPr>
          <w:lang w:eastAsia="en-US"/>
        </w:rPr>
        <w:t xml:space="preserve">, </w:t>
      </w:r>
      <w:r w:rsidRPr="00D079BC">
        <w:rPr>
          <w:lang w:eastAsia="en-US"/>
        </w:rPr>
        <w:t>674-686.</w:t>
      </w:r>
    </w:p>
    <w:p w14:paraId="2DC5CBB7" w14:textId="21EFF2AA" w:rsidR="00D079BC" w:rsidRPr="00D079BC" w:rsidRDefault="00D079BC" w:rsidP="00D079BC">
      <w:pPr>
        <w:ind w:left="900" w:hanging="902"/>
        <w:jc w:val="both"/>
      </w:pPr>
      <w:r w:rsidRPr="00D079BC">
        <w:rPr>
          <w:lang w:eastAsia="en-US"/>
        </w:rPr>
        <w:t xml:space="preserve">Intergovernmental Panel </w:t>
      </w:r>
      <w:proofErr w:type="spellStart"/>
      <w:r w:rsidRPr="00D079BC">
        <w:rPr>
          <w:lang w:eastAsia="en-US"/>
        </w:rPr>
        <w:t>of</w:t>
      </w:r>
      <w:proofErr w:type="spellEnd"/>
      <w:r w:rsidRPr="00D079BC">
        <w:rPr>
          <w:lang w:eastAsia="en-US"/>
        </w:rPr>
        <w:t xml:space="preserve"> Climate Change (IPCC)</w:t>
      </w:r>
      <w:r w:rsidR="003F669C">
        <w:rPr>
          <w:lang w:eastAsia="en-US"/>
        </w:rPr>
        <w:t>.</w:t>
      </w:r>
      <w:r w:rsidRPr="00D079BC">
        <w:rPr>
          <w:lang w:eastAsia="en-US"/>
        </w:rPr>
        <w:t xml:space="preserve"> (2012). Managing the Risks of Extreme Events and Disasters to Advance Climate Change Adaptation. A Special Report of Working Groups I and II of the Intergovernmental Panel on Climate Change [Field, C.B., V. Barros, T.F. Stocker, D. Qin, D.J. Dokken, K.L. Ebi, M.D. Mastrandrea, K.J. Mach, G.-K. Plattner, S.K. Allen, M. Tignor, and P.M. Midgley (eds.)]. Cambridge University Press, Cambridge, UK, and New York, NY, USA, 582 pp.</w:t>
      </w:r>
    </w:p>
    <w:p w14:paraId="1824FE21" w14:textId="0D3D1BFF" w:rsidR="00D079BC" w:rsidRPr="003F669C" w:rsidRDefault="00D079BC" w:rsidP="00D079BC">
      <w:pPr>
        <w:ind w:left="900" w:hanging="902"/>
        <w:jc w:val="both"/>
      </w:pPr>
      <w:r w:rsidRPr="003F669C">
        <w:rPr>
          <w:lang w:eastAsia="en-US"/>
        </w:rPr>
        <w:t xml:space="preserve">Intergovernmental Panel </w:t>
      </w:r>
      <w:proofErr w:type="spellStart"/>
      <w:r w:rsidRPr="003F669C">
        <w:rPr>
          <w:lang w:eastAsia="en-US"/>
        </w:rPr>
        <w:t>of</w:t>
      </w:r>
      <w:proofErr w:type="spellEnd"/>
      <w:r w:rsidRPr="003F669C">
        <w:rPr>
          <w:lang w:eastAsia="en-US"/>
        </w:rPr>
        <w:t xml:space="preserve"> Climate Change (IPCC) (2014). Climate Change 2014: Synthesis Report. https://www.ipcc.ch/site/assets/uploads/2018/05/SYR_AR5_FINAL_full.pdf</w:t>
      </w:r>
    </w:p>
    <w:p w14:paraId="5E35F8E0" w14:textId="77777777" w:rsidR="00D079BC" w:rsidRPr="00D079BC" w:rsidRDefault="00D079BC" w:rsidP="00D079BC">
      <w:pPr>
        <w:ind w:left="900" w:hanging="902"/>
        <w:jc w:val="both"/>
      </w:pPr>
      <w:r w:rsidRPr="00D079BC">
        <w:rPr>
          <w:lang w:eastAsia="en-US"/>
        </w:rPr>
        <w:t xml:space="preserve">Jamil, N. R., Yusoff, M. K., &amp; </w:t>
      </w:r>
      <w:proofErr w:type="spellStart"/>
      <w:r w:rsidRPr="00D079BC">
        <w:rPr>
          <w:lang w:eastAsia="en-US"/>
        </w:rPr>
        <w:t>Saadun</w:t>
      </w:r>
      <w:proofErr w:type="spellEnd"/>
      <w:r w:rsidRPr="00D079BC">
        <w:rPr>
          <w:lang w:eastAsia="en-US"/>
        </w:rPr>
        <w:t xml:space="preserve">, N. (2020). Flood risk management in Kelantan, Malaysia: Current situation and </w:t>
      </w:r>
      <w:proofErr w:type="spellStart"/>
      <w:r w:rsidRPr="00D079BC">
        <w:rPr>
          <w:lang w:eastAsia="en-US"/>
        </w:rPr>
        <w:t>fu-ture</w:t>
      </w:r>
      <w:proofErr w:type="spellEnd"/>
      <w:r w:rsidRPr="00D079BC">
        <w:rPr>
          <w:lang w:eastAsia="en-US"/>
        </w:rPr>
        <w:t xml:space="preserve"> prospects. </w:t>
      </w:r>
      <w:r w:rsidRPr="003F669C">
        <w:rPr>
          <w:i/>
          <w:lang w:eastAsia="en-US"/>
        </w:rPr>
        <w:t>Geoenvironmental Disasters, 7</w:t>
      </w:r>
      <w:r w:rsidRPr="00D079BC">
        <w:rPr>
          <w:lang w:eastAsia="en-US"/>
        </w:rPr>
        <w:t>(1), 1-15.</w:t>
      </w:r>
    </w:p>
    <w:p w14:paraId="57998EC0" w14:textId="77777777" w:rsidR="00D079BC" w:rsidRPr="00D079BC" w:rsidRDefault="00D079BC" w:rsidP="00D079BC">
      <w:pPr>
        <w:ind w:left="900" w:hanging="902"/>
        <w:jc w:val="both"/>
      </w:pPr>
      <w:proofErr w:type="spellStart"/>
      <w:r w:rsidRPr="00D079BC">
        <w:rPr>
          <w:lang w:eastAsia="en-US"/>
        </w:rPr>
        <w:t>Kellens</w:t>
      </w:r>
      <w:proofErr w:type="spellEnd"/>
      <w:r w:rsidRPr="00D079BC">
        <w:rPr>
          <w:lang w:eastAsia="en-US"/>
        </w:rPr>
        <w:t xml:space="preserve">, W., Terpstra, T., &amp; De </w:t>
      </w:r>
      <w:proofErr w:type="spellStart"/>
      <w:r w:rsidRPr="00D079BC">
        <w:rPr>
          <w:lang w:eastAsia="en-US"/>
        </w:rPr>
        <w:t>Maeyer</w:t>
      </w:r>
      <w:proofErr w:type="spellEnd"/>
      <w:r w:rsidRPr="00D079BC">
        <w:rPr>
          <w:lang w:eastAsia="en-US"/>
        </w:rPr>
        <w:t xml:space="preserve">, P. (2013). Perception and communication of flood risks: a systematic review of empirical research. </w:t>
      </w:r>
      <w:r w:rsidRPr="003F669C">
        <w:rPr>
          <w:i/>
          <w:iCs/>
          <w:lang w:eastAsia="en-US"/>
        </w:rPr>
        <w:t>Risk analysis, 33</w:t>
      </w:r>
      <w:r w:rsidRPr="00D079BC">
        <w:rPr>
          <w:lang w:eastAsia="en-US"/>
        </w:rPr>
        <w:t>(1), 24-49.</w:t>
      </w:r>
    </w:p>
    <w:p w14:paraId="390652BD" w14:textId="5A6774C2" w:rsidR="00D079BC" w:rsidRPr="00D079BC" w:rsidRDefault="00D079BC" w:rsidP="00D079BC">
      <w:pPr>
        <w:ind w:left="900" w:hanging="902"/>
        <w:jc w:val="both"/>
      </w:pPr>
      <w:r w:rsidRPr="00D079BC">
        <w:rPr>
          <w:lang w:eastAsia="en-US"/>
        </w:rPr>
        <w:t>Kotz</w:t>
      </w:r>
      <w:r w:rsidR="003F669C">
        <w:rPr>
          <w:lang w:eastAsia="en-US"/>
        </w:rPr>
        <w:t>,</w:t>
      </w:r>
      <w:r w:rsidRPr="00D079BC">
        <w:rPr>
          <w:lang w:eastAsia="en-US"/>
        </w:rPr>
        <w:t xml:space="preserve"> S.</w:t>
      </w:r>
      <w:r w:rsidR="003F669C">
        <w:rPr>
          <w:lang w:eastAsia="en-US"/>
        </w:rPr>
        <w:t>,</w:t>
      </w:r>
      <w:r w:rsidRPr="00D079BC">
        <w:rPr>
          <w:lang w:eastAsia="en-US"/>
        </w:rPr>
        <w:t xml:space="preserve"> &amp; Nadarajah S. (2000). </w:t>
      </w:r>
      <w:r w:rsidRPr="003F669C">
        <w:rPr>
          <w:i/>
          <w:iCs/>
          <w:lang w:eastAsia="en-US"/>
        </w:rPr>
        <w:t>Extreme Value Distributions, Theory and Applications</w:t>
      </w:r>
      <w:r w:rsidRPr="00D079BC">
        <w:rPr>
          <w:lang w:eastAsia="en-US"/>
        </w:rPr>
        <w:t>. Imperial College Press.</w:t>
      </w:r>
    </w:p>
    <w:p w14:paraId="0F951E6E" w14:textId="77777777" w:rsidR="00D079BC" w:rsidRPr="00D079BC" w:rsidRDefault="00D079BC" w:rsidP="00D079BC">
      <w:pPr>
        <w:ind w:left="900" w:hanging="902"/>
        <w:jc w:val="both"/>
      </w:pPr>
      <w:r w:rsidRPr="00D079BC">
        <w:rPr>
          <w:lang w:eastAsia="en-US"/>
        </w:rPr>
        <w:t xml:space="preserve">Lim, H. S., Chan, N. W., &amp; Hashim, R. (2015). Flood hazard mapping of Kelantan River basin using GIS-based multicriteria decision analysis. </w:t>
      </w:r>
      <w:r w:rsidRPr="003F669C">
        <w:rPr>
          <w:i/>
          <w:lang w:eastAsia="en-US"/>
        </w:rPr>
        <w:t>Environmental Earth Sciences, 73</w:t>
      </w:r>
      <w:r w:rsidRPr="00D079BC">
        <w:rPr>
          <w:lang w:eastAsia="en-US"/>
        </w:rPr>
        <w:t>(9), 5263-5275.</w:t>
      </w:r>
    </w:p>
    <w:p w14:paraId="66BD1283" w14:textId="50C54C76" w:rsidR="00D079BC" w:rsidRPr="00D079BC" w:rsidRDefault="00D079BC" w:rsidP="00D079BC">
      <w:pPr>
        <w:ind w:left="900" w:hanging="902"/>
        <w:jc w:val="both"/>
      </w:pPr>
      <w:r w:rsidRPr="00D079BC">
        <w:rPr>
          <w:lang w:eastAsia="en-US"/>
        </w:rPr>
        <w:t>Luis, C.</w:t>
      </w:r>
      <w:r w:rsidR="003F669C">
        <w:rPr>
          <w:lang w:eastAsia="en-US"/>
        </w:rPr>
        <w:t>,</w:t>
      </w:r>
      <w:r w:rsidRPr="00D079BC">
        <w:rPr>
          <w:lang w:eastAsia="en-US"/>
        </w:rPr>
        <w:t xml:space="preserve"> </w:t>
      </w:r>
      <w:r w:rsidR="003F669C">
        <w:rPr>
          <w:lang w:eastAsia="en-US"/>
        </w:rPr>
        <w:t>&amp;</w:t>
      </w:r>
      <w:r w:rsidRPr="00D079BC">
        <w:rPr>
          <w:lang w:eastAsia="en-US"/>
        </w:rPr>
        <w:t xml:space="preserve"> Pierfranco, C. (2022). Flood risk in urban areas: </w:t>
      </w:r>
      <w:r w:rsidR="003F669C" w:rsidRPr="00D079BC">
        <w:rPr>
          <w:lang w:eastAsia="en-US"/>
        </w:rPr>
        <w:t>M</w:t>
      </w:r>
      <w:r w:rsidRPr="00D079BC">
        <w:rPr>
          <w:lang w:eastAsia="en-US"/>
        </w:rPr>
        <w:t xml:space="preserve">odelling, management and adaptation to climate change. A review. </w:t>
      </w:r>
      <w:r w:rsidRPr="003F669C">
        <w:rPr>
          <w:i/>
          <w:lang w:eastAsia="en-US"/>
        </w:rPr>
        <w:t>Hydrology</w:t>
      </w:r>
      <w:r w:rsidR="003F669C" w:rsidRPr="003F669C">
        <w:rPr>
          <w:i/>
          <w:lang w:eastAsia="en-US"/>
        </w:rPr>
        <w:t>,</w:t>
      </w:r>
      <w:r w:rsidRPr="003F669C">
        <w:rPr>
          <w:i/>
          <w:lang w:eastAsia="en-US"/>
        </w:rPr>
        <w:t xml:space="preserve"> 9</w:t>
      </w:r>
      <w:r w:rsidRPr="00D079BC">
        <w:rPr>
          <w:lang w:eastAsia="en-US"/>
        </w:rPr>
        <w:t>(3), 50</w:t>
      </w:r>
      <w:r w:rsidR="003F669C">
        <w:rPr>
          <w:lang w:eastAsia="en-US"/>
        </w:rPr>
        <w:t>.</w:t>
      </w:r>
    </w:p>
    <w:p w14:paraId="7E7C2066" w14:textId="77777777" w:rsidR="00D079BC" w:rsidRPr="00D079BC" w:rsidRDefault="00D079BC" w:rsidP="00D079BC">
      <w:pPr>
        <w:ind w:left="900" w:hanging="902"/>
        <w:jc w:val="both"/>
      </w:pPr>
      <w:r w:rsidRPr="00D079BC">
        <w:rPr>
          <w:lang w:eastAsia="en-US"/>
        </w:rPr>
        <w:t>Malaysia Flood Portal - http://publicinfobanjir.water.gov.my/</w:t>
      </w:r>
    </w:p>
    <w:p w14:paraId="7AF3F012" w14:textId="77777777" w:rsidR="00D079BC" w:rsidRPr="00D079BC" w:rsidRDefault="00D079BC" w:rsidP="00D079BC">
      <w:pPr>
        <w:ind w:left="900" w:hanging="902"/>
        <w:jc w:val="both"/>
      </w:pPr>
      <w:r w:rsidRPr="00D079BC">
        <w:rPr>
          <w:lang w:eastAsia="en-US"/>
        </w:rPr>
        <w:t>Malaysian Meteorological Department - https://www.met.gov.my/</w:t>
      </w:r>
    </w:p>
    <w:p w14:paraId="7B4DEF07" w14:textId="3C132B00" w:rsidR="00D079BC" w:rsidRPr="00D079BC" w:rsidRDefault="00D079BC" w:rsidP="00D079BC">
      <w:pPr>
        <w:ind w:left="900" w:hanging="902"/>
        <w:jc w:val="both"/>
      </w:pPr>
      <w:r w:rsidRPr="00D079BC">
        <w:rPr>
          <w:lang w:eastAsia="en-US"/>
        </w:rPr>
        <w:t>Malaysian Meteorological Department. (2022). Climate of Malaysia. https://www.met.gov.my/web/metmalaysia/climate/general-information/climate-of-malaysia</w:t>
      </w:r>
    </w:p>
    <w:p w14:paraId="77D7CF8F" w14:textId="77777777" w:rsidR="00D079BC" w:rsidRPr="00D079BC" w:rsidRDefault="00D079BC" w:rsidP="00D079BC">
      <w:pPr>
        <w:ind w:left="900" w:hanging="902"/>
        <w:jc w:val="both"/>
        <w:rPr>
          <w:lang w:eastAsia="en-US"/>
        </w:rPr>
      </w:pPr>
      <w:r w:rsidRPr="00D079BC">
        <w:rPr>
          <w:lang w:eastAsia="en-US"/>
        </w:rPr>
        <w:t xml:space="preserve">Marks, K., &amp; Bates, P. (2000). Integration of high-resolution topographic data with floodplain flow models. </w:t>
      </w:r>
      <w:r w:rsidRPr="003F669C">
        <w:rPr>
          <w:i/>
          <w:iCs/>
          <w:lang w:eastAsia="en-US"/>
        </w:rPr>
        <w:t>Hydrological Processes, 14</w:t>
      </w:r>
      <w:r w:rsidRPr="00D079BC">
        <w:rPr>
          <w:lang w:eastAsia="en-US"/>
        </w:rPr>
        <w:t>(11-12), 2109-2122.</w:t>
      </w:r>
    </w:p>
    <w:p w14:paraId="2D429012" w14:textId="77777777" w:rsidR="00D079BC" w:rsidRPr="00D079BC" w:rsidRDefault="00D079BC" w:rsidP="00D079BC">
      <w:pPr>
        <w:ind w:left="900" w:hanging="902"/>
        <w:jc w:val="both"/>
      </w:pPr>
      <w:r w:rsidRPr="00D079BC">
        <w:rPr>
          <w:lang w:eastAsia="en-US"/>
        </w:rPr>
        <w:t xml:space="preserve">Mason, L., &amp; Sheppard, S. R. (2014). Citizens' perceptions of flood risk and policy responses: the effects of trust, blame and responsibility. </w:t>
      </w:r>
      <w:r w:rsidRPr="003F669C">
        <w:rPr>
          <w:i/>
          <w:lang w:eastAsia="en-US"/>
        </w:rPr>
        <w:t>Public Understanding of Science, 23</w:t>
      </w:r>
      <w:r w:rsidRPr="00D079BC">
        <w:rPr>
          <w:lang w:eastAsia="en-US"/>
        </w:rPr>
        <w:t>(4), 435-450.</w:t>
      </w:r>
    </w:p>
    <w:p w14:paraId="6D9DC466" w14:textId="77777777" w:rsidR="00D079BC" w:rsidRPr="00D079BC" w:rsidRDefault="00D079BC" w:rsidP="00D079BC">
      <w:pPr>
        <w:ind w:left="900" w:hanging="902"/>
        <w:jc w:val="both"/>
      </w:pPr>
      <w:proofErr w:type="spellStart"/>
      <w:r w:rsidRPr="00D079BC">
        <w:rPr>
          <w:lang w:eastAsia="en-US"/>
        </w:rPr>
        <w:t>Mazlin</w:t>
      </w:r>
      <w:proofErr w:type="spellEnd"/>
      <w:r w:rsidRPr="00D079BC">
        <w:rPr>
          <w:lang w:eastAsia="en-US"/>
        </w:rPr>
        <w:t xml:space="preserve">, M., &amp; Yusoff, M. K. (2016). Remote sensing and GIS-based flood risk analysis in Kelantan River Basin, Malaysia. </w:t>
      </w:r>
      <w:r w:rsidRPr="003F669C">
        <w:rPr>
          <w:i/>
          <w:lang w:eastAsia="en-US"/>
        </w:rPr>
        <w:t>Arabian Journal of Geosciences, 9</w:t>
      </w:r>
      <w:r w:rsidRPr="00D079BC">
        <w:rPr>
          <w:lang w:eastAsia="en-US"/>
        </w:rPr>
        <w:t>(2), 1-12.</w:t>
      </w:r>
    </w:p>
    <w:p w14:paraId="5884704B" w14:textId="77777777" w:rsidR="00D079BC" w:rsidRPr="003F669C" w:rsidRDefault="00D079BC" w:rsidP="00D079BC">
      <w:pPr>
        <w:ind w:left="900" w:hanging="902"/>
        <w:jc w:val="both"/>
      </w:pPr>
      <w:proofErr w:type="spellStart"/>
      <w:r w:rsidRPr="003F669C">
        <w:rPr>
          <w:lang w:eastAsia="en-US"/>
        </w:rPr>
        <w:lastRenderedPageBreak/>
        <w:t>Mohd</w:t>
      </w:r>
      <w:proofErr w:type="spellEnd"/>
      <w:r w:rsidRPr="003F669C">
        <w:rPr>
          <w:lang w:eastAsia="en-US"/>
        </w:rPr>
        <w:t xml:space="preserve"> </w:t>
      </w:r>
      <w:proofErr w:type="spellStart"/>
      <w:r w:rsidRPr="003F669C">
        <w:rPr>
          <w:lang w:eastAsia="en-US"/>
        </w:rPr>
        <w:t>Ekhwan</w:t>
      </w:r>
      <w:proofErr w:type="spellEnd"/>
      <w:r w:rsidRPr="003F669C">
        <w:rPr>
          <w:lang w:eastAsia="en-US"/>
        </w:rPr>
        <w:t xml:space="preserve">, T. (1998). </w:t>
      </w:r>
      <w:proofErr w:type="spellStart"/>
      <w:r w:rsidRPr="003F669C">
        <w:rPr>
          <w:lang w:eastAsia="en-US"/>
        </w:rPr>
        <w:t>Banjir</w:t>
      </w:r>
      <w:proofErr w:type="spellEnd"/>
      <w:r w:rsidRPr="003F669C">
        <w:rPr>
          <w:lang w:eastAsia="en-US"/>
        </w:rPr>
        <w:t xml:space="preserve"> </w:t>
      </w:r>
      <w:proofErr w:type="spellStart"/>
      <w:r w:rsidRPr="003F669C">
        <w:rPr>
          <w:lang w:eastAsia="en-US"/>
        </w:rPr>
        <w:t>sebagai</w:t>
      </w:r>
      <w:proofErr w:type="spellEnd"/>
      <w:r w:rsidRPr="003F669C">
        <w:rPr>
          <w:lang w:eastAsia="en-US"/>
        </w:rPr>
        <w:t xml:space="preserve"> </w:t>
      </w:r>
      <w:proofErr w:type="spellStart"/>
      <w:r w:rsidRPr="003F669C">
        <w:rPr>
          <w:lang w:eastAsia="en-US"/>
        </w:rPr>
        <w:t>bencana</w:t>
      </w:r>
      <w:proofErr w:type="spellEnd"/>
      <w:r w:rsidRPr="003F669C">
        <w:rPr>
          <w:lang w:eastAsia="en-US"/>
        </w:rPr>
        <w:t xml:space="preserve">: </w:t>
      </w:r>
      <w:proofErr w:type="spellStart"/>
      <w:r w:rsidRPr="003F669C">
        <w:rPr>
          <w:lang w:eastAsia="en-US"/>
        </w:rPr>
        <w:t>Isu</w:t>
      </w:r>
      <w:proofErr w:type="spellEnd"/>
      <w:r w:rsidRPr="003F669C">
        <w:rPr>
          <w:lang w:eastAsia="en-US"/>
        </w:rPr>
        <w:t xml:space="preserve">, </w:t>
      </w:r>
      <w:proofErr w:type="spellStart"/>
      <w:r w:rsidRPr="003F669C">
        <w:rPr>
          <w:lang w:eastAsia="en-US"/>
        </w:rPr>
        <w:t>cabaran</w:t>
      </w:r>
      <w:proofErr w:type="spellEnd"/>
      <w:r w:rsidRPr="003F669C">
        <w:rPr>
          <w:lang w:eastAsia="en-US"/>
        </w:rPr>
        <w:t xml:space="preserve"> </w:t>
      </w:r>
      <w:proofErr w:type="spellStart"/>
      <w:r w:rsidRPr="003F669C">
        <w:rPr>
          <w:lang w:eastAsia="en-US"/>
        </w:rPr>
        <w:t>dan</w:t>
      </w:r>
      <w:proofErr w:type="spellEnd"/>
      <w:r w:rsidRPr="003F669C">
        <w:rPr>
          <w:lang w:eastAsia="en-US"/>
        </w:rPr>
        <w:t xml:space="preserve"> </w:t>
      </w:r>
      <w:proofErr w:type="spellStart"/>
      <w:r w:rsidRPr="003F669C">
        <w:rPr>
          <w:lang w:eastAsia="en-US"/>
        </w:rPr>
        <w:t>pengurusannya</w:t>
      </w:r>
      <w:proofErr w:type="spellEnd"/>
      <w:r w:rsidRPr="003F669C">
        <w:rPr>
          <w:lang w:eastAsia="en-US"/>
        </w:rPr>
        <w:t xml:space="preserve"> di Malaysia. Seminar </w:t>
      </w:r>
      <w:proofErr w:type="spellStart"/>
      <w:r w:rsidRPr="003F669C">
        <w:rPr>
          <w:lang w:eastAsia="en-US"/>
        </w:rPr>
        <w:t>Kebangsaan</w:t>
      </w:r>
      <w:proofErr w:type="spellEnd"/>
      <w:r w:rsidRPr="003F669C">
        <w:rPr>
          <w:lang w:eastAsia="en-US"/>
        </w:rPr>
        <w:t xml:space="preserve"> </w:t>
      </w:r>
      <w:proofErr w:type="spellStart"/>
      <w:r w:rsidRPr="003F669C">
        <w:rPr>
          <w:lang w:eastAsia="en-US"/>
        </w:rPr>
        <w:t>Perancangan</w:t>
      </w:r>
      <w:proofErr w:type="spellEnd"/>
      <w:r w:rsidRPr="003F669C">
        <w:rPr>
          <w:lang w:eastAsia="en-US"/>
        </w:rPr>
        <w:t xml:space="preserve"> </w:t>
      </w:r>
      <w:proofErr w:type="spellStart"/>
      <w:r w:rsidRPr="003F669C">
        <w:rPr>
          <w:lang w:eastAsia="en-US"/>
        </w:rPr>
        <w:t>dan</w:t>
      </w:r>
      <w:proofErr w:type="spellEnd"/>
      <w:r w:rsidRPr="003F669C">
        <w:rPr>
          <w:lang w:eastAsia="en-US"/>
        </w:rPr>
        <w:t xml:space="preserve"> Pembangunan </w:t>
      </w:r>
      <w:proofErr w:type="spellStart"/>
      <w:r w:rsidRPr="003F669C">
        <w:rPr>
          <w:lang w:eastAsia="en-US"/>
        </w:rPr>
        <w:t>dalam</w:t>
      </w:r>
      <w:proofErr w:type="spellEnd"/>
      <w:r w:rsidRPr="003F669C">
        <w:rPr>
          <w:lang w:eastAsia="en-US"/>
        </w:rPr>
        <w:t xml:space="preserve"> Era </w:t>
      </w:r>
      <w:proofErr w:type="spellStart"/>
      <w:r w:rsidRPr="003F669C">
        <w:rPr>
          <w:lang w:eastAsia="en-US"/>
        </w:rPr>
        <w:t>Globalisasi</w:t>
      </w:r>
      <w:proofErr w:type="spellEnd"/>
      <w:r w:rsidRPr="003F669C">
        <w:rPr>
          <w:lang w:eastAsia="en-US"/>
        </w:rPr>
        <w:t xml:space="preserve">. Universiti Kebangsaan Malaysia, Bangi. </w:t>
      </w:r>
    </w:p>
    <w:p w14:paraId="6BD4D52B" w14:textId="75A0C476" w:rsidR="00D079BC" w:rsidRPr="00D079BC" w:rsidRDefault="00D079BC" w:rsidP="00D079BC">
      <w:pPr>
        <w:ind w:left="900" w:hanging="902"/>
        <w:jc w:val="both"/>
      </w:pPr>
      <w:r w:rsidRPr="00D079BC">
        <w:rPr>
          <w:lang w:eastAsia="en-US"/>
        </w:rPr>
        <w:t xml:space="preserve">Mohd Razi, M. F., Yusof, K. W., &amp; Adnan, N. A. (2021). Flash flood analysis in </w:t>
      </w:r>
      <w:proofErr w:type="spellStart"/>
      <w:r w:rsidRPr="00D079BC">
        <w:rPr>
          <w:lang w:eastAsia="en-US"/>
        </w:rPr>
        <w:t>Tumpat</w:t>
      </w:r>
      <w:proofErr w:type="spellEnd"/>
      <w:r w:rsidRPr="00D079BC">
        <w:rPr>
          <w:lang w:eastAsia="en-US"/>
        </w:rPr>
        <w:t xml:space="preserve"> district using remote sensing and GIS. </w:t>
      </w:r>
      <w:r w:rsidRPr="003F669C">
        <w:rPr>
          <w:i/>
          <w:lang w:eastAsia="en-US"/>
        </w:rPr>
        <w:t>IOP Conference Series: Earth and Environmental Science, 819</w:t>
      </w:r>
      <w:r w:rsidR="003F669C">
        <w:rPr>
          <w:lang w:eastAsia="en-US"/>
        </w:rPr>
        <w:t>,</w:t>
      </w:r>
      <w:r w:rsidRPr="00D079BC">
        <w:rPr>
          <w:lang w:eastAsia="en-US"/>
        </w:rPr>
        <w:t xml:space="preserve"> 012032.</w:t>
      </w:r>
    </w:p>
    <w:p w14:paraId="5F02D059" w14:textId="463808D2" w:rsidR="00D079BC" w:rsidRPr="00D079BC" w:rsidRDefault="00D079BC" w:rsidP="00D079BC">
      <w:pPr>
        <w:ind w:left="900" w:hanging="902"/>
        <w:jc w:val="both"/>
        <w:rPr>
          <w:lang w:eastAsia="en-US"/>
        </w:rPr>
      </w:pPr>
      <w:r w:rsidRPr="00D079BC">
        <w:rPr>
          <w:lang w:eastAsia="en-US"/>
        </w:rPr>
        <w:t>Muhamad</w:t>
      </w:r>
      <w:r w:rsidR="003F669C">
        <w:rPr>
          <w:lang w:eastAsia="en-US"/>
        </w:rPr>
        <w:t>,</w:t>
      </w:r>
      <w:r w:rsidRPr="00D079BC">
        <w:rPr>
          <w:lang w:eastAsia="en-US"/>
        </w:rPr>
        <w:t xml:space="preserve"> A. A. (2020). A GIS-Based flood vulnerability assessment in </w:t>
      </w:r>
      <w:proofErr w:type="spellStart"/>
      <w:r w:rsidRPr="00D079BC">
        <w:rPr>
          <w:lang w:eastAsia="en-US"/>
        </w:rPr>
        <w:t>Pasir</w:t>
      </w:r>
      <w:proofErr w:type="spellEnd"/>
      <w:r w:rsidRPr="00D079BC">
        <w:rPr>
          <w:lang w:eastAsia="en-US"/>
        </w:rPr>
        <w:t xml:space="preserve"> Mas, Kelantan a GIS-Based flood vulnerability assessment in </w:t>
      </w:r>
      <w:proofErr w:type="spellStart"/>
      <w:r w:rsidRPr="00D079BC">
        <w:rPr>
          <w:lang w:eastAsia="en-US"/>
        </w:rPr>
        <w:t>Pasir</w:t>
      </w:r>
      <w:proofErr w:type="spellEnd"/>
      <w:r w:rsidRPr="00D079BC">
        <w:rPr>
          <w:lang w:eastAsia="en-US"/>
        </w:rPr>
        <w:t xml:space="preserve"> Mas, Kelantan. </w:t>
      </w:r>
      <w:r w:rsidRPr="003F669C">
        <w:rPr>
          <w:i/>
          <w:iCs/>
          <w:lang w:eastAsia="en-US"/>
        </w:rPr>
        <w:t>IOP Conference Series: Earth and Environmental Science</w:t>
      </w:r>
      <w:r w:rsidR="003F669C" w:rsidRPr="003F669C">
        <w:rPr>
          <w:i/>
          <w:iCs/>
          <w:lang w:eastAsia="en-US"/>
        </w:rPr>
        <w:t>, 549,</w:t>
      </w:r>
      <w:r w:rsidR="003F669C">
        <w:rPr>
          <w:lang w:eastAsia="en-US"/>
        </w:rPr>
        <w:t xml:space="preserve"> </w:t>
      </w:r>
      <w:r w:rsidRPr="00D079BC">
        <w:rPr>
          <w:lang w:eastAsia="en-US"/>
        </w:rPr>
        <w:t xml:space="preserve">31-45. </w:t>
      </w:r>
    </w:p>
    <w:p w14:paraId="09FFDEBF" w14:textId="43E23384" w:rsidR="00D079BC" w:rsidRPr="003F669C" w:rsidRDefault="00D079BC" w:rsidP="00D079BC">
      <w:pPr>
        <w:ind w:left="900" w:hanging="902"/>
        <w:jc w:val="both"/>
      </w:pPr>
      <w:r w:rsidRPr="003F669C">
        <w:rPr>
          <w:lang w:eastAsia="en-US"/>
        </w:rPr>
        <w:t xml:space="preserve">National Oceanic and Atmospheric Administration. (2019). Flood </w:t>
      </w:r>
      <w:r w:rsidR="003F669C" w:rsidRPr="003F669C">
        <w:rPr>
          <w:lang w:eastAsia="en-US"/>
        </w:rPr>
        <w:t>risk awareness</w:t>
      </w:r>
      <w:r w:rsidRPr="003F669C">
        <w:rPr>
          <w:lang w:eastAsia="en-US"/>
        </w:rPr>
        <w:t xml:space="preserve">: Why </w:t>
      </w:r>
      <w:r w:rsidR="003F669C" w:rsidRPr="003F669C">
        <w:rPr>
          <w:lang w:eastAsia="en-US"/>
        </w:rPr>
        <w:t>it matters</w:t>
      </w:r>
      <w:r w:rsidRPr="003F669C">
        <w:rPr>
          <w:lang w:eastAsia="en-US"/>
        </w:rPr>
        <w:t>. https://www.weather.gov/wrn/flood-risk-awareness.</w:t>
      </w:r>
    </w:p>
    <w:p w14:paraId="3810F4E4" w14:textId="2EEEC096" w:rsidR="00D079BC" w:rsidRPr="00D079BC" w:rsidRDefault="00D079BC" w:rsidP="00D079BC">
      <w:pPr>
        <w:ind w:left="900" w:hanging="902"/>
        <w:jc w:val="both"/>
      </w:pPr>
      <w:r w:rsidRPr="00D079BC">
        <w:rPr>
          <w:lang w:eastAsia="en-US"/>
        </w:rPr>
        <w:t>Porter, J.</w:t>
      </w:r>
      <w:r w:rsidR="003F669C">
        <w:rPr>
          <w:lang w:eastAsia="en-US"/>
        </w:rPr>
        <w:t>, &amp;</w:t>
      </w:r>
      <w:r w:rsidRPr="00D079BC">
        <w:rPr>
          <w:lang w:eastAsia="en-US"/>
        </w:rPr>
        <w:t xml:space="preserve"> </w:t>
      </w:r>
      <w:proofErr w:type="spellStart"/>
      <w:r w:rsidRPr="00D079BC">
        <w:rPr>
          <w:lang w:eastAsia="en-US"/>
        </w:rPr>
        <w:t>Demeritt</w:t>
      </w:r>
      <w:proofErr w:type="spellEnd"/>
      <w:r w:rsidRPr="00D079BC">
        <w:rPr>
          <w:lang w:eastAsia="en-US"/>
        </w:rPr>
        <w:t xml:space="preserve">, D. (2012). Flood-risk management, mapping, and planning: The institutional politics of decision support in England. </w:t>
      </w:r>
      <w:r w:rsidRPr="00332748">
        <w:rPr>
          <w:iCs/>
          <w:lang w:eastAsia="en-US"/>
        </w:rPr>
        <w:t>Environment and Planning A. 44</w:t>
      </w:r>
      <w:r w:rsidRPr="00D079BC">
        <w:rPr>
          <w:lang w:eastAsia="en-US"/>
        </w:rPr>
        <w:t>(10)</w:t>
      </w:r>
      <w:r w:rsidR="00332748">
        <w:rPr>
          <w:lang w:eastAsia="en-US"/>
        </w:rPr>
        <w:t xml:space="preserve">, </w:t>
      </w:r>
      <w:r w:rsidRPr="00D079BC">
        <w:rPr>
          <w:lang w:eastAsia="en-US"/>
        </w:rPr>
        <w:t xml:space="preserve">2359-2378. </w:t>
      </w:r>
    </w:p>
    <w:p w14:paraId="7D8FAECF" w14:textId="7A6CB427" w:rsidR="00D079BC" w:rsidRPr="00D079BC" w:rsidRDefault="00D079BC" w:rsidP="00D079BC">
      <w:pPr>
        <w:ind w:left="900" w:hanging="902"/>
        <w:jc w:val="both"/>
        <w:rPr>
          <w:lang w:eastAsia="en-US"/>
        </w:rPr>
      </w:pPr>
      <w:proofErr w:type="spellStart"/>
      <w:r w:rsidRPr="00D079BC">
        <w:rPr>
          <w:lang w:eastAsia="en-US"/>
        </w:rPr>
        <w:t>Rameli</w:t>
      </w:r>
      <w:proofErr w:type="spellEnd"/>
      <w:r w:rsidRPr="00D079BC">
        <w:rPr>
          <w:lang w:eastAsia="en-US"/>
        </w:rPr>
        <w:t xml:space="preserve">, N. L. F., Majid, N. A., &amp; Mohamed, A. F. (2024). Assessing </w:t>
      </w:r>
      <w:r w:rsidR="00332748" w:rsidRPr="00D079BC">
        <w:rPr>
          <w:lang w:eastAsia="en-US"/>
        </w:rPr>
        <w:t>community resilience to flood disasters</w:t>
      </w:r>
      <w:r w:rsidRPr="00D079BC">
        <w:rPr>
          <w:lang w:eastAsia="en-US"/>
        </w:rPr>
        <w:t xml:space="preserve">: A </w:t>
      </w:r>
      <w:r w:rsidR="00332748" w:rsidRPr="00D079BC">
        <w:rPr>
          <w:lang w:eastAsia="en-US"/>
        </w:rPr>
        <w:t xml:space="preserve">case study of </w:t>
      </w:r>
      <w:proofErr w:type="spellStart"/>
      <w:r w:rsidRPr="00D079BC">
        <w:rPr>
          <w:lang w:eastAsia="en-US"/>
        </w:rPr>
        <w:t>Temerloh</w:t>
      </w:r>
      <w:proofErr w:type="spellEnd"/>
      <w:r w:rsidRPr="00D079BC">
        <w:rPr>
          <w:lang w:eastAsia="en-US"/>
        </w:rPr>
        <w:t xml:space="preserve">, Pahang. </w:t>
      </w:r>
      <w:r w:rsidRPr="00332748">
        <w:rPr>
          <w:i/>
          <w:iCs/>
          <w:lang w:eastAsia="en-US"/>
        </w:rPr>
        <w:t>Geographies, 4</w:t>
      </w:r>
      <w:r w:rsidRPr="00D079BC">
        <w:rPr>
          <w:lang w:eastAsia="en-US"/>
        </w:rPr>
        <w:t>(3), 583–595. https://doi.org/10.3390/geographies4030031</w:t>
      </w:r>
    </w:p>
    <w:p w14:paraId="7C49252B" w14:textId="6D2300E0" w:rsidR="00D079BC" w:rsidRPr="00D079BC" w:rsidRDefault="00D079BC" w:rsidP="00D079BC">
      <w:pPr>
        <w:ind w:left="900" w:hanging="902"/>
        <w:jc w:val="both"/>
      </w:pPr>
      <w:r w:rsidRPr="00D079BC">
        <w:rPr>
          <w:lang w:eastAsia="en-US"/>
        </w:rPr>
        <w:t xml:space="preserve">Ronan, K. R., &amp; Johnston, D. M. (2001). Correlates of hazard education </w:t>
      </w:r>
      <w:proofErr w:type="spellStart"/>
      <w:r w:rsidRPr="00D079BC">
        <w:rPr>
          <w:lang w:eastAsia="en-US"/>
        </w:rPr>
        <w:t>programmes</w:t>
      </w:r>
      <w:proofErr w:type="spellEnd"/>
      <w:r w:rsidRPr="00D079BC">
        <w:rPr>
          <w:lang w:eastAsia="en-US"/>
        </w:rPr>
        <w:t xml:space="preserve"> for youth: </w:t>
      </w:r>
      <w:r w:rsidR="00332748">
        <w:rPr>
          <w:lang w:eastAsia="en-US"/>
        </w:rPr>
        <w:t>A</w:t>
      </w:r>
      <w:r w:rsidRPr="00D079BC">
        <w:rPr>
          <w:lang w:eastAsia="en-US"/>
        </w:rPr>
        <w:t xml:space="preserve"> review. </w:t>
      </w:r>
      <w:r w:rsidRPr="00332748">
        <w:rPr>
          <w:iCs/>
          <w:lang w:eastAsia="en-US"/>
        </w:rPr>
        <w:t>International Journal of Emergency Management, 1</w:t>
      </w:r>
      <w:r w:rsidRPr="00D079BC">
        <w:rPr>
          <w:lang w:eastAsia="en-US"/>
        </w:rPr>
        <w:t>(4), 314-325.</w:t>
      </w:r>
    </w:p>
    <w:p w14:paraId="1D23CF92" w14:textId="412FC186" w:rsidR="00D079BC" w:rsidRPr="00D079BC" w:rsidRDefault="00D079BC" w:rsidP="00D079BC">
      <w:pPr>
        <w:ind w:left="900" w:hanging="902"/>
        <w:jc w:val="both"/>
        <w:rPr>
          <w:lang w:eastAsia="en-US"/>
        </w:rPr>
      </w:pPr>
      <w:proofErr w:type="spellStart"/>
      <w:r w:rsidRPr="00D079BC">
        <w:rPr>
          <w:lang w:eastAsia="en-US"/>
        </w:rPr>
        <w:t>Rosmadi</w:t>
      </w:r>
      <w:proofErr w:type="spellEnd"/>
      <w:r w:rsidRPr="00D079BC">
        <w:rPr>
          <w:lang w:eastAsia="en-US"/>
        </w:rPr>
        <w:t xml:space="preserve">, H. S., Ahmed, M. F., Mokhtar, M. B., &amp; Lim, C. K. (2023). Reviewing </w:t>
      </w:r>
      <w:r w:rsidR="00332748" w:rsidRPr="00D079BC">
        <w:rPr>
          <w:lang w:eastAsia="en-US"/>
        </w:rPr>
        <w:t xml:space="preserve">challenges of flood risk management in </w:t>
      </w:r>
      <w:r w:rsidRPr="00D079BC">
        <w:rPr>
          <w:lang w:eastAsia="en-US"/>
        </w:rPr>
        <w:t xml:space="preserve">Malaysia. </w:t>
      </w:r>
      <w:r w:rsidRPr="00332748">
        <w:rPr>
          <w:i/>
          <w:iCs/>
          <w:lang w:eastAsia="en-US"/>
        </w:rPr>
        <w:t>Water, 15</w:t>
      </w:r>
      <w:r w:rsidRPr="00D079BC">
        <w:rPr>
          <w:lang w:eastAsia="en-US"/>
        </w:rPr>
        <w:t xml:space="preserve">(13), 2390. </w:t>
      </w:r>
    </w:p>
    <w:p w14:paraId="01DECBB7" w14:textId="0C0F118D" w:rsidR="00D079BC" w:rsidRPr="00D079BC" w:rsidRDefault="00D079BC" w:rsidP="00D079BC">
      <w:pPr>
        <w:ind w:left="900" w:hanging="902"/>
        <w:jc w:val="both"/>
        <w:rPr>
          <w:lang w:eastAsia="en-US"/>
        </w:rPr>
      </w:pPr>
      <w:r w:rsidRPr="00D079BC">
        <w:rPr>
          <w:lang w:eastAsia="en-US"/>
        </w:rPr>
        <w:t xml:space="preserve">Samiri, M., </w:t>
      </w:r>
      <w:proofErr w:type="spellStart"/>
      <w:r w:rsidRPr="00D079BC">
        <w:rPr>
          <w:lang w:eastAsia="en-US"/>
        </w:rPr>
        <w:t>Nilwana</w:t>
      </w:r>
      <w:proofErr w:type="spellEnd"/>
      <w:r w:rsidRPr="00D079BC">
        <w:rPr>
          <w:lang w:eastAsia="en-US"/>
        </w:rPr>
        <w:t xml:space="preserve">, A., Nonci, N., Ahmad, J., &amp; Fitriani, F. (2024). </w:t>
      </w:r>
      <w:proofErr w:type="spellStart"/>
      <w:r w:rsidRPr="00D079BC">
        <w:rPr>
          <w:lang w:eastAsia="en-US"/>
        </w:rPr>
        <w:t>Keterlibatan</w:t>
      </w:r>
      <w:proofErr w:type="spellEnd"/>
      <w:r w:rsidRPr="00D079BC">
        <w:rPr>
          <w:lang w:eastAsia="en-US"/>
        </w:rPr>
        <w:t xml:space="preserve"> </w:t>
      </w:r>
      <w:proofErr w:type="spellStart"/>
      <w:r w:rsidRPr="00D079BC">
        <w:rPr>
          <w:lang w:eastAsia="en-US"/>
        </w:rPr>
        <w:t>dan</w:t>
      </w:r>
      <w:proofErr w:type="spellEnd"/>
      <w:r w:rsidRPr="00D079BC">
        <w:rPr>
          <w:lang w:eastAsia="en-US"/>
        </w:rPr>
        <w:t xml:space="preserve"> </w:t>
      </w:r>
      <w:proofErr w:type="spellStart"/>
      <w:r w:rsidR="00332748" w:rsidRPr="00D079BC">
        <w:rPr>
          <w:lang w:eastAsia="en-US"/>
        </w:rPr>
        <w:t>partisipasi</w:t>
      </w:r>
      <w:proofErr w:type="spellEnd"/>
      <w:r w:rsidR="00332748" w:rsidRPr="00D079BC">
        <w:rPr>
          <w:lang w:eastAsia="en-US"/>
        </w:rPr>
        <w:t xml:space="preserve"> </w:t>
      </w:r>
      <w:proofErr w:type="spellStart"/>
      <w:r w:rsidR="00332748" w:rsidRPr="00D079BC">
        <w:rPr>
          <w:lang w:eastAsia="en-US"/>
        </w:rPr>
        <w:t>masyarakat</w:t>
      </w:r>
      <w:proofErr w:type="spellEnd"/>
      <w:r w:rsidR="00332748" w:rsidRPr="00D079BC">
        <w:rPr>
          <w:lang w:eastAsia="en-US"/>
        </w:rPr>
        <w:t xml:space="preserve"> </w:t>
      </w:r>
      <w:proofErr w:type="spellStart"/>
      <w:r w:rsidR="00332748" w:rsidRPr="00D079BC">
        <w:rPr>
          <w:lang w:eastAsia="en-US"/>
        </w:rPr>
        <w:t>dalam</w:t>
      </w:r>
      <w:proofErr w:type="spellEnd"/>
      <w:r w:rsidR="00332748" w:rsidRPr="00D079BC">
        <w:rPr>
          <w:lang w:eastAsia="en-US"/>
        </w:rPr>
        <w:t xml:space="preserve"> </w:t>
      </w:r>
      <w:proofErr w:type="spellStart"/>
      <w:r w:rsidR="00332748" w:rsidRPr="00D079BC">
        <w:rPr>
          <w:lang w:eastAsia="en-US"/>
        </w:rPr>
        <w:t>mitigasi</w:t>
      </w:r>
      <w:proofErr w:type="spellEnd"/>
      <w:r w:rsidR="00332748" w:rsidRPr="00D079BC">
        <w:rPr>
          <w:lang w:eastAsia="en-US"/>
        </w:rPr>
        <w:t xml:space="preserve"> </w:t>
      </w:r>
      <w:proofErr w:type="spellStart"/>
      <w:r w:rsidR="00332748" w:rsidRPr="00D079BC">
        <w:rPr>
          <w:lang w:eastAsia="en-US"/>
        </w:rPr>
        <w:t>bencana</w:t>
      </w:r>
      <w:proofErr w:type="spellEnd"/>
      <w:r w:rsidR="00332748" w:rsidRPr="00D079BC">
        <w:rPr>
          <w:lang w:eastAsia="en-US"/>
        </w:rPr>
        <w:t xml:space="preserve"> </w:t>
      </w:r>
      <w:proofErr w:type="spellStart"/>
      <w:r w:rsidR="00332748" w:rsidRPr="00D079BC">
        <w:rPr>
          <w:lang w:eastAsia="en-US"/>
        </w:rPr>
        <w:t>banjir</w:t>
      </w:r>
      <w:proofErr w:type="spellEnd"/>
      <w:r w:rsidRPr="00D079BC">
        <w:rPr>
          <w:lang w:eastAsia="en-US"/>
        </w:rPr>
        <w:t xml:space="preserve">: </w:t>
      </w:r>
      <w:proofErr w:type="spellStart"/>
      <w:r w:rsidRPr="00D079BC">
        <w:rPr>
          <w:lang w:eastAsia="en-US"/>
        </w:rPr>
        <w:t>Studi</w:t>
      </w:r>
      <w:proofErr w:type="spellEnd"/>
      <w:r w:rsidRPr="00D079BC">
        <w:rPr>
          <w:lang w:eastAsia="en-US"/>
        </w:rPr>
        <w:t xml:space="preserve"> </w:t>
      </w:r>
      <w:proofErr w:type="spellStart"/>
      <w:r w:rsidR="00332748" w:rsidRPr="00D079BC">
        <w:rPr>
          <w:lang w:eastAsia="en-US"/>
        </w:rPr>
        <w:t>kasus</w:t>
      </w:r>
      <w:proofErr w:type="spellEnd"/>
      <w:r w:rsidRPr="00D079BC">
        <w:rPr>
          <w:lang w:eastAsia="en-US"/>
        </w:rPr>
        <w:t xml:space="preserve"> </w:t>
      </w:r>
      <w:proofErr w:type="spellStart"/>
      <w:r w:rsidRPr="00D079BC">
        <w:rPr>
          <w:lang w:eastAsia="en-US"/>
        </w:rPr>
        <w:t>Kabupaten</w:t>
      </w:r>
      <w:proofErr w:type="spellEnd"/>
      <w:r w:rsidRPr="00D079BC">
        <w:rPr>
          <w:lang w:eastAsia="en-US"/>
        </w:rPr>
        <w:t xml:space="preserve"> </w:t>
      </w:r>
      <w:proofErr w:type="spellStart"/>
      <w:r w:rsidRPr="00D079BC">
        <w:rPr>
          <w:lang w:eastAsia="en-US"/>
        </w:rPr>
        <w:t>Sidenreng</w:t>
      </w:r>
      <w:proofErr w:type="spellEnd"/>
      <w:r w:rsidRPr="00D079BC">
        <w:rPr>
          <w:lang w:eastAsia="en-US"/>
        </w:rPr>
        <w:t xml:space="preserve"> </w:t>
      </w:r>
      <w:proofErr w:type="spellStart"/>
      <w:r w:rsidRPr="00D079BC">
        <w:rPr>
          <w:lang w:eastAsia="en-US"/>
        </w:rPr>
        <w:t>Rappang</w:t>
      </w:r>
      <w:proofErr w:type="spellEnd"/>
      <w:r w:rsidRPr="00D079BC">
        <w:rPr>
          <w:lang w:eastAsia="en-US"/>
        </w:rPr>
        <w:t xml:space="preserve">, Indonesia. </w:t>
      </w:r>
      <w:r w:rsidR="00332748" w:rsidRPr="00332748">
        <w:rPr>
          <w:i/>
          <w:iCs/>
          <w:lang w:eastAsia="en-US"/>
        </w:rPr>
        <w:t>Society, 12</w:t>
      </w:r>
      <w:r w:rsidR="00332748">
        <w:rPr>
          <w:lang w:eastAsia="en-US"/>
        </w:rPr>
        <w:t>(1), 129-139.</w:t>
      </w:r>
    </w:p>
    <w:p w14:paraId="5B39DD62" w14:textId="77777777" w:rsidR="00D079BC" w:rsidRPr="00D079BC" w:rsidRDefault="00D079BC" w:rsidP="00D079BC">
      <w:pPr>
        <w:ind w:left="900" w:hanging="902"/>
        <w:jc w:val="both"/>
      </w:pPr>
      <w:r w:rsidRPr="00D079BC">
        <w:rPr>
          <w:lang w:eastAsia="en-US"/>
        </w:rPr>
        <w:t xml:space="preserve">Schmidtlein, M. C., Deutsch, R. C., &amp; </w:t>
      </w:r>
      <w:proofErr w:type="spellStart"/>
      <w:r w:rsidRPr="00D079BC">
        <w:rPr>
          <w:lang w:eastAsia="en-US"/>
        </w:rPr>
        <w:t>Piegorsch</w:t>
      </w:r>
      <w:proofErr w:type="spellEnd"/>
      <w:r w:rsidRPr="00D079BC">
        <w:rPr>
          <w:lang w:eastAsia="en-US"/>
        </w:rPr>
        <w:t xml:space="preserve">, W. W. (2008). Using spatial analysis to identify and characterize natural hazard vulnerability: methods and case studies. </w:t>
      </w:r>
      <w:r w:rsidRPr="00D079BC">
        <w:rPr>
          <w:i/>
          <w:lang w:eastAsia="en-US"/>
        </w:rPr>
        <w:t>Natural Hazards Review</w:t>
      </w:r>
      <w:r w:rsidRPr="00D079BC">
        <w:rPr>
          <w:lang w:eastAsia="en-US"/>
        </w:rPr>
        <w:t>, 9(1), 1-14.</w:t>
      </w:r>
    </w:p>
    <w:p w14:paraId="55EED165" w14:textId="77777777" w:rsidR="00D079BC" w:rsidRPr="00D079BC" w:rsidRDefault="00D079BC" w:rsidP="00D079BC">
      <w:pPr>
        <w:ind w:left="900" w:hanging="902"/>
        <w:jc w:val="both"/>
      </w:pPr>
      <w:r w:rsidRPr="00D079BC">
        <w:rPr>
          <w:lang w:eastAsia="en-US"/>
        </w:rPr>
        <w:t xml:space="preserve">Schumann, G. J.-P., Bates, P. D., &amp; Horritt, M. S. (2009). Evaluation of the use of remotely sensed DEMs for hydraulic modelling of floods. </w:t>
      </w:r>
      <w:r w:rsidRPr="00332748">
        <w:rPr>
          <w:i/>
          <w:lang w:eastAsia="en-US"/>
        </w:rPr>
        <w:t>Hydrological Processes, 23</w:t>
      </w:r>
      <w:r w:rsidRPr="00D079BC">
        <w:rPr>
          <w:lang w:eastAsia="en-US"/>
        </w:rPr>
        <w:t>(6), 955-964.</w:t>
      </w:r>
    </w:p>
    <w:p w14:paraId="45E3E389" w14:textId="77777777" w:rsidR="00D079BC" w:rsidRPr="00D079BC" w:rsidRDefault="00D079BC" w:rsidP="00D079BC">
      <w:pPr>
        <w:ind w:left="900" w:hanging="902"/>
        <w:jc w:val="both"/>
      </w:pPr>
      <w:proofErr w:type="spellStart"/>
      <w:r w:rsidRPr="00D079BC">
        <w:rPr>
          <w:lang w:eastAsia="en-US"/>
        </w:rPr>
        <w:t>Scolobig</w:t>
      </w:r>
      <w:proofErr w:type="spellEnd"/>
      <w:r w:rsidRPr="00D079BC">
        <w:rPr>
          <w:lang w:eastAsia="en-US"/>
        </w:rPr>
        <w:t xml:space="preserve">, A., Prior, T., &amp; Jurt, C. (2012). The role of personal, social and physical factors in household flood adaptation decision-making. </w:t>
      </w:r>
      <w:r w:rsidRPr="00332748">
        <w:rPr>
          <w:i/>
          <w:lang w:eastAsia="en-US"/>
        </w:rPr>
        <w:t>Environmental Science &amp; Policy, 18</w:t>
      </w:r>
      <w:r w:rsidRPr="00D079BC">
        <w:rPr>
          <w:lang w:eastAsia="en-US"/>
        </w:rPr>
        <w:t>, 18-26.</w:t>
      </w:r>
    </w:p>
    <w:p w14:paraId="529CE26C" w14:textId="6733C869" w:rsidR="00D079BC" w:rsidRPr="00D079BC" w:rsidRDefault="00D079BC" w:rsidP="00D079BC">
      <w:pPr>
        <w:ind w:left="900" w:hanging="902"/>
        <w:jc w:val="both"/>
        <w:rPr>
          <w:lang w:eastAsia="en-US"/>
        </w:rPr>
      </w:pPr>
      <w:r w:rsidRPr="00D079BC">
        <w:rPr>
          <w:lang w:eastAsia="en-US"/>
        </w:rPr>
        <w:t xml:space="preserve">See Too, K. L. Frankie, M. A, Jaafar, M. </w:t>
      </w:r>
      <w:proofErr w:type="spellStart"/>
      <w:r w:rsidRPr="00D079BC">
        <w:rPr>
          <w:lang w:eastAsia="en-US"/>
        </w:rPr>
        <w:t>Toriman</w:t>
      </w:r>
      <w:proofErr w:type="spellEnd"/>
      <w:r w:rsidRPr="00D079BC">
        <w:rPr>
          <w:lang w:eastAsia="en-US"/>
        </w:rPr>
        <w:t>, E.</w:t>
      </w:r>
      <w:r w:rsidR="00332748">
        <w:rPr>
          <w:lang w:eastAsia="en-US"/>
        </w:rPr>
        <w:t>,</w:t>
      </w:r>
      <w:r w:rsidRPr="00D079BC">
        <w:rPr>
          <w:lang w:eastAsia="en-US"/>
        </w:rPr>
        <w:t xml:space="preserve"> </w:t>
      </w:r>
      <w:r w:rsidR="00332748">
        <w:rPr>
          <w:lang w:eastAsia="en-US"/>
        </w:rPr>
        <w:t>&amp;</w:t>
      </w:r>
      <w:r w:rsidRPr="00D079BC">
        <w:rPr>
          <w:lang w:eastAsia="en-US"/>
        </w:rPr>
        <w:t xml:space="preserve"> Kamarudin, M. K. A (2023). Riverbank protection structure failure factors and remedial approach: A case study in Kelantan Malaysia. </w:t>
      </w:r>
      <w:r w:rsidRPr="00332748">
        <w:rPr>
          <w:i/>
          <w:lang w:eastAsia="en-US"/>
        </w:rPr>
        <w:t>Planning Malaysia, 12</w:t>
      </w:r>
      <w:r w:rsidRPr="00D079BC">
        <w:rPr>
          <w:lang w:eastAsia="en-US"/>
        </w:rPr>
        <w:t xml:space="preserve">(6), 213-226. </w:t>
      </w:r>
    </w:p>
    <w:p w14:paraId="67A73966" w14:textId="7402BBC0" w:rsidR="00D079BC" w:rsidRPr="00D079BC" w:rsidRDefault="00D079BC" w:rsidP="00D079BC">
      <w:pPr>
        <w:ind w:left="900" w:hanging="902"/>
        <w:jc w:val="both"/>
      </w:pPr>
      <w:r w:rsidRPr="00D079BC">
        <w:rPr>
          <w:lang w:eastAsia="en-US"/>
        </w:rPr>
        <w:t xml:space="preserve">See Too, K. L., Jaafar, M., Ata, F. M., &amp; Mohd Jamil, M. R. (2023). Socio-Economic </w:t>
      </w:r>
      <w:r w:rsidR="00332748" w:rsidRPr="00D079BC">
        <w:rPr>
          <w:lang w:eastAsia="en-US"/>
        </w:rPr>
        <w:t xml:space="preserve">impact of riverbank failure </w:t>
      </w:r>
      <w:r w:rsidRPr="00D079BC">
        <w:rPr>
          <w:lang w:eastAsia="en-US"/>
        </w:rPr>
        <w:t xml:space="preserve">at Kg. </w:t>
      </w:r>
      <w:proofErr w:type="spellStart"/>
      <w:r w:rsidRPr="00D079BC">
        <w:rPr>
          <w:lang w:eastAsia="en-US"/>
        </w:rPr>
        <w:t>Pohon</w:t>
      </w:r>
      <w:proofErr w:type="spellEnd"/>
      <w:r w:rsidRPr="00D079BC">
        <w:rPr>
          <w:lang w:eastAsia="en-US"/>
        </w:rPr>
        <w:t xml:space="preserve"> </w:t>
      </w:r>
      <w:proofErr w:type="spellStart"/>
      <w:r w:rsidRPr="00D079BC">
        <w:rPr>
          <w:lang w:eastAsia="en-US"/>
        </w:rPr>
        <w:t>Celagi</w:t>
      </w:r>
      <w:proofErr w:type="spellEnd"/>
      <w:r w:rsidRPr="00D079BC">
        <w:rPr>
          <w:lang w:eastAsia="en-US"/>
        </w:rPr>
        <w:t xml:space="preserve"> in </w:t>
      </w:r>
      <w:proofErr w:type="spellStart"/>
      <w:r w:rsidRPr="00D079BC">
        <w:rPr>
          <w:lang w:eastAsia="en-US"/>
        </w:rPr>
        <w:t>Pasir</w:t>
      </w:r>
      <w:proofErr w:type="spellEnd"/>
      <w:r w:rsidRPr="00D079BC">
        <w:rPr>
          <w:lang w:eastAsia="en-US"/>
        </w:rPr>
        <w:t xml:space="preserve"> Mas, Kelantan. </w:t>
      </w:r>
      <w:proofErr w:type="spellStart"/>
      <w:r w:rsidRPr="00332748">
        <w:rPr>
          <w:i/>
          <w:lang w:eastAsia="en-US"/>
        </w:rPr>
        <w:t>Akademika</w:t>
      </w:r>
      <w:proofErr w:type="spellEnd"/>
      <w:r w:rsidRPr="00332748">
        <w:rPr>
          <w:i/>
          <w:lang w:eastAsia="en-US"/>
        </w:rPr>
        <w:t>. 93</w:t>
      </w:r>
      <w:r w:rsidRPr="00D079BC">
        <w:rPr>
          <w:lang w:eastAsia="en-US"/>
        </w:rPr>
        <w:t>(1)</w:t>
      </w:r>
      <w:r w:rsidR="00332748">
        <w:rPr>
          <w:lang w:eastAsia="en-US"/>
        </w:rPr>
        <w:t>,</w:t>
      </w:r>
      <w:r w:rsidRPr="00D079BC">
        <w:rPr>
          <w:lang w:eastAsia="en-US"/>
        </w:rPr>
        <w:t xml:space="preserve"> 307-316.</w:t>
      </w:r>
    </w:p>
    <w:p w14:paraId="1551FB0A" w14:textId="5E984200" w:rsidR="00D079BC" w:rsidRPr="00D079BC" w:rsidRDefault="00D079BC" w:rsidP="00D079BC">
      <w:pPr>
        <w:ind w:left="900" w:hanging="902"/>
        <w:jc w:val="both"/>
        <w:rPr>
          <w:lang w:eastAsia="en-US"/>
        </w:rPr>
      </w:pPr>
      <w:r w:rsidRPr="00D079BC">
        <w:rPr>
          <w:lang w:eastAsia="en-US"/>
        </w:rPr>
        <w:t xml:space="preserve">Shafie, A., Hassan, Z., Jafri, M. Z. M., &amp; Mahmud, M. R. (2014). Flood hazard mapping of the Kelantan river basin using HEC-RAS and GIS. </w:t>
      </w:r>
      <w:r w:rsidRPr="00332748">
        <w:rPr>
          <w:i/>
          <w:iCs/>
          <w:lang w:eastAsia="en-US"/>
        </w:rPr>
        <w:t>IOP Conference Series: Earth and Environmental Science</w:t>
      </w:r>
      <w:r w:rsidR="00332748" w:rsidRPr="00332748">
        <w:rPr>
          <w:i/>
          <w:iCs/>
          <w:lang w:eastAsia="en-US"/>
        </w:rPr>
        <w:t>, 18</w:t>
      </w:r>
      <w:r w:rsidR="00332748">
        <w:rPr>
          <w:lang w:eastAsia="en-US"/>
        </w:rPr>
        <w:t>, 012049.</w:t>
      </w:r>
      <w:r w:rsidRPr="00D079BC">
        <w:rPr>
          <w:lang w:eastAsia="en-US"/>
        </w:rPr>
        <w:t xml:space="preserve"> </w:t>
      </w:r>
    </w:p>
    <w:p w14:paraId="05186137" w14:textId="4785845F" w:rsidR="00D079BC" w:rsidRPr="00D079BC" w:rsidRDefault="00D079BC" w:rsidP="00D11042">
      <w:pPr>
        <w:ind w:left="900" w:hanging="902"/>
        <w:jc w:val="both"/>
        <w:rPr>
          <w:color w:val="000000"/>
        </w:rPr>
      </w:pPr>
      <w:r w:rsidRPr="00D079BC">
        <w:rPr>
          <w:color w:val="000000"/>
        </w:rPr>
        <w:t>Sidek</w:t>
      </w:r>
      <w:r w:rsidR="00D11042" w:rsidRPr="00D079BC">
        <w:rPr>
          <w:color w:val="000000"/>
        </w:rPr>
        <w:t xml:space="preserve">, </w:t>
      </w:r>
      <w:r w:rsidRPr="00D079BC">
        <w:rPr>
          <w:color w:val="000000"/>
        </w:rPr>
        <w:t>L</w:t>
      </w:r>
      <w:r w:rsidR="00D11042" w:rsidRPr="00D079BC">
        <w:rPr>
          <w:color w:val="000000"/>
        </w:rPr>
        <w:t>.</w:t>
      </w:r>
      <w:r w:rsidR="00D11042">
        <w:rPr>
          <w:color w:val="000000"/>
        </w:rPr>
        <w:t xml:space="preserve"> </w:t>
      </w:r>
      <w:r w:rsidRPr="00D079BC">
        <w:rPr>
          <w:color w:val="000000"/>
        </w:rPr>
        <w:t>M</w:t>
      </w:r>
      <w:r w:rsidR="00D11042" w:rsidRPr="00D079BC">
        <w:rPr>
          <w:color w:val="000000"/>
        </w:rPr>
        <w:t>.</w:t>
      </w:r>
      <w:r w:rsidR="00D11042">
        <w:rPr>
          <w:color w:val="000000"/>
        </w:rPr>
        <w:t xml:space="preserve">, Mohammed, M. H., Mohamad </w:t>
      </w:r>
      <w:proofErr w:type="spellStart"/>
      <w:r w:rsidR="00D11042">
        <w:rPr>
          <w:color w:val="000000"/>
        </w:rPr>
        <w:t>Deros</w:t>
      </w:r>
      <w:proofErr w:type="spellEnd"/>
      <w:r w:rsidR="00D11042">
        <w:rPr>
          <w:color w:val="000000"/>
        </w:rPr>
        <w:t xml:space="preserve">, S. N., Md Din, N., Ishak, N. A., Jaafar, A. S., Osman, S., Che Omar, B. Z., Yunus, F., &amp; Abdul </w:t>
      </w:r>
      <w:proofErr w:type="spellStart"/>
      <w:r w:rsidR="00D11042">
        <w:rPr>
          <w:color w:val="000000"/>
        </w:rPr>
        <w:t>Mulok</w:t>
      </w:r>
      <w:proofErr w:type="spellEnd"/>
      <w:r w:rsidR="00D11042">
        <w:rPr>
          <w:color w:val="000000"/>
        </w:rPr>
        <w:t xml:space="preserve">, S. </w:t>
      </w:r>
      <w:r w:rsidRPr="00D079BC">
        <w:rPr>
          <w:color w:val="000000"/>
        </w:rPr>
        <w:t xml:space="preserve">(2022). Developing the </w:t>
      </w:r>
      <w:r w:rsidR="00D11042" w:rsidRPr="00D079BC">
        <w:rPr>
          <w:color w:val="000000"/>
        </w:rPr>
        <w:t>flood risk matrix for impact-based forecasting</w:t>
      </w:r>
      <w:r w:rsidRPr="00D079BC">
        <w:rPr>
          <w:color w:val="000000"/>
        </w:rPr>
        <w:t xml:space="preserve"> in Kelantan River Basin, Malaysia. In</w:t>
      </w:r>
      <w:r w:rsidR="00D11042">
        <w:rPr>
          <w:color w:val="000000"/>
        </w:rPr>
        <w:t xml:space="preserve"> C,</w:t>
      </w:r>
      <w:r w:rsidRPr="00D079BC">
        <w:rPr>
          <w:color w:val="000000"/>
        </w:rPr>
        <w:t xml:space="preserve"> Ghosh</w:t>
      </w:r>
      <w:r w:rsidR="00D11042">
        <w:rPr>
          <w:color w:val="000000"/>
        </w:rPr>
        <w:t>.</w:t>
      </w:r>
      <w:r w:rsidRPr="00D079BC">
        <w:rPr>
          <w:color w:val="000000"/>
        </w:rPr>
        <w:t xml:space="preserve"> </w:t>
      </w:r>
      <w:r w:rsidR="00D11042">
        <w:rPr>
          <w:color w:val="000000"/>
        </w:rPr>
        <w:t xml:space="preserve">&amp; S, </w:t>
      </w:r>
      <w:proofErr w:type="spellStart"/>
      <w:r w:rsidRPr="00D079BC">
        <w:rPr>
          <w:color w:val="000000"/>
        </w:rPr>
        <w:t>Kolathayar</w:t>
      </w:r>
      <w:proofErr w:type="spellEnd"/>
      <w:r w:rsidR="00D11042">
        <w:rPr>
          <w:color w:val="000000"/>
        </w:rPr>
        <w:t>.</w:t>
      </w:r>
      <w:r w:rsidRPr="00D079BC">
        <w:rPr>
          <w:color w:val="000000"/>
        </w:rPr>
        <w:t xml:space="preserve"> (</w:t>
      </w:r>
      <w:r w:rsidR="00D11042">
        <w:rPr>
          <w:color w:val="000000"/>
        </w:rPr>
        <w:t>E</w:t>
      </w:r>
      <w:r w:rsidRPr="00D079BC">
        <w:rPr>
          <w:color w:val="000000"/>
        </w:rPr>
        <w:t>ds</w:t>
      </w:r>
      <w:r w:rsidR="00D11042">
        <w:rPr>
          <w:color w:val="000000"/>
        </w:rPr>
        <w:t>.</w:t>
      </w:r>
      <w:r w:rsidRPr="00D079BC">
        <w:rPr>
          <w:color w:val="000000"/>
        </w:rPr>
        <w:t xml:space="preserve">) </w:t>
      </w:r>
      <w:r w:rsidRPr="00D11042">
        <w:rPr>
          <w:i/>
          <w:iCs/>
          <w:color w:val="000000"/>
        </w:rPr>
        <w:t>A System Engineering Approach to Disaster Resilience. Lecture Notes in Civil Engineering</w:t>
      </w:r>
      <w:r w:rsidR="00D11042">
        <w:rPr>
          <w:color w:val="000000"/>
        </w:rPr>
        <w:t xml:space="preserve"> (</w:t>
      </w:r>
      <w:r w:rsidRPr="00D079BC">
        <w:rPr>
          <w:color w:val="000000"/>
        </w:rPr>
        <w:t>vol</w:t>
      </w:r>
      <w:r w:rsidR="00D11042">
        <w:rPr>
          <w:color w:val="000000"/>
        </w:rPr>
        <w:t>.</w:t>
      </w:r>
      <w:r w:rsidRPr="00D079BC">
        <w:rPr>
          <w:color w:val="000000"/>
        </w:rPr>
        <w:t xml:space="preserve"> 205</w:t>
      </w:r>
      <w:r w:rsidR="00D11042">
        <w:rPr>
          <w:color w:val="000000"/>
        </w:rPr>
        <w:t>)</w:t>
      </w:r>
      <w:r w:rsidRPr="00D079BC">
        <w:rPr>
          <w:color w:val="000000"/>
        </w:rPr>
        <w:t>. Springer</w:t>
      </w:r>
      <w:r w:rsidR="00D11042">
        <w:rPr>
          <w:color w:val="000000"/>
        </w:rPr>
        <w:t>.</w:t>
      </w:r>
    </w:p>
    <w:p w14:paraId="13561F66" w14:textId="1F168C5B" w:rsidR="00D079BC" w:rsidRPr="00D079BC" w:rsidRDefault="00D079BC" w:rsidP="00D079BC">
      <w:pPr>
        <w:ind w:left="900" w:hanging="902"/>
        <w:jc w:val="both"/>
        <w:rPr>
          <w:lang w:eastAsia="en-US"/>
        </w:rPr>
      </w:pPr>
      <w:proofErr w:type="spellStart"/>
      <w:r w:rsidRPr="00D079BC">
        <w:rPr>
          <w:lang w:eastAsia="en-US"/>
        </w:rPr>
        <w:lastRenderedPageBreak/>
        <w:t>Skamantzari</w:t>
      </w:r>
      <w:proofErr w:type="spellEnd"/>
      <w:r w:rsidRPr="00D079BC">
        <w:rPr>
          <w:lang w:eastAsia="en-US"/>
        </w:rPr>
        <w:t xml:space="preserve">, M., Kourtis, I., Bellos, V., </w:t>
      </w:r>
      <w:proofErr w:type="spellStart"/>
      <w:r w:rsidRPr="00D079BC">
        <w:rPr>
          <w:lang w:eastAsia="en-US"/>
        </w:rPr>
        <w:t>Kopsiaftis</w:t>
      </w:r>
      <w:proofErr w:type="spellEnd"/>
      <w:r w:rsidRPr="00D079BC">
        <w:rPr>
          <w:lang w:eastAsia="en-US"/>
        </w:rPr>
        <w:t xml:space="preserve">, G., &amp; Rallis, I. (2024). Enhancing </w:t>
      </w:r>
      <w:r w:rsidR="00D11042" w:rsidRPr="00D079BC">
        <w:rPr>
          <w:lang w:eastAsia="en-US"/>
        </w:rPr>
        <w:t xml:space="preserve">fluvial modeling and flood prediction accuracy through the fusion </w:t>
      </w:r>
      <w:r w:rsidRPr="00D079BC">
        <w:rPr>
          <w:lang w:eastAsia="en-US"/>
        </w:rPr>
        <w:t xml:space="preserve">of 3D </w:t>
      </w:r>
      <w:r w:rsidR="00D11042" w:rsidRPr="00D079BC">
        <w:rPr>
          <w:lang w:eastAsia="en-US"/>
        </w:rPr>
        <w:t xml:space="preserve">point clouds, multispectral, </w:t>
      </w:r>
      <w:r w:rsidRPr="00D079BC">
        <w:rPr>
          <w:lang w:eastAsia="en-US"/>
        </w:rPr>
        <w:t xml:space="preserve">and RGB Data. The International Archives of the Photogrammetry, Remote Sensing and Spatial Information Sciences. </w:t>
      </w:r>
    </w:p>
    <w:p w14:paraId="69FF4A2B" w14:textId="3F1345F1" w:rsidR="00D079BC" w:rsidRPr="00D079BC" w:rsidRDefault="00D079BC" w:rsidP="00D079BC">
      <w:pPr>
        <w:ind w:left="900" w:hanging="902"/>
        <w:jc w:val="both"/>
        <w:rPr>
          <w:lang w:eastAsia="en-US"/>
        </w:rPr>
      </w:pPr>
      <w:r w:rsidRPr="00BF605E">
        <w:rPr>
          <w:lang w:val="pt-BR" w:eastAsia="en-US"/>
        </w:rPr>
        <w:t xml:space="preserve">Sseguya, F., &amp; Jun, K. S. (2024). </w:t>
      </w:r>
      <w:r w:rsidRPr="00D079BC">
        <w:rPr>
          <w:lang w:eastAsia="en-US"/>
        </w:rPr>
        <w:t xml:space="preserve">Deep </w:t>
      </w:r>
      <w:r w:rsidR="00D11042" w:rsidRPr="00D079BC">
        <w:rPr>
          <w:lang w:eastAsia="en-US"/>
        </w:rPr>
        <w:t>learning ensemble for flood probability analysis</w:t>
      </w:r>
      <w:r w:rsidRPr="00D079BC">
        <w:rPr>
          <w:lang w:eastAsia="en-US"/>
        </w:rPr>
        <w:t xml:space="preserve">. </w:t>
      </w:r>
      <w:r w:rsidRPr="00D11042">
        <w:rPr>
          <w:i/>
          <w:iCs/>
          <w:lang w:eastAsia="en-US"/>
        </w:rPr>
        <w:t>Water, 16</w:t>
      </w:r>
      <w:r w:rsidRPr="00D079BC">
        <w:rPr>
          <w:lang w:eastAsia="en-US"/>
        </w:rPr>
        <w:t xml:space="preserve">(21), 3092. </w:t>
      </w:r>
    </w:p>
    <w:p w14:paraId="01CD43B8" w14:textId="77777777" w:rsidR="00D079BC" w:rsidRPr="00D079BC" w:rsidRDefault="00D079BC" w:rsidP="00D079BC">
      <w:pPr>
        <w:ind w:left="900" w:hanging="902"/>
        <w:jc w:val="both"/>
      </w:pPr>
      <w:r w:rsidRPr="00D079BC">
        <w:rPr>
          <w:lang w:eastAsia="en-US"/>
        </w:rPr>
        <w:t xml:space="preserve">Sulaiman, N. M., &amp; Sulaiman, A. (2020). Urban sprawl and flood risk: A case study of Kota Bharu, Kelantan. </w:t>
      </w:r>
      <w:r w:rsidRPr="00360B0D">
        <w:rPr>
          <w:i/>
          <w:lang w:eastAsia="en-US"/>
        </w:rPr>
        <w:t>International Journal of Built Environment and Sustainability, 7</w:t>
      </w:r>
      <w:r w:rsidRPr="00D079BC">
        <w:rPr>
          <w:lang w:eastAsia="en-US"/>
        </w:rPr>
        <w:t>(3), 203-212.</w:t>
      </w:r>
    </w:p>
    <w:p w14:paraId="3AAB9321" w14:textId="77777777" w:rsidR="00D079BC" w:rsidRPr="00D079BC" w:rsidRDefault="00D079BC" w:rsidP="00D079BC">
      <w:pPr>
        <w:ind w:left="900" w:hanging="902"/>
        <w:jc w:val="both"/>
      </w:pPr>
      <w:r w:rsidRPr="00D079BC">
        <w:rPr>
          <w:lang w:eastAsia="en-US"/>
        </w:rPr>
        <w:t>Tapsell, S. M., Penning-Rowsell, E. C., Tunstall, S. M., &amp; Wilson, T. L. (2002). Vulnerability to flooding: health and social dimensions. Philosophical Transactions of the Royal Society of London.</w:t>
      </w:r>
      <w:r w:rsidRPr="00D079BC">
        <w:rPr>
          <w:i/>
          <w:lang w:eastAsia="en-US"/>
        </w:rPr>
        <w:t xml:space="preserve"> </w:t>
      </w:r>
      <w:r w:rsidRPr="00360B0D">
        <w:rPr>
          <w:i/>
          <w:lang w:eastAsia="en-US"/>
        </w:rPr>
        <w:t>Series B: Biological Sciences, 357</w:t>
      </w:r>
      <w:r w:rsidRPr="00D079BC">
        <w:rPr>
          <w:lang w:eastAsia="en-US"/>
        </w:rPr>
        <w:t>(1517), 1547-1555.</w:t>
      </w:r>
    </w:p>
    <w:p w14:paraId="6338360D" w14:textId="77777777" w:rsidR="00D079BC" w:rsidRPr="00D079BC" w:rsidRDefault="00D079BC" w:rsidP="00D079BC">
      <w:pPr>
        <w:ind w:left="900" w:hanging="902"/>
        <w:jc w:val="both"/>
      </w:pPr>
      <w:proofErr w:type="spellStart"/>
      <w:r w:rsidRPr="00D079BC">
        <w:rPr>
          <w:lang w:eastAsia="en-US"/>
        </w:rPr>
        <w:t>Teh</w:t>
      </w:r>
      <w:proofErr w:type="spellEnd"/>
      <w:r w:rsidRPr="00D079BC">
        <w:rPr>
          <w:lang w:eastAsia="en-US"/>
        </w:rPr>
        <w:t xml:space="preserve">, S. Y., Ahmad, M. A., Alias, A. B., &amp; Abd. Rahman, M. F. (2020). Analysis of flash flood hazard in </w:t>
      </w:r>
      <w:proofErr w:type="spellStart"/>
      <w:r w:rsidRPr="00D079BC">
        <w:rPr>
          <w:lang w:eastAsia="en-US"/>
        </w:rPr>
        <w:t>Tumpat</w:t>
      </w:r>
      <w:proofErr w:type="spellEnd"/>
      <w:r w:rsidRPr="00D079BC">
        <w:rPr>
          <w:lang w:eastAsia="en-US"/>
        </w:rPr>
        <w:t xml:space="preserve">, Kelantan using GIS-based multicriteria decision analysis. </w:t>
      </w:r>
      <w:r w:rsidRPr="00360B0D">
        <w:rPr>
          <w:i/>
          <w:lang w:eastAsia="en-US"/>
        </w:rPr>
        <w:t>International Journal of Advanced Science and Technology, 29</w:t>
      </w:r>
      <w:r w:rsidRPr="00D079BC">
        <w:rPr>
          <w:lang w:eastAsia="en-US"/>
        </w:rPr>
        <w:t>(2), 5419-5429.</w:t>
      </w:r>
    </w:p>
    <w:p w14:paraId="7E7E7220" w14:textId="77777777" w:rsidR="00D079BC" w:rsidRPr="00D079BC" w:rsidRDefault="00D079BC" w:rsidP="00D079BC">
      <w:pPr>
        <w:ind w:left="900" w:hanging="902"/>
        <w:jc w:val="both"/>
        <w:rPr>
          <w:lang w:eastAsia="en-US"/>
        </w:rPr>
      </w:pPr>
      <w:r w:rsidRPr="00D079BC">
        <w:rPr>
          <w:lang w:eastAsia="en-US"/>
        </w:rPr>
        <w:t xml:space="preserve">Teng, J., Vaze, J., Dutta, D., &amp; </w:t>
      </w:r>
      <w:proofErr w:type="spellStart"/>
      <w:r w:rsidRPr="00D079BC">
        <w:rPr>
          <w:lang w:eastAsia="en-US"/>
        </w:rPr>
        <w:t>Marvanek</w:t>
      </w:r>
      <w:proofErr w:type="spellEnd"/>
      <w:r w:rsidRPr="00D079BC">
        <w:rPr>
          <w:lang w:eastAsia="en-US"/>
        </w:rPr>
        <w:t xml:space="preserve">, S. (2017). Rapid inundation modelling in large floodplains using LiDAR DEM. </w:t>
      </w:r>
      <w:r w:rsidRPr="00360B0D">
        <w:rPr>
          <w:i/>
          <w:iCs/>
          <w:lang w:eastAsia="en-US"/>
        </w:rPr>
        <w:t>Water, 9</w:t>
      </w:r>
      <w:r w:rsidRPr="00D079BC">
        <w:rPr>
          <w:lang w:eastAsia="en-US"/>
        </w:rPr>
        <w:t>(11), 873.</w:t>
      </w:r>
    </w:p>
    <w:p w14:paraId="53ED3AEC" w14:textId="77777777" w:rsidR="00D079BC" w:rsidRPr="00D079BC" w:rsidRDefault="00D079BC" w:rsidP="00D079BC">
      <w:pPr>
        <w:ind w:left="900" w:hanging="902"/>
        <w:jc w:val="both"/>
      </w:pPr>
      <w:r w:rsidRPr="00D079BC">
        <w:rPr>
          <w:lang w:eastAsia="en-US"/>
        </w:rPr>
        <w:t>United Nation Disaster Risk Reduction (UNDRR) (2018). Words into Action Guidelines: Implementation Guide for Addressing Flood Risk and Vulnerability. https://www.undrr.org/publication/words-action-guidelines-implementa-tion-guide-addressing-flood-risk-and-vulnerability).</w:t>
      </w:r>
    </w:p>
    <w:p w14:paraId="4EFA4EF8" w14:textId="129233B0" w:rsidR="00D079BC" w:rsidRPr="00D079BC" w:rsidRDefault="00D079BC" w:rsidP="00D079BC">
      <w:pPr>
        <w:ind w:left="900" w:hanging="902"/>
        <w:jc w:val="both"/>
      </w:pPr>
      <w:r w:rsidRPr="00D079BC">
        <w:rPr>
          <w:lang w:eastAsia="en-US"/>
        </w:rPr>
        <w:t>United Nation Disaster Risk Reduction (UNDRR) (2021). Terminology. https://www.undrr.org/terminology/flood-hazard</w:t>
      </w:r>
    </w:p>
    <w:p w14:paraId="73B454C3" w14:textId="0DD5A32F" w:rsidR="00D079BC" w:rsidRPr="00D079BC" w:rsidRDefault="00D079BC" w:rsidP="00D079BC">
      <w:pPr>
        <w:ind w:left="900" w:hanging="902"/>
        <w:jc w:val="both"/>
      </w:pPr>
      <w:r w:rsidRPr="00D079BC">
        <w:rPr>
          <w:lang w:eastAsia="en-US"/>
        </w:rPr>
        <w:t xml:space="preserve">United Nation Environment </w:t>
      </w:r>
      <w:proofErr w:type="spellStart"/>
      <w:r w:rsidRPr="00D079BC">
        <w:rPr>
          <w:lang w:eastAsia="en-US"/>
        </w:rPr>
        <w:t>Programme</w:t>
      </w:r>
      <w:proofErr w:type="spellEnd"/>
      <w:r w:rsidRPr="00D079BC">
        <w:rPr>
          <w:lang w:eastAsia="en-US"/>
        </w:rPr>
        <w:t xml:space="preserve"> (UNEP) (2019). Global Environmental Outlook-6: Summary for Policy Makers. https://www.unep.org/resources/report/global-environment-outlook-6-summary-policy-</w:t>
      </w:r>
      <w:r w:rsidRPr="00D079BC">
        <w:rPr>
          <w:lang w:eastAsia="en-US"/>
        </w:rPr>
        <w:tab/>
        <w:t>makers</w:t>
      </w:r>
    </w:p>
    <w:p w14:paraId="6824A06B" w14:textId="57E1F70C" w:rsidR="00D079BC" w:rsidRPr="00D079BC" w:rsidRDefault="00D079BC" w:rsidP="00D079BC">
      <w:pPr>
        <w:ind w:left="900" w:hanging="902"/>
        <w:jc w:val="both"/>
      </w:pPr>
      <w:r w:rsidRPr="00D079BC">
        <w:rPr>
          <w:lang w:eastAsia="en-US"/>
        </w:rPr>
        <w:t>United States Army Corps of Engineers. (2016). HEC-RAS River Analysis System. https://www.hec.usace.army.mil/software/hec-ras/</w:t>
      </w:r>
    </w:p>
    <w:p w14:paraId="602B1225" w14:textId="04B30EAC" w:rsidR="00D079BC" w:rsidRPr="00D079BC" w:rsidRDefault="00D079BC" w:rsidP="00D079BC">
      <w:pPr>
        <w:ind w:left="900" w:hanging="902"/>
        <w:jc w:val="both"/>
      </w:pPr>
      <w:r w:rsidRPr="00D079BC">
        <w:rPr>
          <w:lang w:eastAsia="en-US"/>
        </w:rPr>
        <w:t xml:space="preserve">Wan Mohd Rani, W. R., Salleh, A. B., &amp; Mohd Noor, N. (2019). Urban land use and its impacts on flood risk in Kota Bharu, Malaysia. </w:t>
      </w:r>
      <w:r w:rsidRPr="00360B0D">
        <w:rPr>
          <w:iCs/>
          <w:lang w:eastAsia="en-US"/>
        </w:rPr>
        <w:t>Journal of Tropical Biology and Conservation, 16</w:t>
      </w:r>
      <w:r w:rsidRPr="00D079BC">
        <w:rPr>
          <w:lang w:eastAsia="en-US"/>
        </w:rPr>
        <w:t>(1), 35</w:t>
      </w:r>
      <w:r w:rsidR="00360B0D">
        <w:rPr>
          <w:lang w:eastAsia="en-US"/>
        </w:rPr>
        <w:t>.</w:t>
      </w:r>
    </w:p>
    <w:p w14:paraId="6F63F725" w14:textId="77777777" w:rsidR="00D079BC" w:rsidRPr="00D079BC" w:rsidRDefault="00D079BC" w:rsidP="00D079BC">
      <w:pPr>
        <w:ind w:left="900" w:hanging="902"/>
        <w:jc w:val="both"/>
      </w:pPr>
      <w:r w:rsidRPr="00D079BC">
        <w:rPr>
          <w:lang w:eastAsia="en-US"/>
        </w:rPr>
        <w:t xml:space="preserve">Wan Ruslan, I. (2013). </w:t>
      </w:r>
      <w:proofErr w:type="spellStart"/>
      <w:r w:rsidRPr="00D079BC">
        <w:rPr>
          <w:i/>
          <w:lang w:eastAsia="en-US"/>
        </w:rPr>
        <w:t>Sedimen</w:t>
      </w:r>
      <w:proofErr w:type="spellEnd"/>
      <w:r w:rsidRPr="00D079BC">
        <w:rPr>
          <w:i/>
          <w:lang w:eastAsia="en-US"/>
        </w:rPr>
        <w:t xml:space="preserve"> Sungai: </w:t>
      </w:r>
      <w:proofErr w:type="spellStart"/>
      <w:r w:rsidRPr="00D079BC">
        <w:rPr>
          <w:i/>
          <w:lang w:eastAsia="en-US"/>
        </w:rPr>
        <w:t>Warisan</w:t>
      </w:r>
      <w:proofErr w:type="spellEnd"/>
      <w:r w:rsidRPr="00D079BC">
        <w:rPr>
          <w:i/>
          <w:lang w:eastAsia="en-US"/>
        </w:rPr>
        <w:t xml:space="preserve"> Dari </w:t>
      </w:r>
      <w:proofErr w:type="spellStart"/>
      <w:r w:rsidRPr="00D079BC">
        <w:rPr>
          <w:i/>
          <w:lang w:eastAsia="en-US"/>
        </w:rPr>
        <w:t>Gunung</w:t>
      </w:r>
      <w:proofErr w:type="spellEnd"/>
      <w:r w:rsidRPr="00D079BC">
        <w:rPr>
          <w:lang w:eastAsia="en-US"/>
        </w:rPr>
        <w:t xml:space="preserve">. Penerbit USM. </w:t>
      </w:r>
    </w:p>
    <w:p w14:paraId="690D413F" w14:textId="6CC5C64E" w:rsidR="00D079BC" w:rsidRPr="00D079BC" w:rsidRDefault="00D079BC" w:rsidP="00D079BC">
      <w:pPr>
        <w:ind w:left="900" w:hanging="902"/>
        <w:jc w:val="both"/>
        <w:rPr>
          <w:lang w:eastAsia="en-US"/>
        </w:rPr>
      </w:pPr>
      <w:r w:rsidRPr="00D079BC">
        <w:rPr>
          <w:lang w:eastAsia="en-US"/>
        </w:rPr>
        <w:t xml:space="preserve">Watkins, S., &amp; Collins, A. (2024). From community engagement to community inclusion for socially and procedurally just flood risk governance. </w:t>
      </w:r>
      <w:r w:rsidRPr="00360B0D">
        <w:rPr>
          <w:i/>
          <w:iCs/>
          <w:lang w:eastAsia="en-US"/>
        </w:rPr>
        <w:t>Journal of Flood Risk Management</w:t>
      </w:r>
      <w:r w:rsidR="00360B0D" w:rsidRPr="00360B0D">
        <w:rPr>
          <w:i/>
          <w:iCs/>
          <w:lang w:eastAsia="en-US"/>
        </w:rPr>
        <w:t>, 18</w:t>
      </w:r>
      <w:r w:rsidR="00360B0D">
        <w:rPr>
          <w:lang w:eastAsia="en-US"/>
        </w:rPr>
        <w:t>(1), e13042.</w:t>
      </w:r>
      <w:r w:rsidRPr="00D079BC">
        <w:rPr>
          <w:lang w:eastAsia="en-US"/>
        </w:rPr>
        <w:t xml:space="preserve"> </w:t>
      </w:r>
    </w:p>
    <w:p w14:paraId="3C8D0300" w14:textId="30D28C71" w:rsidR="00D079BC" w:rsidRPr="00D079BC" w:rsidRDefault="00D079BC" w:rsidP="00D079BC">
      <w:pPr>
        <w:ind w:left="900" w:hanging="902"/>
        <w:jc w:val="both"/>
      </w:pPr>
      <w:r w:rsidRPr="00D079BC">
        <w:rPr>
          <w:lang w:eastAsia="en-US"/>
        </w:rPr>
        <w:t>World Bank. (2021). Floods. https://www.worldbank.org/en/topic/water/brief/floods</w:t>
      </w:r>
    </w:p>
    <w:p w14:paraId="08B8ED2C" w14:textId="0F28F1D7" w:rsidR="00D079BC" w:rsidRPr="00D079BC" w:rsidRDefault="00D079BC" w:rsidP="00D079BC">
      <w:pPr>
        <w:ind w:left="900" w:hanging="902"/>
        <w:jc w:val="both"/>
      </w:pPr>
      <w:r w:rsidRPr="00D079BC">
        <w:rPr>
          <w:lang w:eastAsia="en-US"/>
        </w:rPr>
        <w:t>World Health Organization (WHO). (2020). Floods. https://www.who.int/news-room/fact-sheets/detail/floods</w:t>
      </w:r>
    </w:p>
    <w:p w14:paraId="396F601D" w14:textId="77777777" w:rsidR="00D079BC" w:rsidRPr="00D079BC" w:rsidRDefault="00D079BC" w:rsidP="00D079BC">
      <w:pPr>
        <w:ind w:left="900" w:hanging="902"/>
        <w:jc w:val="both"/>
      </w:pPr>
      <w:r w:rsidRPr="00D079BC">
        <w:rPr>
          <w:lang w:eastAsia="en-US"/>
        </w:rPr>
        <w:t xml:space="preserve">Wu, Y., Wen, K., &amp; Zeng, Y. (2017). A comparative study on flood risk assessment using two-dimensional and one-dimensional hydraulic models. </w:t>
      </w:r>
      <w:r w:rsidRPr="00360B0D">
        <w:rPr>
          <w:i/>
          <w:lang w:eastAsia="en-US"/>
        </w:rPr>
        <w:t>Journal of Hydrology, 552</w:t>
      </w:r>
      <w:r w:rsidRPr="00D079BC">
        <w:rPr>
          <w:lang w:eastAsia="en-US"/>
        </w:rPr>
        <w:t>, 737-749.</w:t>
      </w:r>
    </w:p>
    <w:p w14:paraId="00C71C0B" w14:textId="77777777" w:rsidR="00D079BC" w:rsidRPr="00D079BC" w:rsidRDefault="00D079BC" w:rsidP="00D079BC">
      <w:pPr>
        <w:ind w:left="900" w:hanging="902"/>
        <w:jc w:val="both"/>
      </w:pPr>
      <w:r w:rsidRPr="00D079BC">
        <w:rPr>
          <w:lang w:eastAsia="en-US"/>
        </w:rPr>
        <w:t xml:space="preserve">Yin, J., Liu, Y., &amp; Qin, H. (2019). Flood risk assessment based on high-resolution hydraulic modelling and its uncertainty analysis. </w:t>
      </w:r>
      <w:r w:rsidRPr="00360B0D">
        <w:rPr>
          <w:i/>
          <w:lang w:eastAsia="en-US"/>
        </w:rPr>
        <w:t>Journal of Hydrology, 577</w:t>
      </w:r>
      <w:r w:rsidRPr="00D079BC">
        <w:rPr>
          <w:lang w:eastAsia="en-US"/>
        </w:rPr>
        <w:t>, 123963.</w:t>
      </w:r>
    </w:p>
    <w:p w14:paraId="718B8DDC" w14:textId="77777777" w:rsidR="00D079BC" w:rsidRPr="00D079BC" w:rsidRDefault="00D079BC" w:rsidP="00D079BC">
      <w:pPr>
        <w:ind w:left="900" w:hanging="902"/>
        <w:jc w:val="both"/>
      </w:pPr>
      <w:r w:rsidRPr="00D079BC">
        <w:rPr>
          <w:lang w:eastAsia="en-US"/>
        </w:rPr>
        <w:t xml:space="preserve">Yusoff, M. K., &amp; Abdullah, A. M. (2016). Flood disasters in Malaysia: Issues and challenges. </w:t>
      </w:r>
      <w:r w:rsidRPr="00360B0D">
        <w:rPr>
          <w:i/>
          <w:lang w:eastAsia="en-US"/>
        </w:rPr>
        <w:t>International Journal of Humanities and Social Science Invention, 5</w:t>
      </w:r>
      <w:r w:rsidRPr="00D079BC">
        <w:rPr>
          <w:lang w:eastAsia="en-US"/>
        </w:rPr>
        <w:t>(1), 1-6.</w:t>
      </w:r>
    </w:p>
    <w:p w14:paraId="11CE3626" w14:textId="77777777" w:rsidR="00D079BC" w:rsidRPr="00D079BC" w:rsidRDefault="00D079BC" w:rsidP="00D079BC">
      <w:pPr>
        <w:ind w:left="900" w:hanging="902"/>
        <w:jc w:val="both"/>
        <w:rPr>
          <w:lang w:eastAsia="en-US"/>
        </w:rPr>
      </w:pPr>
      <w:r w:rsidRPr="00D079BC">
        <w:rPr>
          <w:lang w:eastAsia="en-US"/>
        </w:rPr>
        <w:t xml:space="preserve">Zakaria, N. A., </w:t>
      </w:r>
      <w:proofErr w:type="spellStart"/>
      <w:r w:rsidRPr="00D079BC">
        <w:rPr>
          <w:lang w:eastAsia="en-US"/>
        </w:rPr>
        <w:t>Abustan</w:t>
      </w:r>
      <w:proofErr w:type="spellEnd"/>
      <w:r w:rsidRPr="00D079BC">
        <w:rPr>
          <w:lang w:eastAsia="en-US"/>
        </w:rPr>
        <w:t xml:space="preserve">, I., &amp; Ghani, A. A. (2013). Flood modeling for Kelantan River using </w:t>
      </w:r>
      <w:proofErr w:type="spellStart"/>
      <w:r w:rsidRPr="00D079BC">
        <w:rPr>
          <w:lang w:eastAsia="en-US"/>
        </w:rPr>
        <w:t>Infoworks</w:t>
      </w:r>
      <w:proofErr w:type="spellEnd"/>
      <w:r w:rsidRPr="00D079BC">
        <w:rPr>
          <w:lang w:eastAsia="en-US"/>
        </w:rPr>
        <w:t xml:space="preserve"> RS. </w:t>
      </w:r>
      <w:proofErr w:type="spellStart"/>
      <w:r w:rsidRPr="00360B0D">
        <w:rPr>
          <w:i/>
          <w:iCs/>
          <w:lang w:eastAsia="en-US"/>
        </w:rPr>
        <w:t>Jurnal</w:t>
      </w:r>
      <w:proofErr w:type="spellEnd"/>
      <w:r w:rsidRPr="00360B0D">
        <w:rPr>
          <w:i/>
          <w:iCs/>
          <w:lang w:eastAsia="en-US"/>
        </w:rPr>
        <w:t xml:space="preserve"> </w:t>
      </w:r>
      <w:proofErr w:type="spellStart"/>
      <w:r w:rsidRPr="00360B0D">
        <w:rPr>
          <w:i/>
          <w:iCs/>
          <w:lang w:eastAsia="en-US"/>
        </w:rPr>
        <w:t>Teknologi</w:t>
      </w:r>
      <w:proofErr w:type="spellEnd"/>
      <w:r w:rsidRPr="00360B0D">
        <w:rPr>
          <w:i/>
          <w:iCs/>
          <w:lang w:eastAsia="en-US"/>
        </w:rPr>
        <w:t>, 61</w:t>
      </w:r>
      <w:r w:rsidRPr="00D079BC">
        <w:rPr>
          <w:lang w:eastAsia="en-US"/>
        </w:rPr>
        <w:t>(3), 85-91.</w:t>
      </w:r>
    </w:p>
    <w:p w14:paraId="2F000D2C" w14:textId="77777777" w:rsidR="00D079BC" w:rsidRDefault="00D079BC" w:rsidP="00D079BC">
      <w:pPr>
        <w:ind w:left="900" w:hanging="902"/>
        <w:jc w:val="both"/>
        <w:rPr>
          <w:lang w:eastAsia="en-US"/>
        </w:rPr>
      </w:pPr>
      <w:proofErr w:type="spellStart"/>
      <w:r w:rsidRPr="00D079BC">
        <w:rPr>
          <w:lang w:eastAsia="en-US"/>
        </w:rPr>
        <w:lastRenderedPageBreak/>
        <w:t>Zulkafli</w:t>
      </w:r>
      <w:proofErr w:type="spellEnd"/>
      <w:r w:rsidRPr="00D079BC">
        <w:rPr>
          <w:lang w:eastAsia="en-US"/>
        </w:rPr>
        <w:t xml:space="preserve">, Z., </w:t>
      </w:r>
      <w:proofErr w:type="spellStart"/>
      <w:r w:rsidRPr="00D079BC">
        <w:rPr>
          <w:lang w:eastAsia="en-US"/>
        </w:rPr>
        <w:t>Buytaert</w:t>
      </w:r>
      <w:proofErr w:type="spellEnd"/>
      <w:r w:rsidRPr="00D079BC">
        <w:rPr>
          <w:lang w:eastAsia="en-US"/>
        </w:rPr>
        <w:t xml:space="preserve">, W., </w:t>
      </w:r>
      <w:proofErr w:type="spellStart"/>
      <w:r w:rsidRPr="00D079BC">
        <w:rPr>
          <w:lang w:eastAsia="en-US"/>
        </w:rPr>
        <w:t>Onof</w:t>
      </w:r>
      <w:proofErr w:type="spellEnd"/>
      <w:r w:rsidRPr="00D079BC">
        <w:rPr>
          <w:lang w:eastAsia="en-US"/>
        </w:rPr>
        <w:t xml:space="preserve">, C., &amp; Manz, B. (2014). Modelling the impacts of land use change on the flood hydrology of a monsoon catchment in East Malaysia. </w:t>
      </w:r>
      <w:r w:rsidRPr="00360B0D">
        <w:rPr>
          <w:i/>
          <w:lang w:eastAsia="en-US"/>
        </w:rPr>
        <w:t>Hydrology and Earth System Sciences, 18</w:t>
      </w:r>
      <w:r w:rsidRPr="00D079BC">
        <w:rPr>
          <w:lang w:eastAsia="en-US"/>
        </w:rPr>
        <w:t>(8), 3317-3331.</w:t>
      </w:r>
    </w:p>
    <w:p w14:paraId="089E057B" w14:textId="73A4D9E9" w:rsidR="007108E9" w:rsidRDefault="007108E9" w:rsidP="00D079BC">
      <w:pPr>
        <w:ind w:hanging="2"/>
      </w:pPr>
    </w:p>
    <w:sectPr w:rsidR="007108E9" w:rsidSect="00A63A5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58146" w14:textId="77777777" w:rsidR="00656296" w:rsidRDefault="00656296">
      <w:pPr>
        <w:ind w:hanging="2"/>
      </w:pPr>
      <w:r>
        <w:separator/>
      </w:r>
    </w:p>
  </w:endnote>
  <w:endnote w:type="continuationSeparator" w:id="0">
    <w:p w14:paraId="23C780BB" w14:textId="77777777" w:rsidR="00656296" w:rsidRDefault="00656296">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F8EF5" w14:textId="77777777" w:rsidR="00E97057" w:rsidRDefault="00E97057">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03B5B" w14:textId="77777777" w:rsidR="00E97057" w:rsidRDefault="00E97057">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6D8CF" w14:textId="77777777" w:rsidR="00E97057" w:rsidRDefault="00E97057">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5C791" w14:textId="77777777" w:rsidR="00656296" w:rsidRDefault="00656296">
      <w:pPr>
        <w:ind w:hanging="2"/>
      </w:pPr>
      <w:r>
        <w:separator/>
      </w:r>
    </w:p>
  </w:footnote>
  <w:footnote w:type="continuationSeparator" w:id="0">
    <w:p w14:paraId="559C81AB" w14:textId="77777777" w:rsidR="00656296" w:rsidRDefault="00656296">
      <w:pPr>
        <w:ind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3A3C1" w14:textId="77777777" w:rsidR="00E97057" w:rsidRDefault="00E97057">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65265" w14:textId="1B6A05B7" w:rsidR="00A63A52" w:rsidRPr="000E7141" w:rsidRDefault="00A63A52" w:rsidP="00A63A52">
    <w:pPr>
      <w:tabs>
        <w:tab w:val="center" w:pos="4680"/>
        <w:tab w:val="right" w:pos="9360"/>
      </w:tabs>
      <w:rPr>
        <w:sz w:val="18"/>
        <w:szCs w:val="18"/>
      </w:rPr>
    </w:pPr>
    <w:proofErr w:type="spellStart"/>
    <w:r w:rsidRPr="000E7141">
      <w:rPr>
        <w:sz w:val="18"/>
        <w:szCs w:val="18"/>
      </w:rPr>
      <w:t>Geografia</w:t>
    </w:r>
    <w:proofErr w:type="spellEnd"/>
    <w:r w:rsidRPr="000E7141">
      <w:rPr>
        <w:sz w:val="18"/>
        <w:szCs w:val="18"/>
      </w:rPr>
      <w:t>-Malaysian Journal of Society and Space 21 issue 1 (</w:t>
    </w:r>
    <w:r w:rsidR="00D97E58" w:rsidRPr="000E7141">
      <w:rPr>
        <w:sz w:val="18"/>
        <w:szCs w:val="18"/>
      </w:rPr>
      <w:t>1-17</w:t>
    </w:r>
    <w:r w:rsidRPr="000E7141">
      <w:rPr>
        <w:sz w:val="18"/>
        <w:szCs w:val="18"/>
      </w:rPr>
      <w:t>)</w:t>
    </w:r>
    <w:r w:rsidRPr="000E7141">
      <w:rPr>
        <w:sz w:val="18"/>
        <w:szCs w:val="18"/>
      </w:rPr>
      <w:tab/>
    </w:r>
  </w:p>
  <w:p w14:paraId="3955167B" w14:textId="5F7035F9" w:rsidR="00A63A52" w:rsidRPr="000E7141" w:rsidRDefault="00A63A52" w:rsidP="00A63A52">
    <w:pPr>
      <w:pStyle w:val="Header"/>
      <w:spacing w:after="0" w:line="240" w:lineRule="auto"/>
      <w:ind w:left="0" w:hanging="2"/>
      <w:rPr>
        <w:rFonts w:ascii="Times New Roman" w:hAnsi="Times New Roman"/>
        <w:sz w:val="18"/>
        <w:szCs w:val="18"/>
      </w:rPr>
    </w:pPr>
    <w:r w:rsidRPr="000E7141">
      <w:rPr>
        <w:rFonts w:ascii="Times New Roman" w:hAnsi="Times New Roman"/>
        <w:sz w:val="18"/>
        <w:szCs w:val="18"/>
      </w:rPr>
      <w:t xml:space="preserve">© 2025, e-ISSN 2682-7727  </w:t>
    </w:r>
    <w:hyperlink r:id="rId1" w:history="1">
      <w:r w:rsidRPr="000E7141">
        <w:rPr>
          <w:rStyle w:val="Hyperlink"/>
          <w:rFonts w:ascii="Times New Roman" w:hAnsi="Times New Roman"/>
          <w:color w:val="auto"/>
          <w:sz w:val="18"/>
          <w:szCs w:val="18"/>
          <w:u w:val="none"/>
        </w:rPr>
        <w:t>https://doi.org/10.17576/geo-2025-2101-01</w:t>
      </w:r>
    </w:hyperlink>
    <w:sdt>
      <w:sdtPr>
        <w:rPr>
          <w:rFonts w:ascii="Times New Roman" w:hAnsi="Times New Roman"/>
          <w:sz w:val="18"/>
          <w:szCs w:val="18"/>
        </w:rPr>
        <w:id w:val="810761167"/>
        <w:docPartObj>
          <w:docPartGallery w:val="Page Numbers (Top of Page)"/>
          <w:docPartUnique/>
        </w:docPartObj>
      </w:sdtPr>
      <w:sdtEndPr>
        <w:rPr>
          <w:noProof/>
        </w:rPr>
      </w:sdtEndPr>
      <w:sdtContent>
        <w:r w:rsidRPr="000E7141">
          <w:rPr>
            <w:rFonts w:ascii="Times New Roman" w:hAnsi="Times New Roman"/>
            <w:sz w:val="18"/>
            <w:szCs w:val="18"/>
          </w:rPr>
          <w:tab/>
        </w:r>
        <w:r w:rsidRPr="000E7141">
          <w:rPr>
            <w:rFonts w:ascii="Times New Roman" w:hAnsi="Times New Roman"/>
            <w:sz w:val="18"/>
            <w:szCs w:val="18"/>
          </w:rPr>
          <w:tab/>
        </w:r>
        <w:r w:rsidRPr="000E7141">
          <w:rPr>
            <w:rFonts w:ascii="Times New Roman" w:hAnsi="Times New Roman"/>
            <w:sz w:val="18"/>
            <w:szCs w:val="18"/>
          </w:rPr>
          <w:tab/>
        </w:r>
        <w:r w:rsidRPr="000E7141">
          <w:rPr>
            <w:rFonts w:ascii="Times New Roman" w:hAnsi="Times New Roman"/>
            <w:sz w:val="18"/>
            <w:szCs w:val="18"/>
          </w:rPr>
          <w:tab/>
          <w:t xml:space="preserve">         </w:t>
        </w:r>
        <w:r w:rsidR="00D97E58" w:rsidRPr="000E7141">
          <w:rPr>
            <w:rFonts w:ascii="Times New Roman" w:hAnsi="Times New Roman"/>
            <w:sz w:val="18"/>
            <w:szCs w:val="18"/>
          </w:rPr>
          <w:t xml:space="preserve">              </w:t>
        </w:r>
        <w:r w:rsidRPr="000E7141">
          <w:rPr>
            <w:rFonts w:ascii="Times New Roman" w:hAnsi="Times New Roman"/>
            <w:sz w:val="18"/>
            <w:szCs w:val="18"/>
          </w:rPr>
          <w:t xml:space="preserve">     </w:t>
        </w:r>
        <w:r w:rsidRPr="000E7141">
          <w:rPr>
            <w:rFonts w:ascii="Times New Roman" w:hAnsi="Times New Roman"/>
            <w:sz w:val="18"/>
            <w:szCs w:val="18"/>
          </w:rPr>
          <w:fldChar w:fldCharType="begin"/>
        </w:r>
        <w:r w:rsidRPr="000E7141">
          <w:rPr>
            <w:rFonts w:ascii="Times New Roman" w:hAnsi="Times New Roman"/>
            <w:sz w:val="18"/>
            <w:szCs w:val="18"/>
          </w:rPr>
          <w:instrText xml:space="preserve"> PAGE   \* MERGEFORMAT </w:instrText>
        </w:r>
        <w:r w:rsidRPr="000E7141">
          <w:rPr>
            <w:rFonts w:ascii="Times New Roman" w:hAnsi="Times New Roman"/>
            <w:sz w:val="18"/>
            <w:szCs w:val="18"/>
          </w:rPr>
          <w:fldChar w:fldCharType="separate"/>
        </w:r>
        <w:r w:rsidR="005A4A20">
          <w:rPr>
            <w:rFonts w:ascii="Times New Roman" w:hAnsi="Times New Roman"/>
            <w:noProof/>
            <w:sz w:val="18"/>
            <w:szCs w:val="18"/>
          </w:rPr>
          <w:t>17</w:t>
        </w:r>
        <w:r w:rsidRPr="000E7141">
          <w:rPr>
            <w:rFonts w:ascii="Times New Roman" w:hAnsi="Times New Roman"/>
            <w:noProof/>
            <w:sz w:val="18"/>
            <w:szCs w:val="18"/>
          </w:rPr>
          <w:fldChar w:fldCharType="end"/>
        </w:r>
      </w:sdtContent>
    </w:sdt>
  </w:p>
  <w:p w14:paraId="09501DE4" w14:textId="1CD1D7EB" w:rsidR="007108E9" w:rsidRPr="000E7141" w:rsidRDefault="007108E9" w:rsidP="00A63A52">
    <w:pPr>
      <w:tabs>
        <w:tab w:val="center" w:pos="4680"/>
        <w:tab w:val="right" w:pos="9360"/>
      </w:tabs>
      <w:rPr>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B045C" w14:textId="77777777" w:rsidR="00E97057" w:rsidRDefault="00E97057">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4338B9"/>
    <w:multiLevelType w:val="multilevel"/>
    <w:tmpl w:val="9146A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51768B"/>
    <w:multiLevelType w:val="multilevel"/>
    <w:tmpl w:val="130C0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8E9"/>
    <w:rsid w:val="0000575E"/>
    <w:rsid w:val="0000595A"/>
    <w:rsid w:val="00022A81"/>
    <w:rsid w:val="00044DBD"/>
    <w:rsid w:val="000E7141"/>
    <w:rsid w:val="00115402"/>
    <w:rsid w:val="0013492E"/>
    <w:rsid w:val="0013717F"/>
    <w:rsid w:val="001552D1"/>
    <w:rsid w:val="001B7D05"/>
    <w:rsid w:val="001D0799"/>
    <w:rsid w:val="001D35A6"/>
    <w:rsid w:val="001D6C0E"/>
    <w:rsid w:val="00247702"/>
    <w:rsid w:val="0025176F"/>
    <w:rsid w:val="00255919"/>
    <w:rsid w:val="00261D07"/>
    <w:rsid w:val="002631B8"/>
    <w:rsid w:val="00280118"/>
    <w:rsid w:val="002E49F5"/>
    <w:rsid w:val="002F51B9"/>
    <w:rsid w:val="00301B40"/>
    <w:rsid w:val="00332748"/>
    <w:rsid w:val="00333DDC"/>
    <w:rsid w:val="00360B0D"/>
    <w:rsid w:val="003752AA"/>
    <w:rsid w:val="003A2C19"/>
    <w:rsid w:val="003A7FA9"/>
    <w:rsid w:val="003D2649"/>
    <w:rsid w:val="003D75E4"/>
    <w:rsid w:val="003F669C"/>
    <w:rsid w:val="00442934"/>
    <w:rsid w:val="00446DC8"/>
    <w:rsid w:val="00476085"/>
    <w:rsid w:val="004A24B0"/>
    <w:rsid w:val="004A7513"/>
    <w:rsid w:val="004B7015"/>
    <w:rsid w:val="005141A8"/>
    <w:rsid w:val="00524C79"/>
    <w:rsid w:val="00560910"/>
    <w:rsid w:val="00594EF8"/>
    <w:rsid w:val="005A4A20"/>
    <w:rsid w:val="005C1994"/>
    <w:rsid w:val="005D5744"/>
    <w:rsid w:val="00656296"/>
    <w:rsid w:val="00670F13"/>
    <w:rsid w:val="00681992"/>
    <w:rsid w:val="006D20A5"/>
    <w:rsid w:val="006F0E6C"/>
    <w:rsid w:val="007108E9"/>
    <w:rsid w:val="00714C03"/>
    <w:rsid w:val="007B2BAA"/>
    <w:rsid w:val="007E081F"/>
    <w:rsid w:val="008449A1"/>
    <w:rsid w:val="008A6C6D"/>
    <w:rsid w:val="00902DEC"/>
    <w:rsid w:val="00920ED4"/>
    <w:rsid w:val="00946CEC"/>
    <w:rsid w:val="0095572F"/>
    <w:rsid w:val="00983A29"/>
    <w:rsid w:val="009C7A55"/>
    <w:rsid w:val="009D347C"/>
    <w:rsid w:val="009D572B"/>
    <w:rsid w:val="00A63A52"/>
    <w:rsid w:val="00AA1DFA"/>
    <w:rsid w:val="00AD075D"/>
    <w:rsid w:val="00B515FE"/>
    <w:rsid w:val="00B77E11"/>
    <w:rsid w:val="00BB5FDF"/>
    <w:rsid w:val="00BF605E"/>
    <w:rsid w:val="00C55DAE"/>
    <w:rsid w:val="00C77009"/>
    <w:rsid w:val="00CC2DA8"/>
    <w:rsid w:val="00CE61DA"/>
    <w:rsid w:val="00D079BC"/>
    <w:rsid w:val="00D11042"/>
    <w:rsid w:val="00D4377B"/>
    <w:rsid w:val="00D851A4"/>
    <w:rsid w:val="00D97E58"/>
    <w:rsid w:val="00DE4352"/>
    <w:rsid w:val="00DE6F4B"/>
    <w:rsid w:val="00DF0596"/>
    <w:rsid w:val="00E97057"/>
    <w:rsid w:val="00EA26A8"/>
    <w:rsid w:val="00EE1235"/>
    <w:rsid w:val="00F63F36"/>
    <w:rsid w:val="00F865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19C84"/>
  <w15:docId w15:val="{408140A5-AC06-BB42-B683-FF2007757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F4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uppressAutoHyphens/>
      <w:spacing w:before="240" w:line="276" w:lineRule="auto"/>
      <w:ind w:leftChars="-1" w:left="-1" w:hangingChars="1" w:hanging="1"/>
      <w:textDirection w:val="btLr"/>
      <w:textAlignment w:val="top"/>
      <w:outlineLvl w:val="0"/>
    </w:pPr>
    <w:rPr>
      <w:rFonts w:ascii="Cambria" w:eastAsia="SimSun" w:hAnsi="Cambria"/>
      <w:color w:val="365F91"/>
      <w:position w:val="-1"/>
      <w:sz w:val="32"/>
      <w:szCs w:val="32"/>
      <w:lang w:eastAsia="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uppressAutoHyphens/>
      <w:ind w:leftChars="-1" w:left="-1" w:hangingChars="1" w:hanging="1"/>
      <w:textDirection w:val="btLr"/>
      <w:textAlignment w:val="top"/>
      <w:outlineLvl w:val="0"/>
    </w:pPr>
    <w:rPr>
      <w:rFonts w:ascii="Tahoma" w:eastAsia="Calibri" w:hAnsi="Tahoma" w:cs="Tahoma"/>
      <w:position w:val="-1"/>
      <w:sz w:val="16"/>
      <w:szCs w:val="16"/>
      <w:lang w:eastAsia="en-US"/>
    </w:rPr>
  </w:style>
  <w:style w:type="paragraph" w:styleId="CommentText">
    <w:name w:val="annotation text"/>
    <w:basedOn w:val="Normal"/>
    <w:qFormat/>
    <w:pPr>
      <w:suppressAutoHyphens/>
      <w:spacing w:after="200"/>
      <w:ind w:leftChars="-1" w:left="-1" w:hangingChars="1" w:hanging="1"/>
      <w:textDirection w:val="btLr"/>
      <w:textAlignment w:val="top"/>
      <w:outlineLvl w:val="0"/>
    </w:pPr>
    <w:rPr>
      <w:rFonts w:ascii="Calibri" w:eastAsia="Calibri" w:hAnsi="Calibri"/>
      <w:position w:val="-1"/>
      <w:sz w:val="20"/>
      <w:szCs w:val="20"/>
      <w:lang w:eastAsia="en-US"/>
    </w:rPr>
  </w:style>
  <w:style w:type="paragraph" w:styleId="CommentSubject">
    <w:name w:val="annotation subject"/>
    <w:basedOn w:val="CommentText"/>
    <w:next w:val="CommentText"/>
    <w:qFormat/>
    <w:rPr>
      <w:b/>
      <w:bCs/>
    </w:rPr>
  </w:style>
  <w:style w:type="paragraph" w:styleId="EndnoteText">
    <w:name w:val="endnote text"/>
    <w:basedOn w:val="Normal"/>
    <w:qFormat/>
    <w:pPr>
      <w:suppressAutoHyphens/>
      <w:ind w:leftChars="-1" w:left="-1" w:hangingChars="1" w:hanging="1"/>
      <w:textDirection w:val="btLr"/>
      <w:textAlignment w:val="top"/>
      <w:outlineLvl w:val="0"/>
    </w:pPr>
    <w:rPr>
      <w:rFonts w:ascii="Calibri" w:eastAsia="Calibri" w:hAnsi="Calibri"/>
      <w:position w:val="-1"/>
      <w:sz w:val="20"/>
      <w:szCs w:val="20"/>
      <w:lang w:val="en-MY" w:eastAsia="en-US"/>
    </w:rPr>
  </w:style>
  <w:style w:type="paragraph" w:styleId="Footer">
    <w:name w:val="footer"/>
    <w:basedOn w:val="Normal"/>
    <w:qFormat/>
    <w:pPr>
      <w:suppressAutoHyphens/>
      <w:ind w:leftChars="-1" w:left="-1" w:hangingChars="1" w:hanging="1"/>
      <w:textDirection w:val="btLr"/>
      <w:textAlignment w:val="top"/>
      <w:outlineLvl w:val="0"/>
    </w:pPr>
    <w:rPr>
      <w:rFonts w:ascii="Calibri" w:eastAsia="Calibri" w:hAnsi="Calibri"/>
      <w:position w:val="-1"/>
      <w:sz w:val="22"/>
      <w:szCs w:val="22"/>
      <w:lang w:val="en-MY" w:eastAsia="en-US"/>
    </w:rPr>
  </w:style>
  <w:style w:type="paragraph" w:styleId="FootnoteText">
    <w:name w:val="footnote text"/>
    <w:basedOn w:val="Normal"/>
    <w:qFormat/>
    <w:pPr>
      <w:suppressAutoHyphens/>
      <w:spacing w:after="200" w:line="276" w:lineRule="auto"/>
      <w:ind w:leftChars="-1" w:left="-1" w:hangingChars="1" w:hanging="1"/>
      <w:textDirection w:val="btLr"/>
      <w:textAlignment w:val="top"/>
      <w:outlineLvl w:val="0"/>
    </w:pPr>
    <w:rPr>
      <w:rFonts w:ascii="Calibri" w:eastAsia="Calibri" w:hAnsi="Calibri"/>
      <w:position w:val="-1"/>
      <w:sz w:val="20"/>
      <w:szCs w:val="20"/>
      <w:lang w:eastAsia="en-US"/>
    </w:rPr>
  </w:style>
  <w:style w:type="paragraph" w:styleId="Header">
    <w:name w:val="header"/>
    <w:basedOn w:val="Normal"/>
    <w:uiPriority w:val="99"/>
    <w:qFormat/>
    <w:pPr>
      <w:suppressAutoHyphens/>
      <w:spacing w:after="200" w:line="276" w:lineRule="auto"/>
      <w:ind w:leftChars="-1" w:left="-1" w:hangingChars="1" w:hanging="1"/>
      <w:textDirection w:val="btLr"/>
      <w:textAlignment w:val="top"/>
      <w:outlineLvl w:val="0"/>
    </w:pPr>
    <w:rPr>
      <w:rFonts w:ascii="Calibri" w:eastAsia="Calibri" w:hAnsi="Calibri"/>
      <w:position w:val="-1"/>
      <w:sz w:val="22"/>
      <w:szCs w:val="22"/>
      <w:lang w:eastAsia="en-US"/>
    </w:rPr>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suppressAutoHyphens/>
      <w:spacing w:after="200" w:line="276" w:lineRule="auto"/>
      <w:ind w:leftChars="-1" w:left="720" w:hangingChars="1" w:hanging="1"/>
      <w:contextualSpacing/>
      <w:textDirection w:val="btLr"/>
      <w:textAlignment w:val="top"/>
      <w:outlineLvl w:val="0"/>
    </w:pPr>
    <w:rPr>
      <w:rFonts w:ascii="Calibri" w:eastAsia="Calibri" w:hAnsi="Calibri"/>
      <w:position w:val="-1"/>
      <w:sz w:val="22"/>
      <w:szCs w:val="22"/>
      <w:lang w:val="ms" w:eastAsia="en-U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pPr>
      <w:suppressAutoHyphens/>
      <w:spacing w:after="200" w:line="276" w:lineRule="auto"/>
      <w:ind w:leftChars="-1" w:left="-1" w:hangingChars="1" w:hanging="1"/>
      <w:textDirection w:val="btLr"/>
      <w:textAlignment w:val="top"/>
      <w:outlineLvl w:val="0"/>
    </w:pPr>
    <w:rPr>
      <w:rFonts w:ascii="Calibri" w:eastAsia="Calibri" w:hAnsi="Calibri"/>
      <w:position w:val="-1"/>
      <w:sz w:val="22"/>
      <w:szCs w:val="22"/>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uppressAutoHyphens/>
      <w:ind w:leftChars="-1" w:left="-1" w:hangingChars="1" w:hanging="1"/>
      <w:textDirection w:val="btLr"/>
      <w:textAlignment w:val="top"/>
      <w:outlineLvl w:val="0"/>
    </w:pPr>
    <w:rPr>
      <w:rFonts w:ascii="Courier New" w:hAnsi="Courier New" w:cs="Courier New"/>
      <w:position w:val="-1"/>
      <w:sz w:val="20"/>
      <w:szCs w:val="20"/>
      <w:lang w:eastAsia="en-US"/>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1D35A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7589">
      <w:bodyDiv w:val="1"/>
      <w:marLeft w:val="0"/>
      <w:marRight w:val="0"/>
      <w:marTop w:val="0"/>
      <w:marBottom w:val="0"/>
      <w:divBdr>
        <w:top w:val="none" w:sz="0" w:space="0" w:color="auto"/>
        <w:left w:val="none" w:sz="0" w:space="0" w:color="auto"/>
        <w:bottom w:val="none" w:sz="0" w:space="0" w:color="auto"/>
        <w:right w:val="none" w:sz="0" w:space="0" w:color="auto"/>
      </w:divBdr>
    </w:div>
    <w:div w:id="65032542">
      <w:bodyDiv w:val="1"/>
      <w:marLeft w:val="0"/>
      <w:marRight w:val="0"/>
      <w:marTop w:val="0"/>
      <w:marBottom w:val="0"/>
      <w:divBdr>
        <w:top w:val="none" w:sz="0" w:space="0" w:color="auto"/>
        <w:left w:val="none" w:sz="0" w:space="0" w:color="auto"/>
        <w:bottom w:val="none" w:sz="0" w:space="0" w:color="auto"/>
        <w:right w:val="none" w:sz="0" w:space="0" w:color="auto"/>
      </w:divBdr>
    </w:div>
    <w:div w:id="77362289">
      <w:bodyDiv w:val="1"/>
      <w:marLeft w:val="0"/>
      <w:marRight w:val="0"/>
      <w:marTop w:val="0"/>
      <w:marBottom w:val="0"/>
      <w:divBdr>
        <w:top w:val="none" w:sz="0" w:space="0" w:color="auto"/>
        <w:left w:val="none" w:sz="0" w:space="0" w:color="auto"/>
        <w:bottom w:val="none" w:sz="0" w:space="0" w:color="auto"/>
        <w:right w:val="none" w:sz="0" w:space="0" w:color="auto"/>
      </w:divBdr>
    </w:div>
    <w:div w:id="113059227">
      <w:bodyDiv w:val="1"/>
      <w:marLeft w:val="0"/>
      <w:marRight w:val="0"/>
      <w:marTop w:val="0"/>
      <w:marBottom w:val="0"/>
      <w:divBdr>
        <w:top w:val="none" w:sz="0" w:space="0" w:color="auto"/>
        <w:left w:val="none" w:sz="0" w:space="0" w:color="auto"/>
        <w:bottom w:val="none" w:sz="0" w:space="0" w:color="auto"/>
        <w:right w:val="none" w:sz="0" w:space="0" w:color="auto"/>
      </w:divBdr>
    </w:div>
    <w:div w:id="152993598">
      <w:bodyDiv w:val="1"/>
      <w:marLeft w:val="0"/>
      <w:marRight w:val="0"/>
      <w:marTop w:val="0"/>
      <w:marBottom w:val="0"/>
      <w:divBdr>
        <w:top w:val="none" w:sz="0" w:space="0" w:color="auto"/>
        <w:left w:val="none" w:sz="0" w:space="0" w:color="auto"/>
        <w:bottom w:val="none" w:sz="0" w:space="0" w:color="auto"/>
        <w:right w:val="none" w:sz="0" w:space="0" w:color="auto"/>
      </w:divBdr>
    </w:div>
    <w:div w:id="160506479">
      <w:bodyDiv w:val="1"/>
      <w:marLeft w:val="0"/>
      <w:marRight w:val="0"/>
      <w:marTop w:val="0"/>
      <w:marBottom w:val="0"/>
      <w:divBdr>
        <w:top w:val="none" w:sz="0" w:space="0" w:color="auto"/>
        <w:left w:val="none" w:sz="0" w:space="0" w:color="auto"/>
        <w:bottom w:val="none" w:sz="0" w:space="0" w:color="auto"/>
        <w:right w:val="none" w:sz="0" w:space="0" w:color="auto"/>
      </w:divBdr>
    </w:div>
    <w:div w:id="165286798">
      <w:bodyDiv w:val="1"/>
      <w:marLeft w:val="0"/>
      <w:marRight w:val="0"/>
      <w:marTop w:val="0"/>
      <w:marBottom w:val="0"/>
      <w:divBdr>
        <w:top w:val="none" w:sz="0" w:space="0" w:color="auto"/>
        <w:left w:val="none" w:sz="0" w:space="0" w:color="auto"/>
        <w:bottom w:val="none" w:sz="0" w:space="0" w:color="auto"/>
        <w:right w:val="none" w:sz="0" w:space="0" w:color="auto"/>
      </w:divBdr>
    </w:div>
    <w:div w:id="184515643">
      <w:bodyDiv w:val="1"/>
      <w:marLeft w:val="0"/>
      <w:marRight w:val="0"/>
      <w:marTop w:val="0"/>
      <w:marBottom w:val="0"/>
      <w:divBdr>
        <w:top w:val="none" w:sz="0" w:space="0" w:color="auto"/>
        <w:left w:val="none" w:sz="0" w:space="0" w:color="auto"/>
        <w:bottom w:val="none" w:sz="0" w:space="0" w:color="auto"/>
        <w:right w:val="none" w:sz="0" w:space="0" w:color="auto"/>
      </w:divBdr>
    </w:div>
    <w:div w:id="316349492">
      <w:bodyDiv w:val="1"/>
      <w:marLeft w:val="0"/>
      <w:marRight w:val="0"/>
      <w:marTop w:val="0"/>
      <w:marBottom w:val="0"/>
      <w:divBdr>
        <w:top w:val="none" w:sz="0" w:space="0" w:color="auto"/>
        <w:left w:val="none" w:sz="0" w:space="0" w:color="auto"/>
        <w:bottom w:val="none" w:sz="0" w:space="0" w:color="auto"/>
        <w:right w:val="none" w:sz="0" w:space="0" w:color="auto"/>
      </w:divBdr>
    </w:div>
    <w:div w:id="420104573">
      <w:bodyDiv w:val="1"/>
      <w:marLeft w:val="0"/>
      <w:marRight w:val="0"/>
      <w:marTop w:val="0"/>
      <w:marBottom w:val="0"/>
      <w:divBdr>
        <w:top w:val="none" w:sz="0" w:space="0" w:color="auto"/>
        <w:left w:val="none" w:sz="0" w:space="0" w:color="auto"/>
        <w:bottom w:val="none" w:sz="0" w:space="0" w:color="auto"/>
        <w:right w:val="none" w:sz="0" w:space="0" w:color="auto"/>
      </w:divBdr>
    </w:div>
    <w:div w:id="425465328">
      <w:bodyDiv w:val="1"/>
      <w:marLeft w:val="0"/>
      <w:marRight w:val="0"/>
      <w:marTop w:val="0"/>
      <w:marBottom w:val="0"/>
      <w:divBdr>
        <w:top w:val="none" w:sz="0" w:space="0" w:color="auto"/>
        <w:left w:val="none" w:sz="0" w:space="0" w:color="auto"/>
        <w:bottom w:val="none" w:sz="0" w:space="0" w:color="auto"/>
        <w:right w:val="none" w:sz="0" w:space="0" w:color="auto"/>
      </w:divBdr>
    </w:div>
    <w:div w:id="433676676">
      <w:bodyDiv w:val="1"/>
      <w:marLeft w:val="0"/>
      <w:marRight w:val="0"/>
      <w:marTop w:val="0"/>
      <w:marBottom w:val="0"/>
      <w:divBdr>
        <w:top w:val="none" w:sz="0" w:space="0" w:color="auto"/>
        <w:left w:val="none" w:sz="0" w:space="0" w:color="auto"/>
        <w:bottom w:val="none" w:sz="0" w:space="0" w:color="auto"/>
        <w:right w:val="none" w:sz="0" w:space="0" w:color="auto"/>
      </w:divBdr>
    </w:div>
    <w:div w:id="441539294">
      <w:bodyDiv w:val="1"/>
      <w:marLeft w:val="0"/>
      <w:marRight w:val="0"/>
      <w:marTop w:val="0"/>
      <w:marBottom w:val="0"/>
      <w:divBdr>
        <w:top w:val="none" w:sz="0" w:space="0" w:color="auto"/>
        <w:left w:val="none" w:sz="0" w:space="0" w:color="auto"/>
        <w:bottom w:val="none" w:sz="0" w:space="0" w:color="auto"/>
        <w:right w:val="none" w:sz="0" w:space="0" w:color="auto"/>
      </w:divBdr>
    </w:div>
    <w:div w:id="474027084">
      <w:bodyDiv w:val="1"/>
      <w:marLeft w:val="0"/>
      <w:marRight w:val="0"/>
      <w:marTop w:val="0"/>
      <w:marBottom w:val="0"/>
      <w:divBdr>
        <w:top w:val="none" w:sz="0" w:space="0" w:color="auto"/>
        <w:left w:val="none" w:sz="0" w:space="0" w:color="auto"/>
        <w:bottom w:val="none" w:sz="0" w:space="0" w:color="auto"/>
        <w:right w:val="none" w:sz="0" w:space="0" w:color="auto"/>
      </w:divBdr>
    </w:div>
    <w:div w:id="550844404">
      <w:bodyDiv w:val="1"/>
      <w:marLeft w:val="0"/>
      <w:marRight w:val="0"/>
      <w:marTop w:val="0"/>
      <w:marBottom w:val="0"/>
      <w:divBdr>
        <w:top w:val="none" w:sz="0" w:space="0" w:color="auto"/>
        <w:left w:val="none" w:sz="0" w:space="0" w:color="auto"/>
        <w:bottom w:val="none" w:sz="0" w:space="0" w:color="auto"/>
        <w:right w:val="none" w:sz="0" w:space="0" w:color="auto"/>
      </w:divBdr>
      <w:divsChild>
        <w:div w:id="436099423">
          <w:marLeft w:val="0"/>
          <w:marRight w:val="0"/>
          <w:marTop w:val="0"/>
          <w:marBottom w:val="0"/>
          <w:divBdr>
            <w:top w:val="single" w:sz="2" w:space="0" w:color="E4E6E8"/>
            <w:left w:val="single" w:sz="2" w:space="0" w:color="E4E6E8"/>
            <w:bottom w:val="single" w:sz="2" w:space="0" w:color="E4E6E8"/>
            <w:right w:val="single" w:sz="2" w:space="0" w:color="E4E6E8"/>
          </w:divBdr>
          <w:divsChild>
            <w:div w:id="251941321">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222527084">
          <w:marLeft w:val="0"/>
          <w:marRight w:val="0"/>
          <w:marTop w:val="0"/>
          <w:marBottom w:val="0"/>
          <w:divBdr>
            <w:top w:val="single" w:sz="2" w:space="0" w:color="E4E6E8"/>
            <w:left w:val="single" w:sz="2" w:space="0" w:color="E4E6E8"/>
            <w:bottom w:val="single" w:sz="2" w:space="0" w:color="E4E6E8"/>
            <w:right w:val="single" w:sz="2" w:space="0" w:color="E4E6E8"/>
          </w:divBdr>
          <w:divsChild>
            <w:div w:id="662858943">
              <w:marLeft w:val="0"/>
              <w:marRight w:val="0"/>
              <w:marTop w:val="0"/>
              <w:marBottom w:val="240"/>
              <w:divBdr>
                <w:top w:val="single" w:sz="2" w:space="0" w:color="E4E6E8"/>
                <w:left w:val="single" w:sz="2" w:space="0" w:color="E4E6E8"/>
                <w:bottom w:val="single" w:sz="2" w:space="0" w:color="E4E6E8"/>
                <w:right w:val="single" w:sz="2" w:space="0" w:color="E4E6E8"/>
              </w:divBdr>
            </w:div>
          </w:divsChild>
        </w:div>
      </w:divsChild>
    </w:div>
    <w:div w:id="579947654">
      <w:bodyDiv w:val="1"/>
      <w:marLeft w:val="0"/>
      <w:marRight w:val="0"/>
      <w:marTop w:val="0"/>
      <w:marBottom w:val="0"/>
      <w:divBdr>
        <w:top w:val="none" w:sz="0" w:space="0" w:color="auto"/>
        <w:left w:val="none" w:sz="0" w:space="0" w:color="auto"/>
        <w:bottom w:val="none" w:sz="0" w:space="0" w:color="auto"/>
        <w:right w:val="none" w:sz="0" w:space="0" w:color="auto"/>
      </w:divBdr>
    </w:div>
    <w:div w:id="580792133">
      <w:bodyDiv w:val="1"/>
      <w:marLeft w:val="0"/>
      <w:marRight w:val="0"/>
      <w:marTop w:val="0"/>
      <w:marBottom w:val="0"/>
      <w:divBdr>
        <w:top w:val="none" w:sz="0" w:space="0" w:color="auto"/>
        <w:left w:val="none" w:sz="0" w:space="0" w:color="auto"/>
        <w:bottom w:val="none" w:sz="0" w:space="0" w:color="auto"/>
        <w:right w:val="none" w:sz="0" w:space="0" w:color="auto"/>
      </w:divBdr>
      <w:divsChild>
        <w:div w:id="1265378968">
          <w:marLeft w:val="0"/>
          <w:marRight w:val="0"/>
          <w:marTop w:val="0"/>
          <w:marBottom w:val="0"/>
          <w:divBdr>
            <w:top w:val="none" w:sz="0" w:space="0" w:color="auto"/>
            <w:left w:val="none" w:sz="0" w:space="0" w:color="auto"/>
            <w:bottom w:val="none" w:sz="0" w:space="0" w:color="auto"/>
            <w:right w:val="none" w:sz="0" w:space="0" w:color="auto"/>
          </w:divBdr>
        </w:div>
      </w:divsChild>
    </w:div>
    <w:div w:id="640884972">
      <w:bodyDiv w:val="1"/>
      <w:marLeft w:val="0"/>
      <w:marRight w:val="0"/>
      <w:marTop w:val="0"/>
      <w:marBottom w:val="0"/>
      <w:divBdr>
        <w:top w:val="none" w:sz="0" w:space="0" w:color="auto"/>
        <w:left w:val="none" w:sz="0" w:space="0" w:color="auto"/>
        <w:bottom w:val="none" w:sz="0" w:space="0" w:color="auto"/>
        <w:right w:val="none" w:sz="0" w:space="0" w:color="auto"/>
      </w:divBdr>
    </w:div>
    <w:div w:id="703822689">
      <w:bodyDiv w:val="1"/>
      <w:marLeft w:val="0"/>
      <w:marRight w:val="0"/>
      <w:marTop w:val="0"/>
      <w:marBottom w:val="0"/>
      <w:divBdr>
        <w:top w:val="none" w:sz="0" w:space="0" w:color="auto"/>
        <w:left w:val="none" w:sz="0" w:space="0" w:color="auto"/>
        <w:bottom w:val="none" w:sz="0" w:space="0" w:color="auto"/>
        <w:right w:val="none" w:sz="0" w:space="0" w:color="auto"/>
      </w:divBdr>
    </w:div>
    <w:div w:id="742264213">
      <w:bodyDiv w:val="1"/>
      <w:marLeft w:val="0"/>
      <w:marRight w:val="0"/>
      <w:marTop w:val="0"/>
      <w:marBottom w:val="0"/>
      <w:divBdr>
        <w:top w:val="none" w:sz="0" w:space="0" w:color="auto"/>
        <w:left w:val="none" w:sz="0" w:space="0" w:color="auto"/>
        <w:bottom w:val="none" w:sz="0" w:space="0" w:color="auto"/>
        <w:right w:val="none" w:sz="0" w:space="0" w:color="auto"/>
      </w:divBdr>
    </w:div>
    <w:div w:id="749548608">
      <w:bodyDiv w:val="1"/>
      <w:marLeft w:val="0"/>
      <w:marRight w:val="0"/>
      <w:marTop w:val="0"/>
      <w:marBottom w:val="0"/>
      <w:divBdr>
        <w:top w:val="none" w:sz="0" w:space="0" w:color="auto"/>
        <w:left w:val="none" w:sz="0" w:space="0" w:color="auto"/>
        <w:bottom w:val="none" w:sz="0" w:space="0" w:color="auto"/>
        <w:right w:val="none" w:sz="0" w:space="0" w:color="auto"/>
      </w:divBdr>
      <w:divsChild>
        <w:div w:id="1298603495">
          <w:marLeft w:val="0"/>
          <w:marRight w:val="0"/>
          <w:marTop w:val="0"/>
          <w:marBottom w:val="0"/>
          <w:divBdr>
            <w:top w:val="none" w:sz="0" w:space="0" w:color="auto"/>
            <w:left w:val="none" w:sz="0" w:space="0" w:color="auto"/>
            <w:bottom w:val="none" w:sz="0" w:space="0" w:color="auto"/>
            <w:right w:val="none" w:sz="0" w:space="0" w:color="auto"/>
          </w:divBdr>
          <w:divsChild>
            <w:div w:id="266238409">
              <w:marLeft w:val="0"/>
              <w:marRight w:val="0"/>
              <w:marTop w:val="0"/>
              <w:marBottom w:val="0"/>
              <w:divBdr>
                <w:top w:val="none" w:sz="0" w:space="0" w:color="auto"/>
                <w:left w:val="none" w:sz="0" w:space="0" w:color="auto"/>
                <w:bottom w:val="none" w:sz="0" w:space="0" w:color="auto"/>
                <w:right w:val="none" w:sz="0" w:space="0" w:color="auto"/>
              </w:divBdr>
              <w:divsChild>
                <w:div w:id="492112860">
                  <w:marLeft w:val="0"/>
                  <w:marRight w:val="0"/>
                  <w:marTop w:val="0"/>
                  <w:marBottom w:val="0"/>
                  <w:divBdr>
                    <w:top w:val="none" w:sz="0" w:space="0" w:color="auto"/>
                    <w:left w:val="none" w:sz="0" w:space="0" w:color="auto"/>
                    <w:bottom w:val="none" w:sz="0" w:space="0" w:color="auto"/>
                    <w:right w:val="none" w:sz="0" w:space="0" w:color="auto"/>
                  </w:divBdr>
                  <w:divsChild>
                    <w:div w:id="1330015487">
                      <w:marLeft w:val="0"/>
                      <w:marRight w:val="0"/>
                      <w:marTop w:val="0"/>
                      <w:marBottom w:val="0"/>
                      <w:divBdr>
                        <w:top w:val="none" w:sz="0" w:space="0" w:color="auto"/>
                        <w:left w:val="none" w:sz="0" w:space="0" w:color="auto"/>
                        <w:bottom w:val="none" w:sz="0" w:space="0" w:color="auto"/>
                        <w:right w:val="none" w:sz="0" w:space="0" w:color="auto"/>
                      </w:divBdr>
                      <w:divsChild>
                        <w:div w:id="716391387">
                          <w:marLeft w:val="0"/>
                          <w:marRight w:val="0"/>
                          <w:marTop w:val="0"/>
                          <w:marBottom w:val="0"/>
                          <w:divBdr>
                            <w:top w:val="none" w:sz="0" w:space="0" w:color="auto"/>
                            <w:left w:val="none" w:sz="0" w:space="0" w:color="auto"/>
                            <w:bottom w:val="none" w:sz="0" w:space="0" w:color="auto"/>
                            <w:right w:val="none" w:sz="0" w:space="0" w:color="auto"/>
                          </w:divBdr>
                          <w:divsChild>
                            <w:div w:id="192888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035913">
      <w:bodyDiv w:val="1"/>
      <w:marLeft w:val="0"/>
      <w:marRight w:val="0"/>
      <w:marTop w:val="0"/>
      <w:marBottom w:val="0"/>
      <w:divBdr>
        <w:top w:val="none" w:sz="0" w:space="0" w:color="auto"/>
        <w:left w:val="none" w:sz="0" w:space="0" w:color="auto"/>
        <w:bottom w:val="none" w:sz="0" w:space="0" w:color="auto"/>
        <w:right w:val="none" w:sz="0" w:space="0" w:color="auto"/>
      </w:divBdr>
    </w:div>
    <w:div w:id="764499090">
      <w:bodyDiv w:val="1"/>
      <w:marLeft w:val="0"/>
      <w:marRight w:val="0"/>
      <w:marTop w:val="0"/>
      <w:marBottom w:val="0"/>
      <w:divBdr>
        <w:top w:val="none" w:sz="0" w:space="0" w:color="auto"/>
        <w:left w:val="none" w:sz="0" w:space="0" w:color="auto"/>
        <w:bottom w:val="none" w:sz="0" w:space="0" w:color="auto"/>
        <w:right w:val="none" w:sz="0" w:space="0" w:color="auto"/>
      </w:divBdr>
    </w:div>
    <w:div w:id="794830063">
      <w:bodyDiv w:val="1"/>
      <w:marLeft w:val="0"/>
      <w:marRight w:val="0"/>
      <w:marTop w:val="0"/>
      <w:marBottom w:val="0"/>
      <w:divBdr>
        <w:top w:val="none" w:sz="0" w:space="0" w:color="auto"/>
        <w:left w:val="none" w:sz="0" w:space="0" w:color="auto"/>
        <w:bottom w:val="none" w:sz="0" w:space="0" w:color="auto"/>
        <w:right w:val="none" w:sz="0" w:space="0" w:color="auto"/>
      </w:divBdr>
    </w:div>
    <w:div w:id="800540332">
      <w:bodyDiv w:val="1"/>
      <w:marLeft w:val="0"/>
      <w:marRight w:val="0"/>
      <w:marTop w:val="0"/>
      <w:marBottom w:val="0"/>
      <w:divBdr>
        <w:top w:val="none" w:sz="0" w:space="0" w:color="auto"/>
        <w:left w:val="none" w:sz="0" w:space="0" w:color="auto"/>
        <w:bottom w:val="none" w:sz="0" w:space="0" w:color="auto"/>
        <w:right w:val="none" w:sz="0" w:space="0" w:color="auto"/>
      </w:divBdr>
    </w:div>
    <w:div w:id="854272720">
      <w:bodyDiv w:val="1"/>
      <w:marLeft w:val="0"/>
      <w:marRight w:val="0"/>
      <w:marTop w:val="0"/>
      <w:marBottom w:val="0"/>
      <w:divBdr>
        <w:top w:val="none" w:sz="0" w:space="0" w:color="auto"/>
        <w:left w:val="none" w:sz="0" w:space="0" w:color="auto"/>
        <w:bottom w:val="none" w:sz="0" w:space="0" w:color="auto"/>
        <w:right w:val="none" w:sz="0" w:space="0" w:color="auto"/>
      </w:divBdr>
    </w:div>
    <w:div w:id="870530197">
      <w:bodyDiv w:val="1"/>
      <w:marLeft w:val="0"/>
      <w:marRight w:val="0"/>
      <w:marTop w:val="0"/>
      <w:marBottom w:val="0"/>
      <w:divBdr>
        <w:top w:val="none" w:sz="0" w:space="0" w:color="auto"/>
        <w:left w:val="none" w:sz="0" w:space="0" w:color="auto"/>
        <w:bottom w:val="none" w:sz="0" w:space="0" w:color="auto"/>
        <w:right w:val="none" w:sz="0" w:space="0" w:color="auto"/>
      </w:divBdr>
    </w:div>
    <w:div w:id="873466510">
      <w:bodyDiv w:val="1"/>
      <w:marLeft w:val="0"/>
      <w:marRight w:val="0"/>
      <w:marTop w:val="0"/>
      <w:marBottom w:val="0"/>
      <w:divBdr>
        <w:top w:val="none" w:sz="0" w:space="0" w:color="auto"/>
        <w:left w:val="none" w:sz="0" w:space="0" w:color="auto"/>
        <w:bottom w:val="none" w:sz="0" w:space="0" w:color="auto"/>
        <w:right w:val="none" w:sz="0" w:space="0" w:color="auto"/>
      </w:divBdr>
    </w:div>
    <w:div w:id="931817283">
      <w:bodyDiv w:val="1"/>
      <w:marLeft w:val="0"/>
      <w:marRight w:val="0"/>
      <w:marTop w:val="0"/>
      <w:marBottom w:val="0"/>
      <w:divBdr>
        <w:top w:val="none" w:sz="0" w:space="0" w:color="auto"/>
        <w:left w:val="none" w:sz="0" w:space="0" w:color="auto"/>
        <w:bottom w:val="none" w:sz="0" w:space="0" w:color="auto"/>
        <w:right w:val="none" w:sz="0" w:space="0" w:color="auto"/>
      </w:divBdr>
    </w:div>
    <w:div w:id="1057506962">
      <w:bodyDiv w:val="1"/>
      <w:marLeft w:val="0"/>
      <w:marRight w:val="0"/>
      <w:marTop w:val="0"/>
      <w:marBottom w:val="0"/>
      <w:divBdr>
        <w:top w:val="none" w:sz="0" w:space="0" w:color="auto"/>
        <w:left w:val="none" w:sz="0" w:space="0" w:color="auto"/>
        <w:bottom w:val="none" w:sz="0" w:space="0" w:color="auto"/>
        <w:right w:val="none" w:sz="0" w:space="0" w:color="auto"/>
      </w:divBdr>
    </w:div>
    <w:div w:id="1082071020">
      <w:bodyDiv w:val="1"/>
      <w:marLeft w:val="0"/>
      <w:marRight w:val="0"/>
      <w:marTop w:val="0"/>
      <w:marBottom w:val="0"/>
      <w:divBdr>
        <w:top w:val="none" w:sz="0" w:space="0" w:color="auto"/>
        <w:left w:val="none" w:sz="0" w:space="0" w:color="auto"/>
        <w:bottom w:val="none" w:sz="0" w:space="0" w:color="auto"/>
        <w:right w:val="none" w:sz="0" w:space="0" w:color="auto"/>
      </w:divBdr>
    </w:div>
    <w:div w:id="1091049437">
      <w:bodyDiv w:val="1"/>
      <w:marLeft w:val="0"/>
      <w:marRight w:val="0"/>
      <w:marTop w:val="0"/>
      <w:marBottom w:val="0"/>
      <w:divBdr>
        <w:top w:val="none" w:sz="0" w:space="0" w:color="auto"/>
        <w:left w:val="none" w:sz="0" w:space="0" w:color="auto"/>
        <w:bottom w:val="none" w:sz="0" w:space="0" w:color="auto"/>
        <w:right w:val="none" w:sz="0" w:space="0" w:color="auto"/>
      </w:divBdr>
    </w:div>
    <w:div w:id="1139226645">
      <w:bodyDiv w:val="1"/>
      <w:marLeft w:val="0"/>
      <w:marRight w:val="0"/>
      <w:marTop w:val="0"/>
      <w:marBottom w:val="0"/>
      <w:divBdr>
        <w:top w:val="none" w:sz="0" w:space="0" w:color="auto"/>
        <w:left w:val="none" w:sz="0" w:space="0" w:color="auto"/>
        <w:bottom w:val="none" w:sz="0" w:space="0" w:color="auto"/>
        <w:right w:val="none" w:sz="0" w:space="0" w:color="auto"/>
      </w:divBdr>
    </w:div>
    <w:div w:id="1174614896">
      <w:bodyDiv w:val="1"/>
      <w:marLeft w:val="0"/>
      <w:marRight w:val="0"/>
      <w:marTop w:val="0"/>
      <w:marBottom w:val="0"/>
      <w:divBdr>
        <w:top w:val="none" w:sz="0" w:space="0" w:color="auto"/>
        <w:left w:val="none" w:sz="0" w:space="0" w:color="auto"/>
        <w:bottom w:val="none" w:sz="0" w:space="0" w:color="auto"/>
        <w:right w:val="none" w:sz="0" w:space="0" w:color="auto"/>
      </w:divBdr>
    </w:div>
    <w:div w:id="1179543319">
      <w:bodyDiv w:val="1"/>
      <w:marLeft w:val="0"/>
      <w:marRight w:val="0"/>
      <w:marTop w:val="0"/>
      <w:marBottom w:val="0"/>
      <w:divBdr>
        <w:top w:val="none" w:sz="0" w:space="0" w:color="auto"/>
        <w:left w:val="none" w:sz="0" w:space="0" w:color="auto"/>
        <w:bottom w:val="none" w:sz="0" w:space="0" w:color="auto"/>
        <w:right w:val="none" w:sz="0" w:space="0" w:color="auto"/>
      </w:divBdr>
    </w:div>
    <w:div w:id="1185559003">
      <w:bodyDiv w:val="1"/>
      <w:marLeft w:val="0"/>
      <w:marRight w:val="0"/>
      <w:marTop w:val="0"/>
      <w:marBottom w:val="0"/>
      <w:divBdr>
        <w:top w:val="none" w:sz="0" w:space="0" w:color="auto"/>
        <w:left w:val="none" w:sz="0" w:space="0" w:color="auto"/>
        <w:bottom w:val="none" w:sz="0" w:space="0" w:color="auto"/>
        <w:right w:val="none" w:sz="0" w:space="0" w:color="auto"/>
      </w:divBdr>
    </w:div>
    <w:div w:id="1315446966">
      <w:bodyDiv w:val="1"/>
      <w:marLeft w:val="0"/>
      <w:marRight w:val="0"/>
      <w:marTop w:val="0"/>
      <w:marBottom w:val="0"/>
      <w:divBdr>
        <w:top w:val="none" w:sz="0" w:space="0" w:color="auto"/>
        <w:left w:val="none" w:sz="0" w:space="0" w:color="auto"/>
        <w:bottom w:val="none" w:sz="0" w:space="0" w:color="auto"/>
        <w:right w:val="none" w:sz="0" w:space="0" w:color="auto"/>
      </w:divBdr>
    </w:div>
    <w:div w:id="1352144393">
      <w:bodyDiv w:val="1"/>
      <w:marLeft w:val="0"/>
      <w:marRight w:val="0"/>
      <w:marTop w:val="0"/>
      <w:marBottom w:val="0"/>
      <w:divBdr>
        <w:top w:val="none" w:sz="0" w:space="0" w:color="auto"/>
        <w:left w:val="none" w:sz="0" w:space="0" w:color="auto"/>
        <w:bottom w:val="none" w:sz="0" w:space="0" w:color="auto"/>
        <w:right w:val="none" w:sz="0" w:space="0" w:color="auto"/>
      </w:divBdr>
    </w:div>
    <w:div w:id="1375738927">
      <w:bodyDiv w:val="1"/>
      <w:marLeft w:val="0"/>
      <w:marRight w:val="0"/>
      <w:marTop w:val="0"/>
      <w:marBottom w:val="0"/>
      <w:divBdr>
        <w:top w:val="none" w:sz="0" w:space="0" w:color="auto"/>
        <w:left w:val="none" w:sz="0" w:space="0" w:color="auto"/>
        <w:bottom w:val="none" w:sz="0" w:space="0" w:color="auto"/>
        <w:right w:val="none" w:sz="0" w:space="0" w:color="auto"/>
      </w:divBdr>
    </w:div>
    <w:div w:id="1405180154">
      <w:bodyDiv w:val="1"/>
      <w:marLeft w:val="0"/>
      <w:marRight w:val="0"/>
      <w:marTop w:val="0"/>
      <w:marBottom w:val="0"/>
      <w:divBdr>
        <w:top w:val="none" w:sz="0" w:space="0" w:color="auto"/>
        <w:left w:val="none" w:sz="0" w:space="0" w:color="auto"/>
        <w:bottom w:val="none" w:sz="0" w:space="0" w:color="auto"/>
        <w:right w:val="none" w:sz="0" w:space="0" w:color="auto"/>
      </w:divBdr>
    </w:div>
    <w:div w:id="1453355189">
      <w:bodyDiv w:val="1"/>
      <w:marLeft w:val="0"/>
      <w:marRight w:val="0"/>
      <w:marTop w:val="0"/>
      <w:marBottom w:val="0"/>
      <w:divBdr>
        <w:top w:val="none" w:sz="0" w:space="0" w:color="auto"/>
        <w:left w:val="none" w:sz="0" w:space="0" w:color="auto"/>
        <w:bottom w:val="none" w:sz="0" w:space="0" w:color="auto"/>
        <w:right w:val="none" w:sz="0" w:space="0" w:color="auto"/>
      </w:divBdr>
      <w:divsChild>
        <w:div w:id="278728421">
          <w:marLeft w:val="0"/>
          <w:marRight w:val="0"/>
          <w:marTop w:val="0"/>
          <w:marBottom w:val="0"/>
          <w:divBdr>
            <w:top w:val="none" w:sz="0" w:space="0" w:color="auto"/>
            <w:left w:val="none" w:sz="0" w:space="0" w:color="auto"/>
            <w:bottom w:val="none" w:sz="0" w:space="0" w:color="auto"/>
            <w:right w:val="none" w:sz="0" w:space="0" w:color="auto"/>
          </w:divBdr>
        </w:div>
        <w:div w:id="2084863922">
          <w:marLeft w:val="0"/>
          <w:marRight w:val="0"/>
          <w:marTop w:val="0"/>
          <w:marBottom w:val="0"/>
          <w:divBdr>
            <w:top w:val="none" w:sz="0" w:space="0" w:color="auto"/>
            <w:left w:val="none" w:sz="0" w:space="0" w:color="auto"/>
            <w:bottom w:val="none" w:sz="0" w:space="0" w:color="auto"/>
            <w:right w:val="none" w:sz="0" w:space="0" w:color="auto"/>
          </w:divBdr>
        </w:div>
        <w:div w:id="1847401169">
          <w:marLeft w:val="0"/>
          <w:marRight w:val="0"/>
          <w:marTop w:val="0"/>
          <w:marBottom w:val="0"/>
          <w:divBdr>
            <w:top w:val="none" w:sz="0" w:space="0" w:color="auto"/>
            <w:left w:val="none" w:sz="0" w:space="0" w:color="auto"/>
            <w:bottom w:val="none" w:sz="0" w:space="0" w:color="auto"/>
            <w:right w:val="none" w:sz="0" w:space="0" w:color="auto"/>
          </w:divBdr>
        </w:div>
      </w:divsChild>
    </w:div>
    <w:div w:id="1455053396">
      <w:bodyDiv w:val="1"/>
      <w:marLeft w:val="0"/>
      <w:marRight w:val="0"/>
      <w:marTop w:val="0"/>
      <w:marBottom w:val="0"/>
      <w:divBdr>
        <w:top w:val="none" w:sz="0" w:space="0" w:color="auto"/>
        <w:left w:val="none" w:sz="0" w:space="0" w:color="auto"/>
        <w:bottom w:val="none" w:sz="0" w:space="0" w:color="auto"/>
        <w:right w:val="none" w:sz="0" w:space="0" w:color="auto"/>
      </w:divBdr>
    </w:div>
    <w:div w:id="1485733747">
      <w:bodyDiv w:val="1"/>
      <w:marLeft w:val="0"/>
      <w:marRight w:val="0"/>
      <w:marTop w:val="0"/>
      <w:marBottom w:val="0"/>
      <w:divBdr>
        <w:top w:val="none" w:sz="0" w:space="0" w:color="auto"/>
        <w:left w:val="none" w:sz="0" w:space="0" w:color="auto"/>
        <w:bottom w:val="none" w:sz="0" w:space="0" w:color="auto"/>
        <w:right w:val="none" w:sz="0" w:space="0" w:color="auto"/>
      </w:divBdr>
    </w:div>
    <w:div w:id="1515071848">
      <w:bodyDiv w:val="1"/>
      <w:marLeft w:val="0"/>
      <w:marRight w:val="0"/>
      <w:marTop w:val="0"/>
      <w:marBottom w:val="0"/>
      <w:divBdr>
        <w:top w:val="none" w:sz="0" w:space="0" w:color="auto"/>
        <w:left w:val="none" w:sz="0" w:space="0" w:color="auto"/>
        <w:bottom w:val="none" w:sz="0" w:space="0" w:color="auto"/>
        <w:right w:val="none" w:sz="0" w:space="0" w:color="auto"/>
      </w:divBdr>
    </w:div>
    <w:div w:id="1517695957">
      <w:bodyDiv w:val="1"/>
      <w:marLeft w:val="0"/>
      <w:marRight w:val="0"/>
      <w:marTop w:val="0"/>
      <w:marBottom w:val="0"/>
      <w:divBdr>
        <w:top w:val="none" w:sz="0" w:space="0" w:color="auto"/>
        <w:left w:val="none" w:sz="0" w:space="0" w:color="auto"/>
        <w:bottom w:val="none" w:sz="0" w:space="0" w:color="auto"/>
        <w:right w:val="none" w:sz="0" w:space="0" w:color="auto"/>
      </w:divBdr>
    </w:div>
    <w:div w:id="1522085428">
      <w:bodyDiv w:val="1"/>
      <w:marLeft w:val="0"/>
      <w:marRight w:val="0"/>
      <w:marTop w:val="0"/>
      <w:marBottom w:val="0"/>
      <w:divBdr>
        <w:top w:val="none" w:sz="0" w:space="0" w:color="auto"/>
        <w:left w:val="none" w:sz="0" w:space="0" w:color="auto"/>
        <w:bottom w:val="none" w:sz="0" w:space="0" w:color="auto"/>
        <w:right w:val="none" w:sz="0" w:space="0" w:color="auto"/>
      </w:divBdr>
    </w:div>
    <w:div w:id="1546721656">
      <w:bodyDiv w:val="1"/>
      <w:marLeft w:val="0"/>
      <w:marRight w:val="0"/>
      <w:marTop w:val="0"/>
      <w:marBottom w:val="0"/>
      <w:divBdr>
        <w:top w:val="none" w:sz="0" w:space="0" w:color="auto"/>
        <w:left w:val="none" w:sz="0" w:space="0" w:color="auto"/>
        <w:bottom w:val="none" w:sz="0" w:space="0" w:color="auto"/>
        <w:right w:val="none" w:sz="0" w:space="0" w:color="auto"/>
      </w:divBdr>
    </w:div>
    <w:div w:id="1657609558">
      <w:bodyDiv w:val="1"/>
      <w:marLeft w:val="0"/>
      <w:marRight w:val="0"/>
      <w:marTop w:val="0"/>
      <w:marBottom w:val="0"/>
      <w:divBdr>
        <w:top w:val="none" w:sz="0" w:space="0" w:color="auto"/>
        <w:left w:val="none" w:sz="0" w:space="0" w:color="auto"/>
        <w:bottom w:val="none" w:sz="0" w:space="0" w:color="auto"/>
        <w:right w:val="none" w:sz="0" w:space="0" w:color="auto"/>
      </w:divBdr>
    </w:div>
    <w:div w:id="1668825593">
      <w:bodyDiv w:val="1"/>
      <w:marLeft w:val="0"/>
      <w:marRight w:val="0"/>
      <w:marTop w:val="0"/>
      <w:marBottom w:val="0"/>
      <w:divBdr>
        <w:top w:val="none" w:sz="0" w:space="0" w:color="auto"/>
        <w:left w:val="none" w:sz="0" w:space="0" w:color="auto"/>
        <w:bottom w:val="none" w:sz="0" w:space="0" w:color="auto"/>
        <w:right w:val="none" w:sz="0" w:space="0" w:color="auto"/>
      </w:divBdr>
    </w:div>
    <w:div w:id="1677532284">
      <w:bodyDiv w:val="1"/>
      <w:marLeft w:val="0"/>
      <w:marRight w:val="0"/>
      <w:marTop w:val="0"/>
      <w:marBottom w:val="0"/>
      <w:divBdr>
        <w:top w:val="none" w:sz="0" w:space="0" w:color="auto"/>
        <w:left w:val="none" w:sz="0" w:space="0" w:color="auto"/>
        <w:bottom w:val="none" w:sz="0" w:space="0" w:color="auto"/>
        <w:right w:val="none" w:sz="0" w:space="0" w:color="auto"/>
      </w:divBdr>
    </w:div>
    <w:div w:id="1727801946">
      <w:bodyDiv w:val="1"/>
      <w:marLeft w:val="0"/>
      <w:marRight w:val="0"/>
      <w:marTop w:val="0"/>
      <w:marBottom w:val="0"/>
      <w:divBdr>
        <w:top w:val="none" w:sz="0" w:space="0" w:color="auto"/>
        <w:left w:val="none" w:sz="0" w:space="0" w:color="auto"/>
        <w:bottom w:val="none" w:sz="0" w:space="0" w:color="auto"/>
        <w:right w:val="none" w:sz="0" w:space="0" w:color="auto"/>
      </w:divBdr>
    </w:div>
    <w:div w:id="1747727909">
      <w:bodyDiv w:val="1"/>
      <w:marLeft w:val="0"/>
      <w:marRight w:val="0"/>
      <w:marTop w:val="0"/>
      <w:marBottom w:val="0"/>
      <w:divBdr>
        <w:top w:val="none" w:sz="0" w:space="0" w:color="auto"/>
        <w:left w:val="none" w:sz="0" w:space="0" w:color="auto"/>
        <w:bottom w:val="none" w:sz="0" w:space="0" w:color="auto"/>
        <w:right w:val="none" w:sz="0" w:space="0" w:color="auto"/>
      </w:divBdr>
    </w:div>
    <w:div w:id="1758670390">
      <w:bodyDiv w:val="1"/>
      <w:marLeft w:val="0"/>
      <w:marRight w:val="0"/>
      <w:marTop w:val="0"/>
      <w:marBottom w:val="0"/>
      <w:divBdr>
        <w:top w:val="none" w:sz="0" w:space="0" w:color="auto"/>
        <w:left w:val="none" w:sz="0" w:space="0" w:color="auto"/>
        <w:bottom w:val="none" w:sz="0" w:space="0" w:color="auto"/>
        <w:right w:val="none" w:sz="0" w:space="0" w:color="auto"/>
      </w:divBdr>
    </w:div>
    <w:div w:id="1762027907">
      <w:bodyDiv w:val="1"/>
      <w:marLeft w:val="0"/>
      <w:marRight w:val="0"/>
      <w:marTop w:val="0"/>
      <w:marBottom w:val="0"/>
      <w:divBdr>
        <w:top w:val="none" w:sz="0" w:space="0" w:color="auto"/>
        <w:left w:val="none" w:sz="0" w:space="0" w:color="auto"/>
        <w:bottom w:val="none" w:sz="0" w:space="0" w:color="auto"/>
        <w:right w:val="none" w:sz="0" w:space="0" w:color="auto"/>
      </w:divBdr>
    </w:div>
    <w:div w:id="1832595344">
      <w:bodyDiv w:val="1"/>
      <w:marLeft w:val="0"/>
      <w:marRight w:val="0"/>
      <w:marTop w:val="0"/>
      <w:marBottom w:val="0"/>
      <w:divBdr>
        <w:top w:val="none" w:sz="0" w:space="0" w:color="auto"/>
        <w:left w:val="none" w:sz="0" w:space="0" w:color="auto"/>
        <w:bottom w:val="none" w:sz="0" w:space="0" w:color="auto"/>
        <w:right w:val="none" w:sz="0" w:space="0" w:color="auto"/>
      </w:divBdr>
    </w:div>
    <w:div w:id="1879967191">
      <w:bodyDiv w:val="1"/>
      <w:marLeft w:val="0"/>
      <w:marRight w:val="0"/>
      <w:marTop w:val="0"/>
      <w:marBottom w:val="0"/>
      <w:divBdr>
        <w:top w:val="none" w:sz="0" w:space="0" w:color="auto"/>
        <w:left w:val="none" w:sz="0" w:space="0" w:color="auto"/>
        <w:bottom w:val="none" w:sz="0" w:space="0" w:color="auto"/>
        <w:right w:val="none" w:sz="0" w:space="0" w:color="auto"/>
      </w:divBdr>
    </w:div>
    <w:div w:id="1923639320">
      <w:bodyDiv w:val="1"/>
      <w:marLeft w:val="0"/>
      <w:marRight w:val="0"/>
      <w:marTop w:val="0"/>
      <w:marBottom w:val="0"/>
      <w:divBdr>
        <w:top w:val="none" w:sz="0" w:space="0" w:color="auto"/>
        <w:left w:val="none" w:sz="0" w:space="0" w:color="auto"/>
        <w:bottom w:val="none" w:sz="0" w:space="0" w:color="auto"/>
        <w:right w:val="none" w:sz="0" w:space="0" w:color="auto"/>
      </w:divBdr>
    </w:div>
    <w:div w:id="1931546251">
      <w:bodyDiv w:val="1"/>
      <w:marLeft w:val="0"/>
      <w:marRight w:val="0"/>
      <w:marTop w:val="0"/>
      <w:marBottom w:val="0"/>
      <w:divBdr>
        <w:top w:val="none" w:sz="0" w:space="0" w:color="auto"/>
        <w:left w:val="none" w:sz="0" w:space="0" w:color="auto"/>
        <w:bottom w:val="none" w:sz="0" w:space="0" w:color="auto"/>
        <w:right w:val="none" w:sz="0" w:space="0" w:color="auto"/>
      </w:divBdr>
    </w:div>
    <w:div w:id="1948272095">
      <w:bodyDiv w:val="1"/>
      <w:marLeft w:val="0"/>
      <w:marRight w:val="0"/>
      <w:marTop w:val="0"/>
      <w:marBottom w:val="0"/>
      <w:divBdr>
        <w:top w:val="none" w:sz="0" w:space="0" w:color="auto"/>
        <w:left w:val="none" w:sz="0" w:space="0" w:color="auto"/>
        <w:bottom w:val="none" w:sz="0" w:space="0" w:color="auto"/>
        <w:right w:val="none" w:sz="0" w:space="0" w:color="auto"/>
      </w:divBdr>
    </w:div>
    <w:div w:id="1965304597">
      <w:bodyDiv w:val="1"/>
      <w:marLeft w:val="0"/>
      <w:marRight w:val="0"/>
      <w:marTop w:val="0"/>
      <w:marBottom w:val="0"/>
      <w:divBdr>
        <w:top w:val="none" w:sz="0" w:space="0" w:color="auto"/>
        <w:left w:val="none" w:sz="0" w:space="0" w:color="auto"/>
        <w:bottom w:val="none" w:sz="0" w:space="0" w:color="auto"/>
        <w:right w:val="none" w:sz="0" w:space="0" w:color="auto"/>
      </w:divBdr>
    </w:div>
    <w:div w:id="1981962544">
      <w:bodyDiv w:val="1"/>
      <w:marLeft w:val="0"/>
      <w:marRight w:val="0"/>
      <w:marTop w:val="0"/>
      <w:marBottom w:val="0"/>
      <w:divBdr>
        <w:top w:val="none" w:sz="0" w:space="0" w:color="auto"/>
        <w:left w:val="none" w:sz="0" w:space="0" w:color="auto"/>
        <w:bottom w:val="none" w:sz="0" w:space="0" w:color="auto"/>
        <w:right w:val="none" w:sz="0" w:space="0" w:color="auto"/>
      </w:divBdr>
    </w:div>
    <w:div w:id="2003315650">
      <w:bodyDiv w:val="1"/>
      <w:marLeft w:val="0"/>
      <w:marRight w:val="0"/>
      <w:marTop w:val="0"/>
      <w:marBottom w:val="0"/>
      <w:divBdr>
        <w:top w:val="none" w:sz="0" w:space="0" w:color="auto"/>
        <w:left w:val="none" w:sz="0" w:space="0" w:color="auto"/>
        <w:bottom w:val="none" w:sz="0" w:space="0" w:color="auto"/>
        <w:right w:val="none" w:sz="0" w:space="0" w:color="auto"/>
      </w:divBdr>
    </w:div>
    <w:div w:id="2041123765">
      <w:bodyDiv w:val="1"/>
      <w:marLeft w:val="0"/>
      <w:marRight w:val="0"/>
      <w:marTop w:val="0"/>
      <w:marBottom w:val="0"/>
      <w:divBdr>
        <w:top w:val="none" w:sz="0" w:space="0" w:color="auto"/>
        <w:left w:val="none" w:sz="0" w:space="0" w:color="auto"/>
        <w:bottom w:val="none" w:sz="0" w:space="0" w:color="auto"/>
        <w:right w:val="none" w:sz="0" w:space="0" w:color="auto"/>
      </w:divBdr>
    </w:div>
    <w:div w:id="2069765510">
      <w:bodyDiv w:val="1"/>
      <w:marLeft w:val="0"/>
      <w:marRight w:val="0"/>
      <w:marTop w:val="0"/>
      <w:marBottom w:val="0"/>
      <w:divBdr>
        <w:top w:val="none" w:sz="0" w:space="0" w:color="auto"/>
        <w:left w:val="none" w:sz="0" w:space="0" w:color="auto"/>
        <w:bottom w:val="none" w:sz="0" w:space="0" w:color="auto"/>
        <w:right w:val="none" w:sz="0" w:space="0" w:color="auto"/>
      </w:divBdr>
    </w:div>
    <w:div w:id="2085445901">
      <w:bodyDiv w:val="1"/>
      <w:marLeft w:val="0"/>
      <w:marRight w:val="0"/>
      <w:marTop w:val="0"/>
      <w:marBottom w:val="0"/>
      <w:divBdr>
        <w:top w:val="none" w:sz="0" w:space="0" w:color="auto"/>
        <w:left w:val="none" w:sz="0" w:space="0" w:color="auto"/>
        <w:bottom w:val="none" w:sz="0" w:space="0" w:color="auto"/>
        <w:right w:val="none" w:sz="0" w:space="0" w:color="auto"/>
      </w:divBdr>
    </w:div>
    <w:div w:id="2130975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1-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6239</Words>
  <Characters>35564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12</cp:revision>
  <dcterms:created xsi:type="dcterms:W3CDTF">2025-02-13T07:31:00Z</dcterms:created>
  <dcterms:modified xsi:type="dcterms:W3CDTF">2025-02-13T07:53:00Z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