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9B1" w:rsidRDefault="005F43F7">
      <w:pPr>
        <w:pBdr>
          <w:top w:val="nil"/>
          <w:left w:val="nil"/>
          <w:bottom w:val="nil"/>
          <w:right w:val="nil"/>
          <w:between w:val="nil"/>
        </w:pBdr>
        <w:spacing w:after="0" w:line="240" w:lineRule="auto"/>
        <w:ind w:left="4" w:firstLine="0"/>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Exploring tourist perceptions of royal arts, culture and heritage in Kuala </w:t>
      </w:r>
      <w:proofErr w:type="spellStart"/>
      <w:r>
        <w:rPr>
          <w:rFonts w:ascii="Times New Roman" w:eastAsia="Times New Roman" w:hAnsi="Times New Roman" w:cs="Times New Roman"/>
          <w:b/>
          <w:sz w:val="28"/>
          <w:szCs w:val="28"/>
        </w:rPr>
        <w:t>Kangsar</w:t>
      </w:r>
      <w:proofErr w:type="spellEnd"/>
      <w:r>
        <w:rPr>
          <w:rFonts w:ascii="Times New Roman" w:eastAsia="Times New Roman" w:hAnsi="Times New Roman" w:cs="Times New Roman"/>
          <w:b/>
          <w:sz w:val="28"/>
          <w:szCs w:val="28"/>
        </w:rPr>
        <w:t>, Perak</w:t>
      </w:r>
    </w:p>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vertAlign w:val="superscript"/>
        </w:rPr>
      </w:pPr>
      <w:proofErr w:type="spellStart"/>
      <w:r>
        <w:rPr>
          <w:rFonts w:ascii="Times New Roman" w:eastAsia="Times New Roman" w:hAnsi="Times New Roman" w:cs="Times New Roman"/>
          <w:sz w:val="24"/>
          <w:szCs w:val="24"/>
        </w:rPr>
        <w:t>Zurina</w:t>
      </w:r>
      <w:proofErr w:type="spellEnd"/>
      <w:r>
        <w:rPr>
          <w:rFonts w:ascii="Times New Roman" w:eastAsia="Times New Roman" w:hAnsi="Times New Roman" w:cs="Times New Roman"/>
          <w:sz w:val="24"/>
          <w:szCs w:val="24"/>
        </w:rPr>
        <w:t xml:space="preserve"> Ahmad </w:t>
      </w:r>
      <w:proofErr w:type="spellStart"/>
      <w:r>
        <w:rPr>
          <w:rFonts w:ascii="Times New Roman" w:eastAsia="Times New Roman" w:hAnsi="Times New Roman" w:cs="Times New Roman"/>
          <w:sz w:val="24"/>
          <w:szCs w:val="24"/>
        </w:rPr>
        <w:t>Saidi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sz w:val="24"/>
          <w:szCs w:val="24"/>
        </w:rPr>
        <w:t>Zurinah</w:t>
      </w:r>
      <w:proofErr w:type="spellEnd"/>
      <w:r>
        <w:rPr>
          <w:rFonts w:ascii="Times New Roman" w:eastAsia="Times New Roman" w:hAnsi="Times New Roman" w:cs="Times New Roman"/>
          <w:sz w:val="24"/>
          <w:szCs w:val="24"/>
        </w:rPr>
        <w:t xml:space="preserve"> Tahir</w:t>
      </w:r>
    </w:p>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highlight w:val="white"/>
        </w:rPr>
        <w:t>Centre for Social, Environmental and Developmental Studies, UKM</w:t>
      </w:r>
    </w:p>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Correspondence: </w:t>
      </w:r>
      <w:proofErr w:type="spellStart"/>
      <w:r>
        <w:rPr>
          <w:rFonts w:ascii="Times New Roman" w:eastAsia="Times New Roman" w:hAnsi="Times New Roman" w:cs="Times New Roman"/>
          <w:sz w:val="24"/>
          <w:szCs w:val="24"/>
        </w:rPr>
        <w:t>Zurinah</w:t>
      </w:r>
      <w:proofErr w:type="spellEnd"/>
      <w:r>
        <w:rPr>
          <w:rFonts w:ascii="Times New Roman" w:eastAsia="Times New Roman" w:hAnsi="Times New Roman" w:cs="Times New Roman"/>
          <w:sz w:val="24"/>
          <w:szCs w:val="24"/>
        </w:rPr>
        <w:t xml:space="preserve"> Tahir (email: </w:t>
      </w:r>
      <w:r>
        <w:rPr>
          <w:rFonts w:ascii="Times New Roman" w:eastAsia="Times New Roman" w:hAnsi="Times New Roman" w:cs="Times New Roman"/>
          <w:color w:val="000000"/>
          <w:sz w:val="24"/>
          <w:szCs w:val="24"/>
        </w:rPr>
        <w:t>zurinahtahir@ukm.edu.my)</w:t>
      </w:r>
    </w:p>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sz w:val="24"/>
          <w:szCs w:val="24"/>
        </w:rPr>
      </w:pPr>
    </w:p>
    <w:p w:rsidR="00A809B1" w:rsidRDefault="005F43F7">
      <w:pPr>
        <w:spacing w:after="0"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Received: 19 September 2024; Accep</w:t>
      </w:r>
      <w:r w:rsidR="00B07B67">
        <w:rPr>
          <w:rFonts w:ascii="Times New Roman" w:eastAsia="Times New Roman" w:hAnsi="Times New Roman" w:cs="Times New Roman"/>
          <w:sz w:val="24"/>
          <w:szCs w:val="24"/>
        </w:rPr>
        <w:t>ted: 12 June 2025; Published: 20</w:t>
      </w:r>
      <w:r>
        <w:rPr>
          <w:rFonts w:ascii="Times New Roman" w:eastAsia="Times New Roman" w:hAnsi="Times New Roman" w:cs="Times New Roman"/>
          <w:sz w:val="24"/>
          <w:szCs w:val="24"/>
        </w:rPr>
        <w:t xml:space="preserve"> August 2025</w:t>
      </w:r>
    </w:p>
    <w:p w:rsidR="00A809B1" w:rsidRDefault="00A809B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A809B1" w:rsidRDefault="00A809B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rsidR="00A809B1" w:rsidRDefault="00A809B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Royal tourism, an emerging niche in cultural tourism, offers unique opportunities for heritage preservation and economic growth, particularly in royal towns like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Perak. This study aims 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explore</w:t>
      </w:r>
      <w:r>
        <w:rPr>
          <w:rFonts w:ascii="Times New Roman" w:eastAsia="Times New Roman" w:hAnsi="Times New Roman" w:cs="Times New Roman"/>
          <w:color w:val="000000"/>
          <w:sz w:val="24"/>
          <w:szCs w:val="24"/>
        </w:rPr>
        <w:t xml:space="preserve"> tourist perceptions of Royal arts, culture and heritage </w:t>
      </w:r>
      <w:r>
        <w:rPr>
          <w:rFonts w:ascii="Times New Roman" w:eastAsia="Times New Roman" w:hAnsi="Times New Roman" w:cs="Times New Roman"/>
          <w:sz w:val="24"/>
          <w:szCs w:val="24"/>
        </w:rPr>
        <w:t>in the Royal</w:t>
      </w:r>
      <w:r>
        <w:rPr>
          <w:rFonts w:ascii="Times New Roman" w:eastAsia="Times New Roman" w:hAnsi="Times New Roman" w:cs="Times New Roman"/>
          <w:color w:val="000000"/>
          <w:sz w:val="24"/>
          <w:szCs w:val="24"/>
        </w:rPr>
        <w:t xml:space="preserve"> Town of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Perak. </w:t>
      </w:r>
      <w:r>
        <w:rPr>
          <w:rFonts w:ascii="Times New Roman" w:eastAsia="Times New Roman" w:hAnsi="Times New Roman" w:cs="Times New Roman"/>
          <w:sz w:val="24"/>
          <w:szCs w:val="24"/>
        </w:rPr>
        <w:t xml:space="preserve">Guided by the Experience Economy framework, the research employed a quantitative survey involving 500 domestic tourists, selected using purposive random sampling. Data were collected through structured questionnaires and supported by documentary analysis of government and tourism-related sources. Descriptive statistics, ANOVA and regression analysis were applied to explore patterns in tourist perceptions and experiences. Findings reveal that while tourists highly value the uniqueness and cultural richness of royal heritage elements such as the Royal Museum, Istana </w:t>
      </w:r>
      <w:proofErr w:type="spellStart"/>
      <w:r>
        <w:rPr>
          <w:rFonts w:ascii="Times New Roman" w:eastAsia="Times New Roman" w:hAnsi="Times New Roman" w:cs="Times New Roman"/>
          <w:sz w:val="24"/>
          <w:szCs w:val="24"/>
        </w:rPr>
        <w:t>Iskandariah</w:t>
      </w:r>
      <w:proofErr w:type="spellEnd"/>
      <w:r>
        <w:rPr>
          <w:rFonts w:ascii="Times New Roman" w:eastAsia="Times New Roman" w:hAnsi="Times New Roman" w:cs="Times New Roman"/>
          <w:sz w:val="24"/>
          <w:szCs w:val="24"/>
        </w:rPr>
        <w:t xml:space="preserve"> and traditional crafts, statistical analysis indicates that royal culture does not significantly predict the overall tourist experience (p &gt; 0.05). This suggests a perceptual appreciation that may not directly translate into experiential satisfaction, indicating a possible gap between cultural presence and tourism engagement. The study contributes to the tourism literature by highlighting the nuanced role of royal heritage in shaping tourism experiences and identifying potential gaps in heritage presentation and tourist interaction. It offers practical implications for policymakers and tourism stakeholders in enhancing interpretive strategies, experiential design and promotional efforts for royal towns in Malaysia.</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Arts and culture, cultural heritage, domestic,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royal tourism, royal town, tourist perception</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A809B1" w:rsidRDefault="005F43F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Introduction </w:t>
      </w:r>
    </w:p>
    <w:p w:rsidR="00A809B1" w:rsidRDefault="00A809B1">
      <w:pPr>
        <w:spacing w:after="0" w:line="240" w:lineRule="auto"/>
        <w:ind w:firstLine="0"/>
        <w:jc w:val="both"/>
        <w:rPr>
          <w:rFonts w:ascii="Times New Roman" w:eastAsia="Times New Roman" w:hAnsi="Times New Roman" w:cs="Times New Roman"/>
          <w:b/>
          <w:color w:val="000000"/>
          <w:sz w:val="24"/>
          <w:szCs w:val="24"/>
        </w:rPr>
      </w:pPr>
    </w:p>
    <w:p w:rsidR="00A809B1" w:rsidRDefault="005F43F7">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recent decades, cultural and heritage tourism has emerged as a significant driver of the global tourism industry. Among its diverse segments, royal tourism a niche form of cultural tourism centered on monarchy-related heritage and traditions has gained increasing attention. Royal </w:t>
      </w:r>
      <w:proofErr w:type="spellStart"/>
      <w:r>
        <w:rPr>
          <w:rFonts w:ascii="Times New Roman" w:eastAsia="Times New Roman" w:hAnsi="Times New Roman" w:cs="Times New Roman"/>
          <w:color w:val="000000"/>
          <w:sz w:val="24"/>
          <w:szCs w:val="24"/>
        </w:rPr>
        <w:t>toursim</w:t>
      </w:r>
      <w:proofErr w:type="spellEnd"/>
      <w:r>
        <w:rPr>
          <w:rFonts w:ascii="Times New Roman" w:eastAsia="Times New Roman" w:hAnsi="Times New Roman" w:cs="Times New Roman"/>
          <w:color w:val="000000"/>
          <w:sz w:val="24"/>
          <w:szCs w:val="24"/>
        </w:rPr>
        <w:t xml:space="preserve"> involves the exploration of royal </w:t>
      </w:r>
      <w:proofErr w:type="spellStart"/>
      <w:r>
        <w:rPr>
          <w:rFonts w:ascii="Times New Roman" w:eastAsia="Times New Roman" w:hAnsi="Times New Roman" w:cs="Times New Roman"/>
          <w:color w:val="000000"/>
          <w:sz w:val="24"/>
          <w:szCs w:val="24"/>
        </w:rPr>
        <w:t>placaes</w:t>
      </w:r>
      <w:proofErr w:type="spellEnd"/>
      <w:r>
        <w:rPr>
          <w:rFonts w:ascii="Times New Roman" w:eastAsia="Times New Roman" w:hAnsi="Times New Roman" w:cs="Times New Roman"/>
          <w:color w:val="000000"/>
          <w:sz w:val="24"/>
          <w:szCs w:val="24"/>
        </w:rPr>
        <w:t xml:space="preserve">, regalia, rituals, architecture and cultural practices associated with monarchy and </w:t>
      </w:r>
      <w:proofErr w:type="spellStart"/>
      <w:r>
        <w:rPr>
          <w:rFonts w:ascii="Times New Roman" w:eastAsia="Times New Roman" w:hAnsi="Times New Roman" w:cs="Times New Roman"/>
          <w:color w:val="000000"/>
          <w:sz w:val="24"/>
          <w:szCs w:val="24"/>
        </w:rPr>
        <w:t>aristocrary</w:t>
      </w:r>
      <w:proofErr w:type="spellEnd"/>
      <w:r>
        <w:rPr>
          <w:rFonts w:ascii="Times New Roman" w:eastAsia="Times New Roman" w:hAnsi="Times New Roman" w:cs="Times New Roman"/>
          <w:color w:val="000000"/>
          <w:sz w:val="24"/>
          <w:szCs w:val="24"/>
        </w:rPr>
        <w:t xml:space="preserve">. As part of broader cultural </w:t>
      </w:r>
      <w:proofErr w:type="spellStart"/>
      <w:r>
        <w:rPr>
          <w:rFonts w:ascii="Times New Roman" w:eastAsia="Times New Roman" w:hAnsi="Times New Roman" w:cs="Times New Roman"/>
          <w:color w:val="000000"/>
          <w:sz w:val="24"/>
          <w:szCs w:val="24"/>
        </w:rPr>
        <w:t>toursim</w:t>
      </w:r>
      <w:proofErr w:type="spellEnd"/>
      <w:r>
        <w:rPr>
          <w:rFonts w:ascii="Times New Roman" w:eastAsia="Times New Roman" w:hAnsi="Times New Roman" w:cs="Times New Roman"/>
          <w:color w:val="000000"/>
          <w:sz w:val="24"/>
          <w:szCs w:val="24"/>
        </w:rPr>
        <w:t xml:space="preserve">, it offers immersive experiences linked to national identity, legacy and authenticity. </w:t>
      </w:r>
    </w:p>
    <w:p w:rsidR="00A809B1" w:rsidRDefault="005F43F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Southeast Asia, countries such as Thailand, Brunei, Cambodia and Indonesia have successfully promoted royal tourism through their historical palaces, royal ceremonies and </w:t>
      </w:r>
      <w:r>
        <w:rPr>
          <w:rFonts w:ascii="Times New Roman" w:eastAsia="Times New Roman" w:hAnsi="Times New Roman" w:cs="Times New Roman"/>
          <w:color w:val="000000"/>
          <w:sz w:val="24"/>
          <w:szCs w:val="24"/>
        </w:rPr>
        <w:lastRenderedPageBreak/>
        <w:t xml:space="preserve">preservation of regal traditions. In Malaysia, royal heritage plays a vital role in shaping national cultural identity, given the country’s unique system of constitutional monarchy across nine Malay states. However, this potential remains underexplored within Malaysia’s tourism development strategies. </w:t>
      </w:r>
    </w:p>
    <w:p w:rsidR="00A809B1" w:rsidRDefault="005F43F7">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located in the state of Perak, is officially recognized as Malaysia’s Royal Town. It holds historical significance as the administrative and ceremonial seat of the Perak Sultanate. The town is home to prominent royal landmarks such as the </w:t>
      </w:r>
      <w:proofErr w:type="spellStart"/>
      <w:r>
        <w:rPr>
          <w:rFonts w:ascii="Times New Roman" w:eastAsia="Times New Roman" w:hAnsi="Times New Roman" w:cs="Times New Roman"/>
          <w:color w:val="000000"/>
          <w:sz w:val="24"/>
          <w:szCs w:val="24"/>
        </w:rPr>
        <w:t>Ubudiah</w:t>
      </w:r>
      <w:proofErr w:type="spellEnd"/>
      <w:r>
        <w:rPr>
          <w:rFonts w:ascii="Times New Roman" w:eastAsia="Times New Roman" w:hAnsi="Times New Roman" w:cs="Times New Roman"/>
          <w:color w:val="000000"/>
          <w:sz w:val="24"/>
          <w:szCs w:val="24"/>
        </w:rPr>
        <w:t xml:space="preserve"> Mosque, </w:t>
      </w:r>
      <w:proofErr w:type="spellStart"/>
      <w:r>
        <w:rPr>
          <w:rFonts w:ascii="Times New Roman" w:eastAsia="Times New Roman" w:hAnsi="Times New Roman" w:cs="Times New Roman"/>
          <w:color w:val="000000"/>
          <w:sz w:val="24"/>
          <w:szCs w:val="24"/>
        </w:rPr>
        <w:t>istana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Iskandariah</w:t>
      </w:r>
      <w:proofErr w:type="spellEnd"/>
      <w:r>
        <w:rPr>
          <w:rFonts w:ascii="Times New Roman" w:eastAsia="Times New Roman" w:hAnsi="Times New Roman" w:cs="Times New Roman"/>
          <w:color w:val="000000"/>
          <w:sz w:val="24"/>
          <w:szCs w:val="24"/>
        </w:rPr>
        <w:t xml:space="preserve"> and the Royal Museum (formerly Istana </w:t>
      </w:r>
      <w:proofErr w:type="spellStart"/>
      <w:r>
        <w:rPr>
          <w:rFonts w:ascii="Times New Roman" w:eastAsia="Times New Roman" w:hAnsi="Times New Roman" w:cs="Times New Roman"/>
          <w:color w:val="000000"/>
          <w:sz w:val="24"/>
          <w:szCs w:val="24"/>
        </w:rPr>
        <w:t>Kenangan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K</w:t>
      </w:r>
      <w:r>
        <w:rPr>
          <w:rFonts w:ascii="Times New Roman" w:eastAsia="Times New Roman" w:hAnsi="Times New Roman" w:cs="Times New Roman"/>
          <w:color w:val="000000"/>
          <w:sz w:val="24"/>
          <w:szCs w:val="24"/>
        </w:rPr>
        <w:t xml:space="preserve">uala </w:t>
      </w:r>
      <w:proofErr w:type="spellStart"/>
      <w:r>
        <w:rPr>
          <w:rFonts w:ascii="Times New Roman" w:eastAsia="Times New Roman" w:hAnsi="Times New Roman" w:cs="Times New Roman"/>
          <w:color w:val="000000"/>
          <w:sz w:val="24"/>
          <w:szCs w:val="24"/>
        </w:rPr>
        <w:t>Kangsar's</w:t>
      </w:r>
      <w:proofErr w:type="spellEnd"/>
      <w:r>
        <w:rPr>
          <w:rFonts w:ascii="Times New Roman" w:eastAsia="Times New Roman" w:hAnsi="Times New Roman" w:cs="Times New Roman"/>
          <w:color w:val="000000"/>
          <w:sz w:val="24"/>
          <w:szCs w:val="24"/>
        </w:rPr>
        <w:t xml:space="preserve"> association with royal culture dates back to the late 19th century, when it was established as the official royal residence. Its rich royal heritage, traditional crafts (e.g., </w:t>
      </w:r>
      <w:proofErr w:type="spellStart"/>
      <w:r>
        <w:rPr>
          <w:rFonts w:ascii="Times New Roman" w:eastAsia="Times New Roman" w:hAnsi="Times New Roman" w:cs="Times New Roman"/>
          <w:color w:val="000000"/>
          <w:sz w:val="24"/>
          <w:szCs w:val="24"/>
        </w:rPr>
        <w:t>tekat</w:t>
      </w:r>
      <w:proofErr w:type="spellEnd"/>
      <w:r>
        <w:rPr>
          <w:rFonts w:ascii="Times New Roman" w:eastAsia="Times New Roman" w:hAnsi="Times New Roman" w:cs="Times New Roman"/>
          <w:color w:val="000000"/>
          <w:sz w:val="24"/>
          <w:szCs w:val="24"/>
        </w:rPr>
        <w:t xml:space="preserve"> embroidery, </w:t>
      </w:r>
      <w:proofErr w:type="spellStart"/>
      <w:r>
        <w:rPr>
          <w:rFonts w:ascii="Times New Roman" w:eastAsia="Times New Roman" w:hAnsi="Times New Roman" w:cs="Times New Roman"/>
          <w:color w:val="000000"/>
          <w:sz w:val="24"/>
          <w:szCs w:val="24"/>
        </w:rPr>
        <w:t>keris</w:t>
      </w:r>
      <w:proofErr w:type="spellEnd"/>
      <w:r>
        <w:rPr>
          <w:rFonts w:ascii="Times New Roman" w:eastAsia="Times New Roman" w:hAnsi="Times New Roman" w:cs="Times New Roman"/>
          <w:color w:val="000000"/>
          <w:sz w:val="24"/>
          <w:szCs w:val="24"/>
        </w:rPr>
        <w:t xml:space="preserve">-making) and regal architecture position it as a prime candidate for the development of royal tourism. Despite its cultural richness,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has not yet fully capitalized on its royal tourism potential. There is limited empirical research assessing the role of royal heritage in shaping tourist experiences and destination appeal. This study, therefore, investigates how royal cultural elements influence tourists’ perceptions and experiences in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It aims to provide data-driven insights to enhance tourism development strategies in royal towns across Malaysia.</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sz w:val="24"/>
          <w:szCs w:val="24"/>
        </w:rPr>
        <w:t>The arts, culture and heritage of a city are highly complex, encompassing all human-made elements passed down through generations. Cultural arts are not limited to historical or past cultural products but also include contemporary culture, whether traditional or modern ways of life. Cultural arts represent a set of items classified as offerings that can be experienced during tourism activities. Culture-based tourism involves participation in any activity or experience that is not limited in scope.</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tourism can be defined as the act of visiting a place of attraction, particularly a tourist destination, which classifies an individual as a cultural tourist. Consequently, any activity undertaken within this context is considered cultural tourism (</w:t>
      </w:r>
      <w:proofErr w:type="spellStart"/>
      <w:r>
        <w:rPr>
          <w:rFonts w:ascii="Times New Roman" w:eastAsia="Times New Roman" w:hAnsi="Times New Roman" w:cs="Times New Roman"/>
          <w:sz w:val="24"/>
          <w:szCs w:val="24"/>
        </w:rPr>
        <w:t>McKercher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Cros</w:t>
      </w:r>
      <w:proofErr w:type="spellEnd"/>
      <w:r>
        <w:rPr>
          <w:rFonts w:ascii="Times New Roman" w:eastAsia="Times New Roman" w:hAnsi="Times New Roman" w:cs="Times New Roman"/>
          <w:sz w:val="24"/>
          <w:szCs w:val="24"/>
        </w:rPr>
        <w:t>, 2002; Cohen, 2001; Smith, 2006; Robinson, 1976). Cultural tourism can be divided into five categories: ethnic, cultural, historical, environmental and recreational. Culture, in this sense, refers to tourism activities that embody or symbolize the cultural elements that attract tourists. These attractions include performances, local community lifestyles, food and beverages, heritage, architecture, antique handicrafts and enterprises, as well as the distinctive hospitality extended to tourists, particularly tourists. These attractions collectively represent the way of life of the local community (Smith, 1977).</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Zakaria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Ang</w:t>
      </w:r>
      <w:proofErr w:type="spellEnd"/>
      <w:r>
        <w:rPr>
          <w:rFonts w:ascii="Times New Roman" w:eastAsia="Times New Roman" w:hAnsi="Times New Roman" w:cs="Times New Roman"/>
          <w:sz w:val="24"/>
          <w:szCs w:val="24"/>
        </w:rPr>
        <w:t xml:space="preserve"> (2022), the cultural aspects of tourism in Malaysia comprise a diverse community of various ethnicities, heritage and long-standing traditions of a society. Cultural products, which include historical, ethnic, artistic and museum aspects, are used to reinforce the image of that culture. All these aspects serve to emphasize the term "culture" and to highlight its unique selling points.</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tourism in a Royal town includes archaeological sites, monuments, museums, indigenous and traditional cultures, Royal institutions, education, religion and politics. Traditional cultural aspects cover programs and festivals, handicrafts, artistic creations, heritage and the local community's customs and way of life. Therefore, cultural tourism is characterized by the participation and activities of tourists, as well as the cultural products offered by tourism destinations classified as cultural.</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Tangible and intangible cultural heritage each have their own advantages for development. According to </w:t>
      </w:r>
      <w:proofErr w:type="spellStart"/>
      <w:r>
        <w:rPr>
          <w:rFonts w:ascii="Times New Roman" w:eastAsia="Times New Roman" w:hAnsi="Times New Roman" w:cs="Times New Roman"/>
          <w:sz w:val="24"/>
          <w:szCs w:val="24"/>
        </w:rPr>
        <w:t>Samsudin</w:t>
      </w:r>
      <w:proofErr w:type="spellEnd"/>
      <w:r>
        <w:rPr>
          <w:rFonts w:ascii="Times New Roman" w:eastAsia="Times New Roman" w:hAnsi="Times New Roman" w:cs="Times New Roman"/>
          <w:sz w:val="24"/>
          <w:szCs w:val="24"/>
        </w:rPr>
        <w:t xml:space="preserve"> and Mohamad (2013), tangible heritage is easier to preserve or reconstruct because it consists of buildings or monuments from the past. Despite being centuries old, these </w:t>
      </w:r>
      <w:r>
        <w:rPr>
          <w:rFonts w:ascii="Times New Roman" w:eastAsia="Times New Roman" w:hAnsi="Times New Roman" w:cs="Times New Roman"/>
          <w:sz w:val="24"/>
          <w:szCs w:val="24"/>
        </w:rPr>
        <w:lastRenderedPageBreak/>
        <w:t>monuments can still be redeveloped as they remain intact and can be preserved. Developing cultural and historical heritage requires the collaboration of experts, including historians, architects, cultural figures and archaeologists.</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cultural heritage, community involvement is essential to preservation, as these practices are passed down through generations (Borg et al., 1996). However, culture faces extinction as societies renew and adapt their ways of life over time. The Ministry of Information, Communication and Culture Malaysia recognizes two categories of heritage, considering the need for physical/spatial aspects and making slight adjustments for heritage preservation. The two main categories are tangible and intangible heritage.</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Intangible heritage encompasses socio-cultural elements that are difficult to express in physical form because they are non-static, such as language/dialects, personal adornment and clothing. This includes any form of expression, language, dialect, proverbs, music, lyrics, songs, oral traditions, poetry, music, dance, as produced through performing arts, theater performances, sound and music composition, martial arts, which have existed or exist in relation to Malaysian heritage or any part of Malaysia, or in relation to the heritage of Malaysian society (Act 645).</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w:t>
      </w:r>
      <w:proofErr w:type="spellStart"/>
      <w:r>
        <w:rPr>
          <w:rFonts w:ascii="Times New Roman" w:eastAsia="Times New Roman" w:hAnsi="Times New Roman" w:cs="Times New Roman"/>
          <w:sz w:val="24"/>
          <w:szCs w:val="24"/>
        </w:rPr>
        <w:t>Roders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Oers</w:t>
      </w:r>
      <w:proofErr w:type="spellEnd"/>
      <w:r>
        <w:rPr>
          <w:rFonts w:ascii="Times New Roman" w:eastAsia="Times New Roman" w:hAnsi="Times New Roman" w:cs="Times New Roman"/>
          <w:sz w:val="24"/>
          <w:szCs w:val="24"/>
        </w:rPr>
        <w:t xml:space="preserve"> (2011) explain that intangible heritage can contribute to sustainable development and play a role in various layers of society and identity. This is due to the consideration of oral traditions and expressions, language, performing arts, social practices, rituals, and festive events. It encompasses knowledge and practices concerning nature and the universe, culinary arts and traditional craftsmanship. Intangible heritage also represents past manifestations that are recorded and documented for the advancement and continuity of creativity in cultural diversity for the present and future generations. Additionally, culture emphasizes the active involvement of tourists in explaining traditional or local cultures based on collections of products classified as cultural products (</w:t>
      </w:r>
      <w:proofErr w:type="spellStart"/>
      <w:r>
        <w:rPr>
          <w:rFonts w:ascii="Times New Roman" w:eastAsia="Times New Roman" w:hAnsi="Times New Roman" w:cs="Times New Roman"/>
          <w:sz w:val="24"/>
          <w:szCs w:val="24"/>
        </w:rPr>
        <w:t>Nijimatul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Adha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Rosilawati</w:t>
      </w:r>
      <w:proofErr w:type="spellEnd"/>
      <w:r>
        <w:rPr>
          <w:rFonts w:ascii="Times New Roman" w:eastAsia="Times New Roman" w:hAnsi="Times New Roman" w:cs="Times New Roman"/>
          <w:sz w:val="24"/>
          <w:szCs w:val="24"/>
        </w:rPr>
        <w:t>, 2013). However, culture not only focuses on past products but also includes contemporary culture (</w:t>
      </w:r>
      <w:proofErr w:type="spellStart"/>
      <w:r>
        <w:rPr>
          <w:rFonts w:ascii="Times New Roman" w:eastAsia="Times New Roman" w:hAnsi="Times New Roman" w:cs="Times New Roman"/>
          <w:sz w:val="24"/>
          <w:szCs w:val="24"/>
        </w:rPr>
        <w:t>Tuah</w:t>
      </w:r>
      <w:proofErr w:type="spellEnd"/>
      <w:r>
        <w:rPr>
          <w:rFonts w:ascii="Times New Roman" w:eastAsia="Times New Roman" w:hAnsi="Times New Roman" w:cs="Times New Roman"/>
          <w:sz w:val="24"/>
          <w:szCs w:val="24"/>
        </w:rPr>
        <w:t>, 2022; Richards, 2001).</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Malaysia, cultural tourism in Royal towns has become a primary attraction. This is because Royal towns symbolize and exemplify traditional cities closely linked to the history of the Sultanate and the cultural customs of a society. Beyond the physical attributes of Royal towns, culture is also an essential perspective in defining the symbolism of such towns. Therefore, this study argues that cultural tourism in Royal towns must be comprehensively examined to assess the role of culture as one of the main attractions for tourists visiting these towns.</w:t>
      </w:r>
    </w:p>
    <w:p w:rsidR="00A809B1" w:rsidRDefault="005F43F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Despite its cultural richness, </w:t>
      </w:r>
      <w:r>
        <w:rPr>
          <w:rFonts w:ascii="Times New Roman" w:eastAsia="Times New Roman" w:hAnsi="Times New Roman" w:cs="Times New Roman"/>
          <w:sz w:val="24"/>
          <w:szCs w:val="24"/>
        </w:rPr>
        <w:t>the Royal</w:t>
      </w:r>
      <w:r>
        <w:rPr>
          <w:rFonts w:ascii="Times New Roman" w:eastAsia="Times New Roman" w:hAnsi="Times New Roman" w:cs="Times New Roman"/>
          <w:color w:val="000000"/>
          <w:sz w:val="24"/>
          <w:szCs w:val="24"/>
        </w:rPr>
        <w:t xml:space="preserve"> town of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has not yet fully capitalized on its royal tourism potential. There is limited empirical research </w:t>
      </w:r>
      <w:r>
        <w:rPr>
          <w:rFonts w:ascii="Times New Roman" w:eastAsia="Times New Roman" w:hAnsi="Times New Roman" w:cs="Times New Roman"/>
          <w:sz w:val="24"/>
          <w:szCs w:val="24"/>
        </w:rPr>
        <w:t>assessing</w:t>
      </w:r>
      <w:r>
        <w:rPr>
          <w:rFonts w:ascii="Times New Roman" w:eastAsia="Times New Roman" w:hAnsi="Times New Roman" w:cs="Times New Roman"/>
          <w:color w:val="000000"/>
          <w:sz w:val="24"/>
          <w:szCs w:val="24"/>
        </w:rPr>
        <w:t xml:space="preserve"> the role of royal heritage in shaping tourist experiences and destination appeal. This study, therefore, investigates how royal cultural elements influence tourists’ perceptions and experiences in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It aims to provide data-driven insights to enhance tourism development strategies in royal towns across Malaysia.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objective of this study is to </w:t>
      </w:r>
      <w:r>
        <w:rPr>
          <w:rFonts w:ascii="Times New Roman" w:eastAsia="Times New Roman" w:hAnsi="Times New Roman" w:cs="Times New Roman"/>
          <w:sz w:val="24"/>
          <w:szCs w:val="24"/>
        </w:rPr>
        <w:t>explore</w:t>
      </w:r>
      <w:r>
        <w:rPr>
          <w:rFonts w:ascii="Times New Roman" w:eastAsia="Times New Roman" w:hAnsi="Times New Roman" w:cs="Times New Roman"/>
          <w:color w:val="000000"/>
          <w:sz w:val="24"/>
          <w:szCs w:val="24"/>
        </w:rPr>
        <w:t xml:space="preserve"> tourist perceptions of Royal arts, culture, and heritage </w:t>
      </w:r>
      <w:r>
        <w:rPr>
          <w:rFonts w:ascii="Times New Roman" w:eastAsia="Times New Roman" w:hAnsi="Times New Roman" w:cs="Times New Roman"/>
          <w:sz w:val="24"/>
          <w:szCs w:val="24"/>
        </w:rPr>
        <w:t>in the Royal</w:t>
      </w:r>
      <w:r>
        <w:rPr>
          <w:rFonts w:ascii="Times New Roman" w:eastAsia="Times New Roman" w:hAnsi="Times New Roman" w:cs="Times New Roman"/>
          <w:color w:val="000000"/>
          <w:sz w:val="24"/>
          <w:szCs w:val="24"/>
        </w:rPr>
        <w:t xml:space="preserve"> Town of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Perak. Based on these objective, the study addresses the following research questions:</w:t>
      </w:r>
    </w:p>
    <w:p w:rsidR="00A809B1" w:rsidRDefault="005F43F7">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 tourists perceive the royal cultural and heritage assets in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w:t>
      </w:r>
    </w:p>
    <w:p w:rsidR="00A809B1" w:rsidRDefault="005F43F7">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differences exist in the experiences of student, youth and family tourist segments?</w:t>
      </w:r>
    </w:p>
    <w:p w:rsidR="00A809B1" w:rsidRDefault="005F43F7">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what </w:t>
      </w:r>
      <w:r>
        <w:rPr>
          <w:rFonts w:ascii="Times New Roman" w:eastAsia="Times New Roman" w:hAnsi="Times New Roman" w:cs="Times New Roman"/>
          <w:sz w:val="24"/>
          <w:szCs w:val="24"/>
        </w:rPr>
        <w:t>extent</w:t>
      </w:r>
      <w:r>
        <w:rPr>
          <w:rFonts w:ascii="Times New Roman" w:eastAsia="Times New Roman" w:hAnsi="Times New Roman" w:cs="Times New Roman"/>
          <w:color w:val="000000"/>
          <w:sz w:val="24"/>
          <w:szCs w:val="24"/>
        </w:rPr>
        <w:t xml:space="preserve"> does royal culture influence the overall tourist experience in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w:t>
      </w:r>
    </w:p>
    <w:p w:rsidR="00A809B1" w:rsidRDefault="00A809B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A809B1" w:rsidRDefault="00A809B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A809B1" w:rsidRDefault="00A809B1">
      <w:pPr>
        <w:pBdr>
          <w:top w:val="nil"/>
          <w:left w:val="nil"/>
          <w:bottom w:val="nil"/>
          <w:right w:val="nil"/>
          <w:between w:val="nil"/>
        </w:pBdr>
        <w:spacing w:after="0" w:line="240" w:lineRule="auto"/>
        <w:ind w:firstLine="0"/>
        <w:jc w:val="both"/>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Literature review </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Cultural arts in the context of royal tourism</w:t>
      </w:r>
    </w:p>
    <w:p w:rsidR="00A809B1" w:rsidRDefault="00A809B1">
      <w:pPr>
        <w:spacing w:after="0" w:line="240" w:lineRule="auto"/>
        <w:ind w:hanging="2"/>
        <w:jc w:val="both"/>
        <w:rPr>
          <w:rFonts w:ascii="Times New Roman" w:eastAsia="Times New Roman" w:hAnsi="Times New Roman" w:cs="Times New Roman"/>
          <w:i/>
          <w:sz w:val="24"/>
          <w:szCs w:val="24"/>
        </w:rPr>
      </w:pPr>
    </w:p>
    <w:p w:rsidR="00A809B1" w:rsidRDefault="005F43F7">
      <w:pPr>
        <w:spacing w:after="0" w:line="240" w:lineRule="auto"/>
        <w:ind w:left="-2" w:firstLine="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Culture is a fundamental category that influences the development of a community within a given society. According to Hsu and Huang (2015), culture refers to the cultural elements in the form of customs, values, attitudes, norms and traditions that exist within a community. It includes tangible aspects such as art, literature, monuments and more (Bourdieu, 1986). Culture is considered an asset within economic activities that are based on cultural elements, whether encompassing heritage or other aspects, for the economic benefit of a region, including tourism activities (</w:t>
      </w:r>
      <w:proofErr w:type="spellStart"/>
      <w:r>
        <w:rPr>
          <w:rFonts w:ascii="Times New Roman" w:eastAsia="Times New Roman" w:hAnsi="Times New Roman" w:cs="Times New Roman"/>
          <w:sz w:val="24"/>
          <w:szCs w:val="24"/>
        </w:rPr>
        <w:t>Poria</w:t>
      </w:r>
      <w:proofErr w:type="spellEnd"/>
      <w:r>
        <w:rPr>
          <w:rFonts w:ascii="Times New Roman" w:eastAsia="Times New Roman" w:hAnsi="Times New Roman" w:cs="Times New Roman"/>
          <w:sz w:val="24"/>
          <w:szCs w:val="24"/>
        </w:rPr>
        <w:t xml:space="preserve"> et al., 2006). </w:t>
      </w:r>
      <w:proofErr w:type="spellStart"/>
      <w:r>
        <w:rPr>
          <w:rFonts w:ascii="Times New Roman" w:eastAsia="Times New Roman" w:hAnsi="Times New Roman" w:cs="Times New Roman"/>
          <w:sz w:val="24"/>
          <w:szCs w:val="24"/>
        </w:rPr>
        <w:t>Mollegaard</w:t>
      </w:r>
      <w:proofErr w:type="spellEnd"/>
      <w:r>
        <w:rPr>
          <w:rFonts w:ascii="Times New Roman" w:eastAsia="Times New Roman" w:hAnsi="Times New Roman" w:cs="Times New Roman"/>
          <w:sz w:val="24"/>
          <w:szCs w:val="24"/>
        </w:rPr>
        <w:t xml:space="preserve"> and Jaeger (2015) further explain that culture embodies the values held by a community and is expressed through their lifestyle.</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Generally, culture is perceived as a way of life for a particular group or community. </w:t>
      </w:r>
      <w:proofErr w:type="spellStart"/>
      <w:r>
        <w:rPr>
          <w:rFonts w:ascii="Times New Roman" w:eastAsia="Times New Roman" w:hAnsi="Times New Roman" w:cs="Times New Roman"/>
          <w:sz w:val="24"/>
          <w:szCs w:val="24"/>
        </w:rPr>
        <w:t>Oatey</w:t>
      </w:r>
      <w:proofErr w:type="spellEnd"/>
      <w:r>
        <w:rPr>
          <w:rFonts w:ascii="Times New Roman" w:eastAsia="Times New Roman" w:hAnsi="Times New Roman" w:cs="Times New Roman"/>
          <w:sz w:val="24"/>
          <w:szCs w:val="24"/>
        </w:rPr>
        <w:t xml:space="preserve"> (2008) defines culture as the values, life orientations, beliefs, policies, procedures and behaviors shared by a group of people or a community, which ultimately influence the behavior of each member, giving meaning to the group. However, Bennett (2015) describes culture as the total way of life of a society, encompassing knowledge, beliefs, arts, laws, values, norms and other abilities commonly acquired by individuals as members of society. Culture is also referred to as the beliefs, values and symbols present in a community (</w:t>
      </w:r>
      <w:proofErr w:type="spellStart"/>
      <w:r>
        <w:rPr>
          <w:rFonts w:ascii="Times New Roman" w:eastAsia="Times New Roman" w:hAnsi="Times New Roman" w:cs="Times New Roman"/>
          <w:sz w:val="24"/>
          <w:szCs w:val="24"/>
        </w:rPr>
        <w:t>Kayat</w:t>
      </w:r>
      <w:proofErr w:type="spellEnd"/>
      <w:r>
        <w:rPr>
          <w:rFonts w:ascii="Times New Roman" w:eastAsia="Times New Roman" w:hAnsi="Times New Roman" w:cs="Times New Roman"/>
          <w:sz w:val="24"/>
          <w:szCs w:val="24"/>
        </w:rPr>
        <w:t>, 2002). At the same time, culture includes all aspects of society, including ideas, material tools and forms of expression, encompassing all creations and the legacy of communal living. Thus, based on the definitions provided by previous researchers, it is evident that the term "culture" has been described diversely and variably, depending on the researchers' backgrounds and perspectives.</w:t>
      </w:r>
    </w:p>
    <w:p w:rsidR="00A809B1" w:rsidRDefault="005F43F7">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Jimura</w:t>
      </w:r>
      <w:proofErr w:type="spellEnd"/>
      <w:r>
        <w:rPr>
          <w:rFonts w:ascii="Times New Roman" w:eastAsia="Times New Roman" w:hAnsi="Times New Roman" w:cs="Times New Roman"/>
          <w:sz w:val="24"/>
          <w:szCs w:val="24"/>
        </w:rPr>
        <w:t xml:space="preserve"> (2011) explains that within a community, there is a focus on prevention and preservation, driven by a sense of pride in being part of heritage and for the continued benefits of future development. However, there is concern and anxiety regarding negative attitudes toward tourism development, particularly when cultural heritage is overshadowed by commoditized assets, leading to a loss of momentum and neglect of preservation efforts. This clearly indicates that heritage experiences shape an individual's collective identity. Furthermore, a tourist's experience or understanding is influenced by negative cognitive constructs, meaning that social and cultural factors in perception remain significant. Therefore, socio-cultural distance affects tourists' emotional experiences and understanding when visiting heritage tourism destinations. This concept is supported by Joseph and Gilmore (1998) and further endorsed by </w:t>
      </w:r>
      <w:proofErr w:type="spellStart"/>
      <w:r>
        <w:rPr>
          <w:rFonts w:ascii="Times New Roman" w:eastAsia="Times New Roman" w:hAnsi="Times New Roman" w:cs="Times New Roman"/>
          <w:sz w:val="24"/>
          <w:szCs w:val="24"/>
        </w:rPr>
        <w:t>Poria</w:t>
      </w:r>
      <w:proofErr w:type="spellEnd"/>
      <w:r>
        <w:rPr>
          <w:rFonts w:ascii="Times New Roman" w:eastAsia="Times New Roman" w:hAnsi="Times New Roman" w:cs="Times New Roman"/>
          <w:sz w:val="24"/>
          <w:szCs w:val="24"/>
        </w:rPr>
        <w:t xml:space="preserve"> et al. (2003), who emphasize the importance of emotional experiences when visiting heritage sites and destinations.</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previous studies have not explicitly addressed the psychological distance in relation to differing socio-cultural roles, which have identified the momentum between psychological distance and heritage experience (Leung et al., 2005). They explain that there are three dimensions from previous studies: socio-cultural, spatial and experiential. All three dimensions are intertwined with economic aspects. The unique culture in Malaysia, characterized by its diverse ethnicities and races, also plays a significant role in the selection of Royal towns as tourist destinations. Tourists have the opportunity to experience various festive celebrations and Royal events. Royal towns are also known for their culinary diversity, offering Malay, Chinese, and Indian cuisines. Vegetarian and halal meals are readily available at reasonable prices. Culture is perceived as both material and non-material and it serves as a driving factor for various activities. Some scholars emphasize that values, culture, religion, lifestyle and traditions shape the activities </w:t>
      </w:r>
      <w:r>
        <w:rPr>
          <w:rFonts w:ascii="Times New Roman" w:eastAsia="Times New Roman" w:hAnsi="Times New Roman" w:cs="Times New Roman"/>
          <w:sz w:val="24"/>
          <w:szCs w:val="24"/>
        </w:rPr>
        <w:lastRenderedPageBreak/>
        <w:t xml:space="preserve">that can be undertaken during tourism. Additionally, some scholars highlight ethnicity as a determinant of culture (Malcolm, 2004; </w:t>
      </w:r>
      <w:proofErr w:type="spellStart"/>
      <w:r>
        <w:rPr>
          <w:rFonts w:ascii="Times New Roman" w:eastAsia="Times New Roman" w:hAnsi="Times New Roman" w:cs="Times New Roman"/>
          <w:sz w:val="24"/>
          <w:szCs w:val="24"/>
        </w:rPr>
        <w:t>Zeppel</w:t>
      </w:r>
      <w:proofErr w:type="spellEnd"/>
      <w:r>
        <w:rPr>
          <w:rFonts w:ascii="Times New Roman" w:eastAsia="Times New Roman" w:hAnsi="Times New Roman" w:cs="Times New Roman"/>
          <w:sz w:val="24"/>
          <w:szCs w:val="24"/>
        </w:rPr>
        <w:t>, 2002).</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Clearly, all cultural aspects in Malaysia are rooted in religious and national rituals. The diversity of cultures has been developed into a tourism product as a result of the nation's own civilizational development. Malaysian civilization is not rooted in a single origin but is instead a combination of various civilizations and religions practiced by all ethnic groups. Each ethnic culture has its own history, myths, memories, legends and nostalgia, as well as core elements that differ from those of other ethnic groups (</w:t>
      </w:r>
      <w:proofErr w:type="spellStart"/>
      <w:r>
        <w:rPr>
          <w:rFonts w:ascii="Times New Roman" w:eastAsia="Times New Roman" w:hAnsi="Times New Roman" w:cs="Times New Roman"/>
          <w:sz w:val="24"/>
          <w:szCs w:val="24"/>
        </w:rPr>
        <w:t>Yuszaidy</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Siti</w:t>
      </w:r>
      <w:proofErr w:type="spellEnd"/>
      <w:r>
        <w:rPr>
          <w:rFonts w:ascii="Times New Roman" w:eastAsia="Times New Roman" w:hAnsi="Times New Roman" w:cs="Times New Roman"/>
          <w:sz w:val="24"/>
          <w:szCs w:val="24"/>
        </w:rPr>
        <w:t xml:space="preserve"> Salina &amp; </w:t>
      </w:r>
      <w:proofErr w:type="spellStart"/>
      <w:r>
        <w:rPr>
          <w:rFonts w:ascii="Times New Roman" w:eastAsia="Times New Roman" w:hAnsi="Times New Roman" w:cs="Times New Roman"/>
          <w:sz w:val="24"/>
          <w:szCs w:val="24"/>
        </w:rPr>
        <w:t>Zuliskandar</w:t>
      </w:r>
      <w:proofErr w:type="spellEnd"/>
      <w:r>
        <w:rPr>
          <w:rFonts w:ascii="Times New Roman" w:eastAsia="Times New Roman" w:hAnsi="Times New Roman" w:cs="Times New Roman"/>
          <w:sz w:val="24"/>
          <w:szCs w:val="24"/>
        </w:rPr>
        <w:t>, 2018). These elements contribute to the unique and segregated nature of Malaysian civilization. Culture serves as a foundation that reflects human thoughts, practices, ways of life, customs and ceremonies, as well as celebrations passed down from one generation to the next.</w:t>
      </w:r>
    </w:p>
    <w:p w:rsidR="00A809B1" w:rsidRDefault="00A809B1">
      <w:pPr>
        <w:spacing w:after="0" w:line="240" w:lineRule="auto"/>
        <w:ind w:firstLine="567"/>
        <w:jc w:val="both"/>
        <w:rPr>
          <w:rFonts w:ascii="Times New Roman" w:eastAsia="Times New Roman" w:hAnsi="Times New Roman" w:cs="Times New Roman"/>
          <w:sz w:val="24"/>
          <w:szCs w:val="24"/>
        </w:rPr>
      </w:pPr>
    </w:p>
    <w:p w:rsidR="00A809B1" w:rsidRDefault="005F43F7">
      <w:pPr>
        <w:spacing w:after="0" w:line="240" w:lineRule="auto"/>
        <w:ind w:left="1" w:hanging="3"/>
        <w:jc w:val="center"/>
        <w:rPr>
          <w:rFonts w:ascii="Times New Roman" w:eastAsia="Times New Roman" w:hAnsi="Times New Roman" w:cs="Times New Roman"/>
          <w:sz w:val="32"/>
          <w:szCs w:val="32"/>
        </w:rPr>
      </w:pPr>
      <w:r>
        <w:rPr>
          <w:rFonts w:ascii="Times New Roman" w:eastAsia="Times New Roman" w:hAnsi="Times New Roman" w:cs="Times New Roman"/>
          <w:b/>
          <w:noProof/>
          <w:sz w:val="32"/>
          <w:szCs w:val="32"/>
          <w:lang w:val="en-MY"/>
        </w:rPr>
        <w:drawing>
          <wp:inline distT="0" distB="0" distL="0" distR="0">
            <wp:extent cx="4960831" cy="2594144"/>
            <wp:effectExtent l="0" t="0" r="0" b="0"/>
            <wp:docPr id="5" name="image1.jpg" descr="2022) 9 Lokasi Menarik Di Kuala Kangsar - POPULAR &amp; 'HIDDEN GEM' » Cari  Destinasi"/>
            <wp:cNvGraphicFramePr/>
            <a:graphic xmlns:a="http://schemas.openxmlformats.org/drawingml/2006/main">
              <a:graphicData uri="http://schemas.openxmlformats.org/drawingml/2006/picture">
                <pic:pic xmlns:pic="http://schemas.openxmlformats.org/drawingml/2006/picture">
                  <pic:nvPicPr>
                    <pic:cNvPr id="0" name="image1.jpg" descr="2022) 9 Lokasi Menarik Di Kuala Kangsar - POPULAR &amp; 'HIDDEN GEM' » Cari  Destinasi"/>
                    <pic:cNvPicPr preferRelativeResize="0"/>
                  </pic:nvPicPr>
                  <pic:blipFill>
                    <a:blip r:embed="rId8"/>
                    <a:srcRect/>
                    <a:stretch>
                      <a:fillRect/>
                    </a:stretch>
                  </pic:blipFill>
                  <pic:spPr>
                    <a:xfrm>
                      <a:off x="0" y="0"/>
                      <a:ext cx="4960831" cy="2594144"/>
                    </a:xfrm>
                    <a:prstGeom prst="rect">
                      <a:avLst/>
                    </a:prstGeom>
                    <a:ln/>
                  </pic:spPr>
                </pic:pic>
              </a:graphicData>
            </a:graphic>
          </wp:inline>
        </w:drawing>
      </w:r>
    </w:p>
    <w:p w:rsidR="00A809B1" w:rsidRDefault="00A809B1">
      <w:pPr>
        <w:spacing w:after="0" w:line="240" w:lineRule="auto"/>
        <w:ind w:hanging="2"/>
        <w:jc w:val="center"/>
        <w:rPr>
          <w:rFonts w:ascii="Times New Roman" w:eastAsia="Times New Roman" w:hAnsi="Times New Roman" w:cs="Times New Roman"/>
          <w:b/>
          <w:sz w:val="24"/>
          <w:szCs w:val="24"/>
        </w:rPr>
      </w:pPr>
    </w:p>
    <w:p w:rsidR="00A809B1" w:rsidRDefault="005F43F7">
      <w:pPr>
        <w:spacing w:after="0" w:line="240" w:lineRule="auto"/>
        <w:ind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Istana </w:t>
      </w:r>
      <w:proofErr w:type="spellStart"/>
      <w:r>
        <w:rPr>
          <w:rFonts w:ascii="Times New Roman" w:eastAsia="Times New Roman" w:hAnsi="Times New Roman" w:cs="Times New Roman"/>
          <w:sz w:val="24"/>
          <w:szCs w:val="24"/>
        </w:rPr>
        <w:t>Kenangan</w:t>
      </w:r>
      <w:proofErr w:type="spellEnd"/>
      <w:r>
        <w:rPr>
          <w:rFonts w:ascii="Times New Roman" w:eastAsia="Times New Roman" w:hAnsi="Times New Roman" w:cs="Times New Roman"/>
          <w:sz w:val="24"/>
          <w:szCs w:val="24"/>
        </w:rPr>
        <w:t xml:space="preserve">, constructed in 1926, now known as the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Museum</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Heritage cities as an element of royal cities</w:t>
      </w:r>
    </w:p>
    <w:p w:rsidR="00A809B1" w:rsidRDefault="00A809B1">
      <w:pPr>
        <w:spacing w:after="0" w:line="240" w:lineRule="auto"/>
        <w:ind w:hanging="2"/>
        <w:jc w:val="both"/>
        <w:rPr>
          <w:rFonts w:ascii="Times New Roman" w:eastAsia="Times New Roman" w:hAnsi="Times New Roman" w:cs="Times New Roman"/>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Space, location and property are considered vital values and assets of a heritage city. The legal context varies depending on where the heritage asset is situated. In determining the value of such heritage, several methods are considered, including the process and outcome, heritage space, place, and different forms. Three core principles in the concept of heritage cities, as emphasized by </w:t>
      </w:r>
      <w:proofErr w:type="spellStart"/>
      <w:r>
        <w:rPr>
          <w:rFonts w:ascii="Times New Roman" w:eastAsia="Times New Roman" w:hAnsi="Times New Roman" w:cs="Times New Roman"/>
          <w:sz w:val="24"/>
          <w:szCs w:val="24"/>
        </w:rPr>
        <w:t>Runnalls</w:t>
      </w:r>
      <w:proofErr w:type="spellEnd"/>
      <w:r>
        <w:rPr>
          <w:rFonts w:ascii="Times New Roman" w:eastAsia="Times New Roman" w:hAnsi="Times New Roman" w:cs="Times New Roman"/>
          <w:sz w:val="24"/>
          <w:szCs w:val="24"/>
        </w:rPr>
        <w:t xml:space="preserve"> (2007), </w:t>
      </w:r>
      <w:proofErr w:type="spellStart"/>
      <w:r>
        <w:rPr>
          <w:rFonts w:ascii="Times New Roman" w:eastAsia="Times New Roman" w:hAnsi="Times New Roman" w:cs="Times New Roman"/>
          <w:sz w:val="24"/>
          <w:szCs w:val="24"/>
        </w:rPr>
        <w:t>Bandarin</w:t>
      </w:r>
      <w:proofErr w:type="spellEnd"/>
      <w:r>
        <w:rPr>
          <w:rFonts w:ascii="Times New Roman" w:eastAsia="Times New Roman" w:hAnsi="Times New Roman" w:cs="Times New Roman"/>
          <w:sz w:val="24"/>
          <w:szCs w:val="24"/>
        </w:rPr>
        <w:t xml:space="preserve"> et al. (2011) and </w:t>
      </w:r>
      <w:proofErr w:type="spellStart"/>
      <w:r>
        <w:rPr>
          <w:rFonts w:ascii="Times New Roman" w:eastAsia="Times New Roman" w:hAnsi="Times New Roman" w:cs="Times New Roman"/>
          <w:sz w:val="24"/>
          <w:szCs w:val="24"/>
        </w:rPr>
        <w:t>Wiktor</w:t>
      </w:r>
      <w:proofErr w:type="spellEnd"/>
      <w:r>
        <w:rPr>
          <w:rFonts w:ascii="Times New Roman" w:eastAsia="Times New Roman" w:hAnsi="Times New Roman" w:cs="Times New Roman"/>
          <w:sz w:val="24"/>
          <w:szCs w:val="24"/>
        </w:rPr>
        <w:t>-Mach (2019), focus on economic, social and environmental development. However, several characteristics define a heritage city, such as uniqueness and aesthetic value, which distinguish it from ordinary cities.</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Globally, a heritage city is generally defined as one that is over 100 years old. However, in the context of Malaysia, there are still relatively few cities or buildings that are over a century old. According to Syed </w:t>
      </w:r>
      <w:proofErr w:type="spellStart"/>
      <w:r>
        <w:rPr>
          <w:rFonts w:ascii="Times New Roman" w:eastAsia="Times New Roman" w:hAnsi="Times New Roman" w:cs="Times New Roman"/>
          <w:sz w:val="24"/>
          <w:szCs w:val="24"/>
        </w:rPr>
        <w:t>Zainol</w:t>
      </w:r>
      <w:proofErr w:type="spellEnd"/>
      <w:r>
        <w:rPr>
          <w:rFonts w:ascii="Times New Roman" w:eastAsia="Times New Roman" w:hAnsi="Times New Roman" w:cs="Times New Roman"/>
          <w:sz w:val="24"/>
          <w:szCs w:val="24"/>
        </w:rPr>
        <w:t xml:space="preserve"> (1992), heritage cities in Malaysia emerged before World War II (pre-1945) and possess distinctive uniqueness. These heritage cities have their own identity, marked by both tangible and intangible heritage and culture. Therefore, any city that contains these characteristics has the potential to be classified as a heritage city.</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Heritage cities in Malaysia are identified and classified based on various elements, such as tangible and intangible heritage, natural heritage, colonial buildings and </w:t>
      </w:r>
      <w:proofErr w:type="spellStart"/>
      <w:r>
        <w:rPr>
          <w:rFonts w:ascii="Times New Roman" w:eastAsia="Times New Roman" w:hAnsi="Times New Roman" w:cs="Times New Roman"/>
          <w:sz w:val="24"/>
          <w:szCs w:val="24"/>
        </w:rPr>
        <w:t>shophouses</w:t>
      </w:r>
      <w:proofErr w:type="spellEnd"/>
      <w:r>
        <w:rPr>
          <w:rFonts w:ascii="Times New Roman" w:eastAsia="Times New Roman" w:hAnsi="Times New Roman" w:cs="Times New Roman"/>
          <w:sz w:val="24"/>
          <w:szCs w:val="24"/>
        </w:rPr>
        <w:t xml:space="preserve"> built before </w:t>
      </w:r>
      <w:r>
        <w:rPr>
          <w:rFonts w:ascii="Times New Roman" w:eastAsia="Times New Roman" w:hAnsi="Times New Roman" w:cs="Times New Roman"/>
          <w:sz w:val="24"/>
          <w:szCs w:val="24"/>
        </w:rPr>
        <w:lastRenderedPageBreak/>
        <w:t xml:space="preserve">and after World War II, specific ethnic groups, dialects and languages, as well as the integration of economic, social and environmental aspects. Tourist attractions in Malaysia now primarily focus on heritage cities that have been declared World Heritage Sites. These heritage cities play a significant role in generating national economic revenue through the tourism sector while simultaneously preserving important heritage and cultural values essential for the country's development. Heritage cities in Malaysia have also become popular tourist destinations due to their beautiful architecture, unique history and culture (Mohamad </w:t>
      </w:r>
      <w:proofErr w:type="spellStart"/>
      <w:r>
        <w:rPr>
          <w:rFonts w:ascii="Times New Roman" w:eastAsia="Times New Roman" w:hAnsi="Times New Roman" w:cs="Times New Roman"/>
          <w:sz w:val="24"/>
          <w:szCs w:val="24"/>
        </w:rPr>
        <w:t>Zaki</w:t>
      </w:r>
      <w:proofErr w:type="spellEnd"/>
      <w:r>
        <w:rPr>
          <w:rFonts w:ascii="Times New Roman" w:eastAsia="Times New Roman" w:hAnsi="Times New Roman" w:cs="Times New Roman"/>
          <w:sz w:val="24"/>
          <w:szCs w:val="24"/>
        </w:rPr>
        <w:t xml:space="preserve"> et al., 2008).</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Tourist experiences: Segmenting by student, youth and family tourists</w:t>
      </w:r>
    </w:p>
    <w:p w:rsidR="00A809B1" w:rsidRDefault="00A809B1">
      <w:pPr>
        <w:spacing w:after="0" w:line="240" w:lineRule="auto"/>
        <w:ind w:hanging="2"/>
        <w:jc w:val="both"/>
        <w:rPr>
          <w:rFonts w:ascii="Times New Roman" w:eastAsia="Times New Roman" w:hAnsi="Times New Roman" w:cs="Times New Roman"/>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segmentation of tourist experiences among students, youth and family tourists reveals distinct patterns and preferences that cater to their unique motivations and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Each group exhibits specific characteristics that influence their travel choices and experiences, which can be categorized into several key segments. Understanding tourist experience is central to enhancing destination competitiveness. The tourist experience is shaped not only by place and product but also by tourist background and expectations (Kim &amp; Brown, 2020; Tung &amp; Ritchie, 2011, </w:t>
      </w:r>
      <w:proofErr w:type="spellStart"/>
      <w:r>
        <w:rPr>
          <w:rFonts w:ascii="Times New Roman" w:eastAsia="Times New Roman" w:hAnsi="Times New Roman" w:cs="Times New Roman"/>
          <w:sz w:val="24"/>
          <w:szCs w:val="24"/>
        </w:rPr>
        <w:t>Saidi</w:t>
      </w:r>
      <w:proofErr w:type="spellEnd"/>
      <w:r>
        <w:rPr>
          <w:rFonts w:ascii="Times New Roman" w:eastAsia="Times New Roman" w:hAnsi="Times New Roman" w:cs="Times New Roman"/>
          <w:sz w:val="24"/>
          <w:szCs w:val="24"/>
        </w:rPr>
        <w:t xml:space="preserve"> et al., 2020). Different demographic groups interact with heritage differently, bringing diverse motivations and preferences. Students often visit in groups for educational exposure, valuing structured information, hands-on workshops and opportunities for cultural learning (</w:t>
      </w:r>
      <w:proofErr w:type="spellStart"/>
      <w:r>
        <w:rPr>
          <w:rFonts w:ascii="Times New Roman" w:eastAsia="Times New Roman" w:hAnsi="Times New Roman" w:cs="Times New Roman"/>
          <w:sz w:val="24"/>
          <w:szCs w:val="24"/>
        </w:rPr>
        <w:t>Poria</w:t>
      </w:r>
      <w:proofErr w:type="spellEnd"/>
      <w:r>
        <w:rPr>
          <w:rFonts w:ascii="Times New Roman" w:eastAsia="Times New Roman" w:hAnsi="Times New Roman" w:cs="Times New Roman"/>
          <w:sz w:val="24"/>
          <w:szCs w:val="24"/>
        </w:rPr>
        <w:t xml:space="preserve"> et al., 2006). Youth tourists, which includes young adults and university students, are typically motivated by social media exposure, uniqueness of experience and personal meaning-making (Richard, 2018). Family tourists seek recreational, safe and intergenerational experiences that combine leisure with learning (</w:t>
      </w:r>
      <w:proofErr w:type="spellStart"/>
      <w:r>
        <w:rPr>
          <w:rFonts w:ascii="Times New Roman" w:eastAsia="Times New Roman" w:hAnsi="Times New Roman" w:cs="Times New Roman"/>
          <w:sz w:val="24"/>
          <w:szCs w:val="24"/>
        </w:rPr>
        <w:t>Schanzel</w:t>
      </w:r>
      <w:proofErr w:type="spellEnd"/>
      <w:r>
        <w:rPr>
          <w:rFonts w:ascii="Times New Roman" w:eastAsia="Times New Roman" w:hAnsi="Times New Roman" w:cs="Times New Roman"/>
          <w:sz w:val="24"/>
          <w:szCs w:val="24"/>
        </w:rPr>
        <w:t xml:space="preserve"> &amp; Yeoman, 2015). </w:t>
      </w:r>
    </w:p>
    <w:p w:rsidR="00A809B1" w:rsidRDefault="005F43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Youth tourists are often segmented based on their activity preferences. It includes culture lovers, fun lovers, sun and beach lovers and nature lovers. These segments differ significantly in terms of socio-demographics, travel motivations and interaction with locals and other tourists (</w:t>
      </w:r>
      <w:proofErr w:type="spellStart"/>
      <w:r>
        <w:rPr>
          <w:rFonts w:ascii="Times New Roman" w:eastAsia="Times New Roman" w:hAnsi="Times New Roman" w:cs="Times New Roman"/>
          <w:sz w:val="24"/>
          <w:szCs w:val="24"/>
        </w:rPr>
        <w:t>Eusebio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Carneiro</w:t>
      </w:r>
      <w:proofErr w:type="spellEnd"/>
      <w:r>
        <w:rPr>
          <w:rFonts w:ascii="Times New Roman" w:eastAsia="Times New Roman" w:hAnsi="Times New Roman" w:cs="Times New Roman"/>
          <w:sz w:val="24"/>
          <w:szCs w:val="24"/>
        </w:rPr>
        <w:t xml:space="preserve">, 2015). According to </w:t>
      </w:r>
      <w:proofErr w:type="spellStart"/>
      <w:r>
        <w:rPr>
          <w:rFonts w:ascii="Times New Roman" w:eastAsia="Times New Roman" w:hAnsi="Times New Roman" w:cs="Times New Roman"/>
          <w:sz w:val="24"/>
          <w:szCs w:val="24"/>
        </w:rPr>
        <w:t>Pavlic</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Koderman</w:t>
      </w:r>
      <w:proofErr w:type="spellEnd"/>
      <w:r>
        <w:rPr>
          <w:rFonts w:ascii="Times New Roman" w:eastAsia="Times New Roman" w:hAnsi="Times New Roman" w:cs="Times New Roman"/>
          <w:sz w:val="24"/>
          <w:szCs w:val="24"/>
        </w:rPr>
        <w:t xml:space="preserve"> (2014), youth tourism is substantial, accounting for a significant portion of global tourism flows. In heritage destinations, youth tourists are motivated by factors such as individual background, ethnic origin and education. They can be further divided into general and specific cultural tourists, each with distinct motivations and perceptions (</w:t>
      </w:r>
      <w:proofErr w:type="spellStart"/>
      <w:r>
        <w:rPr>
          <w:rFonts w:ascii="Times New Roman" w:eastAsia="Times New Roman" w:hAnsi="Times New Roman" w:cs="Times New Roman"/>
          <w:sz w:val="24"/>
          <w:szCs w:val="24"/>
        </w:rPr>
        <w:t>Boukas</w:t>
      </w:r>
      <w:proofErr w:type="spellEnd"/>
      <w:r>
        <w:rPr>
          <w:rFonts w:ascii="Times New Roman" w:eastAsia="Times New Roman" w:hAnsi="Times New Roman" w:cs="Times New Roman"/>
          <w:sz w:val="24"/>
          <w:szCs w:val="24"/>
        </w:rPr>
        <w:t xml:space="preserve">, 2013). </w:t>
      </w:r>
    </w:p>
    <w:p w:rsidR="00A809B1" w:rsidRDefault="005F43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particularly, show varied travel habits, with preference for certain destinations, travel duration and organizational aspects of their trips (</w:t>
      </w:r>
      <w:proofErr w:type="spellStart"/>
      <w:r>
        <w:rPr>
          <w:rFonts w:ascii="Times New Roman" w:eastAsia="Times New Roman" w:hAnsi="Times New Roman" w:cs="Times New Roman"/>
          <w:sz w:val="24"/>
          <w:szCs w:val="24"/>
        </w:rPr>
        <w:t>Pavlic</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Koderman</w:t>
      </w:r>
      <w:proofErr w:type="spellEnd"/>
      <w:r>
        <w:rPr>
          <w:rFonts w:ascii="Times New Roman" w:eastAsia="Times New Roman" w:hAnsi="Times New Roman" w:cs="Times New Roman"/>
          <w:sz w:val="24"/>
          <w:szCs w:val="24"/>
        </w:rPr>
        <w:t>, 2014). Family tourists are driven by motivations that include seeking collective experiences and the benefits of those holidays. These experiences are shaped by the desire for family bonding and shared adventures, which are central to their travel motivations (</w:t>
      </w:r>
      <w:proofErr w:type="spellStart"/>
      <w:r>
        <w:rPr>
          <w:rFonts w:ascii="Times New Roman" w:eastAsia="Times New Roman" w:hAnsi="Times New Roman" w:cs="Times New Roman"/>
          <w:sz w:val="24"/>
          <w:szCs w:val="24"/>
        </w:rPr>
        <w:t>Pomfret</w:t>
      </w:r>
      <w:proofErr w:type="spellEnd"/>
      <w:r>
        <w:rPr>
          <w:rFonts w:ascii="Times New Roman" w:eastAsia="Times New Roman" w:hAnsi="Times New Roman" w:cs="Times New Roman"/>
          <w:sz w:val="24"/>
          <w:szCs w:val="24"/>
        </w:rPr>
        <w:t xml:space="preserve">, 2019). While tourism studies in Malaysia have explored general satisfaction and motivation, few have examined segmented tourist experiences in royal towns. This study addresses this gap by analyzing how different tourist groups engage with royal arts, spaces and narratives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framed through the lens of the Experience Economy Model. This segmentation provides actionable insight for targeted tourism development.  </w:t>
      </w:r>
    </w:p>
    <w:p w:rsidR="00A809B1" w:rsidRDefault="005F43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While the segmentation of tourist experiences provides valuable insights into the preferences of different groups, it is important to recognize the dynamic nature of these segments. Factors such as changing socio-economic conditions, technological advancements and evolving cultural trends can influence tourist behaviors and preferences over time. Understanding these shifts is crucial for adapting tourism offerings to meet the needs of diverse tourist segments.</w:t>
      </w:r>
    </w:p>
    <w:p w:rsidR="00A809B1" w:rsidRDefault="005F43F7">
      <w:pPr>
        <w:pBdr>
          <w:top w:val="nil"/>
          <w:left w:val="nil"/>
          <w:bottom w:val="nil"/>
          <w:right w:val="nil"/>
          <w:between w:val="nil"/>
        </w:pBdr>
        <w:spacing w:after="0" w:line="240" w:lineRule="auto"/>
        <w:ind w:firstLine="0"/>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Conceptual framework</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conceptual model was developed to illustrate the relationships between royal cultural heritage, tourist segments, experiential dimensions and resulting tourist experiences outcomes. The model is anchored in Pine and Gilmore’s Experience Economy framework (1999), which posits that memorable tourism experiences are shaped by four experiential realms which is entertainment, education, esthetic and escapism. These dimensions serve as mediating mechanisms through which tourists engage with cultural and heritage elements. Pine and Gilmore’s Experience Economy framework (1999) also influences tourist experiences by emphasizing the </w:t>
      </w:r>
      <w:r>
        <w:rPr>
          <w:rFonts w:ascii="Times New Roman" w:eastAsia="Times New Roman" w:hAnsi="Times New Roman" w:cs="Times New Roman"/>
          <w:sz w:val="24"/>
          <w:szCs w:val="24"/>
        </w:rPr>
        <w:t>importance</w:t>
      </w:r>
      <w:r>
        <w:rPr>
          <w:rFonts w:ascii="Times New Roman" w:eastAsia="Times New Roman" w:hAnsi="Times New Roman" w:cs="Times New Roman"/>
          <w:color w:val="000000"/>
          <w:sz w:val="24"/>
          <w:szCs w:val="24"/>
        </w:rPr>
        <w:t xml:space="preserve"> of four dimensions. All </w:t>
      </w:r>
      <w:proofErr w:type="gramStart"/>
      <w:r>
        <w:rPr>
          <w:rFonts w:ascii="Times New Roman" w:eastAsia="Times New Roman" w:hAnsi="Times New Roman" w:cs="Times New Roman"/>
          <w:sz w:val="24"/>
          <w:szCs w:val="24"/>
        </w:rPr>
        <w:t>dimensions</w:t>
      </w:r>
      <w:proofErr w:type="gramEnd"/>
      <w:r>
        <w:rPr>
          <w:rFonts w:ascii="Times New Roman" w:eastAsia="Times New Roman" w:hAnsi="Times New Roman" w:cs="Times New Roman"/>
          <w:color w:val="000000"/>
          <w:sz w:val="24"/>
          <w:szCs w:val="24"/>
        </w:rPr>
        <w:t xml:space="preserve"> shape how </w:t>
      </w:r>
      <w:r>
        <w:rPr>
          <w:rFonts w:ascii="Times New Roman" w:eastAsia="Times New Roman" w:hAnsi="Times New Roman" w:cs="Times New Roman"/>
          <w:sz w:val="24"/>
          <w:szCs w:val="24"/>
        </w:rPr>
        <w:t>tourists</w:t>
      </w:r>
      <w:r>
        <w:rPr>
          <w:rFonts w:ascii="Times New Roman" w:eastAsia="Times New Roman" w:hAnsi="Times New Roman" w:cs="Times New Roman"/>
          <w:color w:val="000000"/>
          <w:sz w:val="24"/>
          <w:szCs w:val="24"/>
        </w:rPr>
        <w:t xml:space="preserve"> engage with cultural institutions, enhancing their overall experience (</w:t>
      </w:r>
      <w:proofErr w:type="spellStart"/>
      <w:r>
        <w:rPr>
          <w:rFonts w:ascii="Times New Roman" w:eastAsia="Times New Roman" w:hAnsi="Times New Roman" w:cs="Times New Roman"/>
          <w:color w:val="000000"/>
          <w:sz w:val="24"/>
          <w:szCs w:val="24"/>
        </w:rPr>
        <w:t>Ristevska-Jovanovska</w:t>
      </w:r>
      <w:proofErr w:type="spellEnd"/>
      <w:r>
        <w:rPr>
          <w:rFonts w:ascii="Times New Roman" w:eastAsia="Times New Roman" w:hAnsi="Times New Roman" w:cs="Times New Roman"/>
          <w:color w:val="000000"/>
          <w:sz w:val="24"/>
          <w:szCs w:val="24"/>
        </w:rPr>
        <w:t xml:space="preserve"> et al., 2024). As consumers increasingly </w:t>
      </w:r>
      <w:r>
        <w:rPr>
          <w:rFonts w:ascii="Times New Roman" w:eastAsia="Times New Roman" w:hAnsi="Times New Roman" w:cs="Times New Roman"/>
          <w:sz w:val="24"/>
          <w:szCs w:val="24"/>
        </w:rPr>
        <w:t>prioritize</w:t>
      </w:r>
      <w:r>
        <w:rPr>
          <w:rFonts w:ascii="Times New Roman" w:eastAsia="Times New Roman" w:hAnsi="Times New Roman" w:cs="Times New Roman"/>
          <w:color w:val="000000"/>
          <w:sz w:val="24"/>
          <w:szCs w:val="24"/>
        </w:rPr>
        <w:t xml:space="preserve"> unique experiences over traditional offerings, these dimensions foster greater arousal, leading to increased customer loyalty. This shift towards an experience-driven economy is crucial for competitive advantage in the tourism industry, as highlighted by various studies in the research.   </w:t>
      </w:r>
    </w:p>
    <w:p w:rsidR="00A809B1" w:rsidRDefault="005F43F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the foundation of the model lies the royal cultural and heritage offerings of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including traditional arts), architectural landmarks and royal traditions. These elements are experienced differently by three core tourist segments identified in this study are students, youths and families. Each group brings distinct motivations and engagement styles shaped by age, purpose of visit and social expectations. The heritage city context referring to the spatial, historical and symbolic identity of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as a royal town further influences tourist perceptions and contextualizes the cultural offerings. As tourists interact with the place through segment specific lenses, their experiences are shaped by the four experiential dimensions. Ultimately, these interactions lead to measurable experience outcomes, including satisfaction, cultural learning and emotional engagement.</w:t>
      </w:r>
    </w:p>
    <w:p w:rsidR="00A809B1" w:rsidRDefault="005F43F7">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model provides a comprehensive lens for analyzing how different tourist demographics perceive and interact with royal culture and heritage in a heritage city setting. It also supports the study’s aim to propose targeted strategies for enhancing royal tourism in Malaysia based on segment-specific experiential preferences.</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Method and study area </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employed a quantitative research design using a structured survey to collect data from domestic tourists visiting the Royal town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The methodology is organized into four subsections: research design, study area, sampling procedure and data collection and analysis. The Royal City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was selected as the study area. The credibility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as a Royal City made it a preferred choice due to its prominent Royal features and unique heritage tourism implications not found in other cities. The selection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as the study area is based on the city's main attraction being its Royal government, along with the Royal elements and concepts prominently displayed throughout the area. Additionally, the status and recognition of the Royal City drive Kuala </w:t>
      </w:r>
      <w:proofErr w:type="spellStart"/>
      <w:r>
        <w:rPr>
          <w:rFonts w:ascii="Times New Roman" w:eastAsia="Times New Roman" w:hAnsi="Times New Roman" w:cs="Times New Roman"/>
          <w:sz w:val="24"/>
          <w:szCs w:val="24"/>
        </w:rPr>
        <w:t>Kangsar's</w:t>
      </w:r>
      <w:proofErr w:type="spellEnd"/>
      <w:r>
        <w:rPr>
          <w:rFonts w:ascii="Times New Roman" w:eastAsia="Times New Roman" w:hAnsi="Times New Roman" w:cs="Times New Roman"/>
          <w:sz w:val="24"/>
          <w:szCs w:val="24"/>
        </w:rPr>
        <w:t xml:space="preserve"> development. This status has transformed the city's development landscape, establishing it as a major tourist attraction both domestically and internationally. Economic, social and political developments are aligned with changes such as the establishment of service centers and infrastructure, educational institutions, economic and management sectors, housing and settlement sectors and other forms of development.</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Consequently, the concept of a Royal City, recognized as a part of heritage cities, has been introduced to ensure the preservation and conservation of both tangible and intangible heritage while not neglecting urban development.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is one of the Royal Cities with a unique architectural style, royal image and identity, colonial-era buildings and a heritage city environment. Moreover, there is an increasing trend of tourist visits to this Royal City over time. As a result,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has been identified as a city that develops the elements of a heritage city and has been elevated to the status of a Royal City. </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Research design</w:t>
      </w:r>
    </w:p>
    <w:p w:rsidR="00A809B1" w:rsidRDefault="00A809B1">
      <w:pPr>
        <w:spacing w:after="0" w:line="240" w:lineRule="auto"/>
        <w:ind w:hanging="2"/>
        <w:jc w:val="both"/>
        <w:rPr>
          <w:rFonts w:ascii="Times New Roman" w:eastAsia="Times New Roman" w:hAnsi="Times New Roman" w:cs="Times New Roman"/>
          <w:b/>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quantitative approach was adopted to collect standardized data on tourist experiences and perceptions related to the arts, culture and heritage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This design was chosen to enable statistical comparison across tourist segments (students, youths and families) and to evaluate the relationship between cultural elements and overall tourist experience. </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Participants and sampling</w:t>
      </w:r>
    </w:p>
    <w:p w:rsidR="00A809B1" w:rsidRDefault="00A809B1">
      <w:pPr>
        <w:spacing w:after="0" w:line="240" w:lineRule="auto"/>
        <w:ind w:hanging="2"/>
        <w:jc w:val="both"/>
        <w:rPr>
          <w:rFonts w:ascii="Times New Roman" w:eastAsia="Times New Roman" w:hAnsi="Times New Roman" w:cs="Times New Roman"/>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target population comprised domestic tourists who visited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Based on data from Perak Town and Country Planning Department and the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Municipal Council, the total number of domestic tourists was reported as 133,290 in 2020, compared to 47,100 in 2010. The sample size of 382 was determined using the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and Morgan (1970) formula. To enhance reliability and reduce sampling error, a total of 500 respondents were selected using simple random sampling. Respondents were categorized into three tourist segments which are student, youth and family. </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Research instrument, pilot test and data collection tools</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employed a structured questionnaire designed which consisted of both closed-ended and limited open-ended questions. The questionnaire predominantly closed-ended questions, supplemented by a small number of open-ended items to capture nuanced tourist perspectives. Key variables measured included demographic information such as age, gender, marital status, occupation and education. The question also includes duration of stay in the area, tourist perceptions of royal cultural elements as well as motivational factors and levels of satisfaction with the royal tourism experience. </w:t>
      </w:r>
    </w:p>
    <w:p w:rsidR="00A809B1" w:rsidRDefault="005F43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consistency and ease of interpretation, the majority of responses were recorded using a 5-point Likert scale ranging from “Strongly Disagree" (1) to “Strongly Agree” (5). This allowed for a standardized assessment of attitudinal and perceptual variables, facilitating statistical analysis and comparison across different tourist groups. </w:t>
      </w:r>
    </w:p>
    <w:p w:rsidR="00A809B1" w:rsidRDefault="005F43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 primary data collected through the questionnaire, secondary data sources were systematically reviewed to provide contextual depth and support the interpretation of findings. These included official documents from tourism-related government agencies, planning and development reports issued by local councils and archival records pertaining to heritage conservation and urban planning in royal towns. The triangulation of these sources not only informed the development of questionnaire items but also strengthened the validity of the study by embedding the analysis within the broader historical and administrative context of royal cultural tourism.</w:t>
      </w: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Data collection procedures and analysis</w:t>
      </w:r>
    </w:p>
    <w:p w:rsidR="00A809B1" w:rsidRDefault="00A809B1">
      <w:pPr>
        <w:spacing w:after="0" w:line="240" w:lineRule="auto"/>
        <w:ind w:hanging="2"/>
        <w:jc w:val="both"/>
        <w:rPr>
          <w:rFonts w:ascii="Times New Roman" w:eastAsia="Times New Roman" w:hAnsi="Times New Roman" w:cs="Times New Roman"/>
          <w:b/>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analysis procedure employs both descriptive and inferential analysis. This study utilizes a quantitative approach with a descriptive design, relying on objective measurements to produce numerical data. The research approach used is a survey study. Data collection methods include questionnaires, open-ended and closed-ended questions, government documents and time sources. Domestic tourists are influenced by the attractions of the visited destination. IBM SPSS 26 software was used to analyze the study results. Initial analysis involved descriptive statistics, including frequencies and percentages, to examine the demographic characteristics of the tourist segments. A t-test was used to determine the tourist profile. Mean analysis was conducted to identify the level of attraction for the Royal City destinations. Finally, comparative analysis was performed using one-way ANOVA to analyze differences in tourist numbers across the five destinations visited.</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5F43F7">
      <w:pPr>
        <w:pBdr>
          <w:top w:val="nil"/>
          <w:left w:val="nil"/>
          <w:bottom w:val="nil"/>
          <w:right w:val="nil"/>
          <w:between w:val="nil"/>
        </w:pBdr>
        <w:spacing w:after="0" w:line="240" w:lineRule="auto"/>
        <w:ind w:hanging="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w:t>
      </w:r>
    </w:p>
    <w:p w:rsidR="00A809B1" w:rsidRDefault="00A809B1">
      <w:pPr>
        <w:pBdr>
          <w:top w:val="nil"/>
          <w:left w:val="nil"/>
          <w:bottom w:val="nil"/>
          <w:right w:val="nil"/>
          <w:between w:val="nil"/>
        </w:pBdr>
        <w:spacing w:after="0" w:line="240" w:lineRule="auto"/>
        <w:ind w:hanging="2"/>
        <w:jc w:val="both"/>
        <w:rPr>
          <w:rFonts w:ascii="Times New Roman" w:eastAsia="Times New Roman" w:hAnsi="Times New Roman" w:cs="Times New Roman"/>
          <w:color w:val="000000"/>
          <w:sz w:val="24"/>
          <w:szCs w:val="24"/>
        </w:rPr>
      </w:pPr>
    </w:p>
    <w:p w:rsidR="00A809B1" w:rsidRDefault="005F43F7">
      <w:pPr>
        <w:spacing w:after="0" w:line="240" w:lineRule="auto"/>
        <w:ind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Demographics of domestic tourists</w:t>
      </w:r>
    </w:p>
    <w:p w:rsidR="00A809B1" w:rsidRDefault="00A809B1">
      <w:pPr>
        <w:spacing w:after="0" w:line="240" w:lineRule="auto"/>
        <w:ind w:hanging="2"/>
        <w:jc w:val="both"/>
        <w:rPr>
          <w:rFonts w:ascii="Times New Roman" w:eastAsia="Times New Roman" w:hAnsi="Times New Roman" w:cs="Times New Roman"/>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found that 65.8% of the tourists were female and 34.2% were male. Over 30% of the tourists were aged between 20-25 years, followed by 22.0% in the 15-19 years’ age group, indicating that most tourists are young adults. The majority of tourists were Malay, accounting for 88.6%, while Chinese and Indian tourists represented 7.0% and 4.4%, respectively. Regarding educational background, 47.0% of tourists had a Bachelor’s degree from both domestic and international institutions. More than 60% of the tourists were single, while 28.6% (143 individuals) were married or had families and 2.6% (13 individuals) were widowed or divorced. In terms of income, 51.2% of the tourists were unemployed, which includes students and youth still pursuing higher education or secondary school. The working tourists comprised professionals such as teachers, doctors, engineers, accountants, executives, administrative officers, managers and lecturers, making up 21.6% (108 individuals). Additionally, there were other occupations including traders, technical groups and support staff. Government sector employees were the most numerous at 26.8% (134 individuals), followed by those employed in the private sector at 14.2% (71 individuals).</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1. </w:t>
      </w:r>
      <w:r>
        <w:rPr>
          <w:rFonts w:ascii="Times New Roman" w:eastAsia="Times New Roman" w:hAnsi="Times New Roman" w:cs="Times New Roman"/>
          <w:color w:val="000000"/>
          <w:sz w:val="24"/>
          <w:szCs w:val="24"/>
        </w:rPr>
        <w:t>Demographics of domestic tourists</w:t>
      </w:r>
    </w:p>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bl>
      <w:tblPr>
        <w:tblStyle w:val="a0"/>
        <w:tblW w:w="83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07"/>
        <w:gridCol w:w="761"/>
        <w:gridCol w:w="1316"/>
        <w:gridCol w:w="1709"/>
        <w:gridCol w:w="761"/>
        <w:gridCol w:w="1408"/>
      </w:tblGrid>
      <w:tr w:rsidR="00A809B1" w:rsidTr="00A809B1">
        <w:trPr>
          <w:cnfStyle w:val="100000000000" w:firstRow="1" w:lastRow="0" w:firstColumn="0" w:lastColumn="0" w:oddVBand="0" w:evenVBand="0" w:oddHBand="0" w:evenHBand="0" w:firstRowFirstColumn="0" w:firstRowLastColumn="0" w:lastRowFirstColumn="0" w:lastRowLastColumn="0"/>
          <w:jc w:val="center"/>
        </w:trPr>
        <w:tc>
          <w:tcPr>
            <w:tcW w:w="2407" w:type="dxa"/>
            <w:shd w:val="clear" w:color="auto" w:fill="8DB3E2"/>
          </w:tcPr>
          <w:p w:rsidR="00A809B1" w:rsidRDefault="005F43F7">
            <w:pPr>
              <w:ind w:hanging="2"/>
              <w:jc w:val="center"/>
              <w:rPr>
                <w:sz w:val="24"/>
                <w:szCs w:val="24"/>
              </w:rPr>
            </w:pPr>
            <w:r>
              <w:rPr>
                <w:sz w:val="24"/>
                <w:szCs w:val="24"/>
              </w:rPr>
              <w:t>Component</w:t>
            </w:r>
          </w:p>
        </w:tc>
        <w:tc>
          <w:tcPr>
            <w:tcW w:w="761" w:type="dxa"/>
            <w:shd w:val="clear" w:color="auto" w:fill="8DB3E2"/>
          </w:tcPr>
          <w:p w:rsidR="00A809B1" w:rsidRDefault="005F43F7">
            <w:pPr>
              <w:ind w:hanging="2"/>
              <w:jc w:val="center"/>
              <w:rPr>
                <w:sz w:val="24"/>
                <w:szCs w:val="24"/>
              </w:rPr>
            </w:pPr>
            <w:r>
              <w:rPr>
                <w:sz w:val="24"/>
                <w:szCs w:val="24"/>
              </w:rPr>
              <w:t>Total</w:t>
            </w:r>
          </w:p>
        </w:tc>
        <w:tc>
          <w:tcPr>
            <w:tcW w:w="1316" w:type="dxa"/>
            <w:shd w:val="clear" w:color="auto" w:fill="8DB3E2"/>
          </w:tcPr>
          <w:p w:rsidR="00A809B1" w:rsidRDefault="005F43F7">
            <w:pPr>
              <w:ind w:hanging="2"/>
              <w:jc w:val="center"/>
              <w:rPr>
                <w:sz w:val="24"/>
                <w:szCs w:val="24"/>
              </w:rPr>
            </w:pPr>
            <w:r>
              <w:rPr>
                <w:sz w:val="24"/>
                <w:szCs w:val="24"/>
              </w:rPr>
              <w:t>% Sample</w:t>
            </w:r>
          </w:p>
        </w:tc>
        <w:tc>
          <w:tcPr>
            <w:tcW w:w="1709" w:type="dxa"/>
            <w:shd w:val="clear" w:color="auto" w:fill="8DB3E2"/>
          </w:tcPr>
          <w:p w:rsidR="00A809B1" w:rsidRDefault="005F43F7">
            <w:pPr>
              <w:ind w:hanging="2"/>
              <w:jc w:val="center"/>
              <w:rPr>
                <w:sz w:val="24"/>
                <w:szCs w:val="24"/>
              </w:rPr>
            </w:pPr>
            <w:r>
              <w:rPr>
                <w:sz w:val="24"/>
                <w:szCs w:val="24"/>
              </w:rPr>
              <w:t>Component</w:t>
            </w:r>
          </w:p>
        </w:tc>
        <w:tc>
          <w:tcPr>
            <w:tcW w:w="761" w:type="dxa"/>
            <w:shd w:val="clear" w:color="auto" w:fill="8DB3E2"/>
          </w:tcPr>
          <w:p w:rsidR="00A809B1" w:rsidRDefault="005F43F7">
            <w:pPr>
              <w:ind w:hanging="2"/>
              <w:jc w:val="center"/>
              <w:rPr>
                <w:sz w:val="24"/>
                <w:szCs w:val="24"/>
              </w:rPr>
            </w:pPr>
            <w:r>
              <w:rPr>
                <w:sz w:val="24"/>
                <w:szCs w:val="24"/>
              </w:rPr>
              <w:t>Total</w:t>
            </w:r>
          </w:p>
        </w:tc>
        <w:tc>
          <w:tcPr>
            <w:tcW w:w="1408" w:type="dxa"/>
            <w:shd w:val="clear" w:color="auto" w:fill="8DB3E2"/>
          </w:tcPr>
          <w:p w:rsidR="00A809B1" w:rsidRDefault="005F43F7">
            <w:pPr>
              <w:ind w:hanging="2"/>
              <w:jc w:val="center"/>
              <w:rPr>
                <w:sz w:val="24"/>
                <w:szCs w:val="24"/>
              </w:rPr>
            </w:pPr>
            <w:r>
              <w:rPr>
                <w:sz w:val="24"/>
                <w:szCs w:val="24"/>
              </w:rPr>
              <w:t>% sample</w:t>
            </w:r>
          </w:p>
        </w:tc>
      </w:tr>
      <w:tr w:rsidR="00A809B1" w:rsidTr="00A809B1">
        <w:trPr>
          <w:jc w:val="center"/>
        </w:trPr>
        <w:tc>
          <w:tcPr>
            <w:tcW w:w="4484" w:type="dxa"/>
            <w:gridSpan w:val="3"/>
            <w:tcBorders>
              <w:left w:val="nil"/>
              <w:bottom w:val="single" w:sz="4" w:space="0" w:color="000000"/>
              <w:right w:val="nil"/>
            </w:tcBorders>
          </w:tcPr>
          <w:p w:rsidR="00A809B1" w:rsidRDefault="005F43F7">
            <w:pPr>
              <w:spacing w:before="0" w:after="0"/>
              <w:ind w:hanging="2"/>
              <w:jc w:val="center"/>
              <w:rPr>
                <w:b/>
                <w:sz w:val="24"/>
                <w:szCs w:val="24"/>
              </w:rPr>
            </w:pPr>
            <w:r>
              <w:rPr>
                <w:i/>
                <w:sz w:val="24"/>
                <w:szCs w:val="24"/>
              </w:rPr>
              <w:t>Gender</w:t>
            </w:r>
          </w:p>
        </w:tc>
        <w:tc>
          <w:tcPr>
            <w:tcW w:w="3878" w:type="dxa"/>
            <w:gridSpan w:val="3"/>
            <w:tcBorders>
              <w:left w:val="nil"/>
              <w:bottom w:val="single" w:sz="4" w:space="0" w:color="000000"/>
              <w:right w:val="nil"/>
            </w:tcBorders>
          </w:tcPr>
          <w:p w:rsidR="00A809B1" w:rsidRDefault="005F43F7">
            <w:pPr>
              <w:spacing w:before="0" w:after="0"/>
              <w:ind w:hanging="2"/>
              <w:jc w:val="center"/>
              <w:rPr>
                <w:b/>
                <w:sz w:val="24"/>
                <w:szCs w:val="24"/>
              </w:rPr>
            </w:pPr>
            <w:r>
              <w:rPr>
                <w:i/>
                <w:color w:val="000000"/>
                <w:sz w:val="24"/>
                <w:szCs w:val="24"/>
              </w:rPr>
              <w:t>Age</w:t>
            </w:r>
          </w:p>
        </w:tc>
      </w:tr>
      <w:tr w:rsidR="00A809B1" w:rsidTr="00A809B1">
        <w:trPr>
          <w:jc w:val="center"/>
        </w:trPr>
        <w:tc>
          <w:tcPr>
            <w:tcW w:w="2407"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Male</w:t>
            </w:r>
          </w:p>
        </w:tc>
        <w:tc>
          <w:tcPr>
            <w:tcW w:w="761"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171</w:t>
            </w:r>
          </w:p>
        </w:tc>
        <w:tc>
          <w:tcPr>
            <w:tcW w:w="1316"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34.2%</w:t>
            </w:r>
          </w:p>
        </w:tc>
        <w:tc>
          <w:tcPr>
            <w:tcW w:w="1709" w:type="dxa"/>
            <w:tcBorders>
              <w:top w:val="single" w:sz="4" w:space="0" w:color="000000"/>
              <w:left w:val="nil"/>
              <w:bottom w:val="nil"/>
              <w:right w:val="nil"/>
            </w:tcBorders>
          </w:tcPr>
          <w:p w:rsidR="00A809B1" w:rsidRDefault="005F43F7">
            <w:pPr>
              <w:spacing w:before="0" w:after="0"/>
              <w:ind w:hanging="2"/>
              <w:jc w:val="center"/>
              <w:rPr>
                <w:color w:val="000000"/>
                <w:sz w:val="24"/>
                <w:szCs w:val="24"/>
              </w:rPr>
            </w:pPr>
            <w:r>
              <w:rPr>
                <w:color w:val="000000"/>
                <w:sz w:val="24"/>
                <w:szCs w:val="24"/>
              </w:rPr>
              <w:t>15 – 19</w:t>
            </w:r>
          </w:p>
        </w:tc>
        <w:tc>
          <w:tcPr>
            <w:tcW w:w="761"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110</w:t>
            </w:r>
          </w:p>
        </w:tc>
        <w:tc>
          <w:tcPr>
            <w:tcW w:w="1408"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22.0%</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r>
              <w:rPr>
                <w:sz w:val="24"/>
                <w:szCs w:val="24"/>
              </w:rPr>
              <w:t>Female</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329</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65.8%</w:t>
            </w: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20 – 24</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169</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33.8%</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proofErr w:type="spellStart"/>
            <w:r>
              <w:rPr>
                <w:i/>
                <w:sz w:val="24"/>
                <w:szCs w:val="24"/>
              </w:rPr>
              <w:t>Etnic</w:t>
            </w:r>
            <w:proofErr w:type="spellEnd"/>
          </w:p>
        </w:tc>
        <w:tc>
          <w:tcPr>
            <w:tcW w:w="761" w:type="dxa"/>
            <w:tcBorders>
              <w:top w:val="nil"/>
              <w:left w:val="nil"/>
              <w:bottom w:val="nil"/>
              <w:right w:val="nil"/>
            </w:tcBorders>
          </w:tcPr>
          <w:p w:rsidR="00A809B1" w:rsidRDefault="00A809B1">
            <w:pPr>
              <w:spacing w:before="0" w:after="0"/>
              <w:ind w:hanging="2"/>
              <w:jc w:val="center"/>
              <w:rPr>
                <w:sz w:val="24"/>
                <w:szCs w:val="24"/>
              </w:rPr>
            </w:pPr>
          </w:p>
        </w:tc>
        <w:tc>
          <w:tcPr>
            <w:tcW w:w="1316" w:type="dxa"/>
            <w:tcBorders>
              <w:top w:val="nil"/>
              <w:left w:val="nil"/>
              <w:bottom w:val="nil"/>
              <w:right w:val="nil"/>
            </w:tcBorders>
          </w:tcPr>
          <w:p w:rsidR="00A809B1" w:rsidRDefault="00A809B1">
            <w:pPr>
              <w:spacing w:before="0" w:after="0"/>
              <w:ind w:hanging="2"/>
              <w:jc w:val="center"/>
              <w:rPr>
                <w:sz w:val="24"/>
                <w:szCs w:val="24"/>
              </w:rPr>
            </w:pP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25 – 29</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95</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19.0%</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Malay</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443</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88.6%</w:t>
            </w: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30 – 34</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71</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14.2%</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proofErr w:type="spellStart"/>
            <w:r>
              <w:rPr>
                <w:color w:val="000000"/>
                <w:sz w:val="24"/>
                <w:szCs w:val="24"/>
              </w:rPr>
              <w:t>Cina</w:t>
            </w:r>
            <w:proofErr w:type="spellEnd"/>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35</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7.0%</w:t>
            </w: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35 – 39</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23</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4.6%</w:t>
            </w:r>
          </w:p>
        </w:tc>
      </w:tr>
      <w:tr w:rsidR="00A809B1" w:rsidTr="00A809B1">
        <w:trPr>
          <w:jc w:val="center"/>
        </w:trPr>
        <w:tc>
          <w:tcPr>
            <w:tcW w:w="2407" w:type="dxa"/>
            <w:tcBorders>
              <w:top w:val="nil"/>
              <w:left w:val="nil"/>
              <w:bottom w:val="single" w:sz="4" w:space="0" w:color="000000"/>
              <w:right w:val="nil"/>
            </w:tcBorders>
          </w:tcPr>
          <w:p w:rsidR="00A809B1" w:rsidRDefault="005F43F7">
            <w:pPr>
              <w:spacing w:before="0" w:after="0"/>
              <w:ind w:hanging="2"/>
              <w:jc w:val="center"/>
              <w:rPr>
                <w:sz w:val="24"/>
                <w:szCs w:val="24"/>
              </w:rPr>
            </w:pPr>
            <w:r>
              <w:rPr>
                <w:color w:val="000000"/>
                <w:sz w:val="24"/>
                <w:szCs w:val="24"/>
              </w:rPr>
              <w:t>India</w:t>
            </w:r>
          </w:p>
        </w:tc>
        <w:tc>
          <w:tcPr>
            <w:tcW w:w="761"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22</w:t>
            </w:r>
          </w:p>
        </w:tc>
        <w:tc>
          <w:tcPr>
            <w:tcW w:w="1316"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4.4%</w:t>
            </w: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40 – 44</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15</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3.0%</w:t>
            </w:r>
          </w:p>
        </w:tc>
      </w:tr>
      <w:tr w:rsidR="00A809B1" w:rsidTr="00A809B1">
        <w:trPr>
          <w:jc w:val="center"/>
        </w:trPr>
        <w:tc>
          <w:tcPr>
            <w:tcW w:w="4484" w:type="dxa"/>
            <w:gridSpan w:val="3"/>
            <w:tcBorders>
              <w:left w:val="nil"/>
              <w:bottom w:val="single" w:sz="4" w:space="0" w:color="000000"/>
              <w:right w:val="nil"/>
            </w:tcBorders>
          </w:tcPr>
          <w:p w:rsidR="00A809B1" w:rsidRDefault="005F43F7">
            <w:pPr>
              <w:spacing w:before="0" w:after="0"/>
              <w:ind w:hanging="2"/>
              <w:jc w:val="center"/>
              <w:rPr>
                <w:sz w:val="24"/>
                <w:szCs w:val="24"/>
              </w:rPr>
            </w:pPr>
            <w:r>
              <w:rPr>
                <w:i/>
                <w:color w:val="000000"/>
                <w:sz w:val="24"/>
                <w:szCs w:val="24"/>
              </w:rPr>
              <w:lastRenderedPageBreak/>
              <w:t>Marital status</w:t>
            </w: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45 – 49</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12</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2.4%</w:t>
            </w:r>
          </w:p>
        </w:tc>
      </w:tr>
      <w:tr w:rsidR="00A809B1" w:rsidTr="00A809B1">
        <w:trPr>
          <w:jc w:val="center"/>
        </w:trPr>
        <w:tc>
          <w:tcPr>
            <w:tcW w:w="2407" w:type="dxa"/>
            <w:tcBorders>
              <w:top w:val="single" w:sz="4" w:space="0" w:color="000000"/>
              <w:left w:val="nil"/>
              <w:bottom w:val="nil"/>
              <w:right w:val="nil"/>
            </w:tcBorders>
          </w:tcPr>
          <w:p w:rsidR="00A809B1" w:rsidRDefault="005F43F7">
            <w:pPr>
              <w:spacing w:before="0" w:after="0"/>
              <w:ind w:hanging="2"/>
              <w:jc w:val="center"/>
              <w:rPr>
                <w:color w:val="000000"/>
                <w:sz w:val="24"/>
                <w:szCs w:val="24"/>
              </w:rPr>
            </w:pPr>
            <w:r>
              <w:rPr>
                <w:color w:val="000000"/>
                <w:sz w:val="24"/>
                <w:szCs w:val="24"/>
              </w:rPr>
              <w:t>Single</w:t>
            </w:r>
          </w:p>
        </w:tc>
        <w:tc>
          <w:tcPr>
            <w:tcW w:w="761"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344</w:t>
            </w:r>
          </w:p>
        </w:tc>
        <w:tc>
          <w:tcPr>
            <w:tcW w:w="1316"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68.8%</w:t>
            </w:r>
          </w:p>
        </w:tc>
        <w:tc>
          <w:tcPr>
            <w:tcW w:w="1709" w:type="dxa"/>
            <w:tcBorders>
              <w:top w:val="nil"/>
              <w:left w:val="nil"/>
              <w:bottom w:val="single" w:sz="4" w:space="0" w:color="000000"/>
              <w:right w:val="nil"/>
            </w:tcBorders>
          </w:tcPr>
          <w:p w:rsidR="00A809B1" w:rsidRDefault="005F43F7">
            <w:pPr>
              <w:spacing w:before="0" w:after="0"/>
              <w:ind w:hanging="2"/>
              <w:jc w:val="center"/>
              <w:rPr>
                <w:color w:val="000000"/>
                <w:sz w:val="24"/>
                <w:szCs w:val="24"/>
              </w:rPr>
            </w:pPr>
            <w:r>
              <w:rPr>
                <w:color w:val="000000"/>
                <w:sz w:val="24"/>
                <w:szCs w:val="24"/>
              </w:rPr>
              <w:t>50 &gt;</w:t>
            </w:r>
          </w:p>
        </w:tc>
        <w:tc>
          <w:tcPr>
            <w:tcW w:w="761"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5</w:t>
            </w:r>
          </w:p>
        </w:tc>
        <w:tc>
          <w:tcPr>
            <w:tcW w:w="1408"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1.0%</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Married</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143</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28.6%</w:t>
            </w:r>
          </w:p>
        </w:tc>
        <w:tc>
          <w:tcPr>
            <w:tcW w:w="3878" w:type="dxa"/>
            <w:gridSpan w:val="3"/>
            <w:tcBorders>
              <w:top w:val="single" w:sz="4" w:space="0" w:color="000000"/>
              <w:left w:val="nil"/>
              <w:bottom w:val="single" w:sz="4" w:space="0" w:color="000000"/>
              <w:right w:val="nil"/>
            </w:tcBorders>
          </w:tcPr>
          <w:p w:rsidR="00A809B1" w:rsidRDefault="005F43F7">
            <w:pPr>
              <w:spacing w:before="0" w:after="0"/>
              <w:ind w:hanging="2"/>
              <w:jc w:val="center"/>
              <w:rPr>
                <w:sz w:val="24"/>
                <w:szCs w:val="24"/>
              </w:rPr>
            </w:pPr>
            <w:r>
              <w:rPr>
                <w:i/>
                <w:sz w:val="24"/>
                <w:szCs w:val="24"/>
              </w:rPr>
              <w:t>Occupation/ profession</w:t>
            </w:r>
          </w:p>
        </w:tc>
      </w:tr>
      <w:tr w:rsidR="00A809B1" w:rsidTr="00A809B1">
        <w:trPr>
          <w:trHeight w:val="360"/>
          <w:jc w:val="center"/>
        </w:trPr>
        <w:tc>
          <w:tcPr>
            <w:tcW w:w="2407" w:type="dxa"/>
            <w:tcBorders>
              <w:top w:val="nil"/>
              <w:left w:val="nil"/>
              <w:bottom w:val="single" w:sz="4" w:space="0" w:color="000000"/>
              <w:right w:val="nil"/>
            </w:tcBorders>
          </w:tcPr>
          <w:p w:rsidR="00A809B1" w:rsidRDefault="005F43F7">
            <w:pPr>
              <w:spacing w:before="0" w:after="0"/>
              <w:ind w:hanging="2"/>
              <w:jc w:val="center"/>
              <w:rPr>
                <w:color w:val="000000"/>
                <w:sz w:val="24"/>
                <w:szCs w:val="24"/>
              </w:rPr>
            </w:pPr>
            <w:r>
              <w:rPr>
                <w:color w:val="000000"/>
                <w:sz w:val="24"/>
                <w:szCs w:val="24"/>
              </w:rPr>
              <w:t>Widow/ widower</w:t>
            </w:r>
          </w:p>
        </w:tc>
        <w:tc>
          <w:tcPr>
            <w:tcW w:w="761"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13</w:t>
            </w:r>
          </w:p>
        </w:tc>
        <w:tc>
          <w:tcPr>
            <w:tcW w:w="1316"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2.6%</w:t>
            </w:r>
          </w:p>
        </w:tc>
        <w:tc>
          <w:tcPr>
            <w:tcW w:w="1709" w:type="dxa"/>
            <w:tcBorders>
              <w:top w:val="single" w:sz="4" w:space="0" w:color="000000"/>
              <w:left w:val="nil"/>
              <w:bottom w:val="nil"/>
              <w:right w:val="nil"/>
            </w:tcBorders>
          </w:tcPr>
          <w:p w:rsidR="00A809B1" w:rsidRDefault="005F43F7">
            <w:pPr>
              <w:spacing w:before="0" w:after="0"/>
              <w:ind w:hanging="2"/>
              <w:jc w:val="center"/>
              <w:rPr>
                <w:sz w:val="24"/>
                <w:szCs w:val="24"/>
              </w:rPr>
            </w:pPr>
            <w:r>
              <w:rPr>
                <w:color w:val="000000"/>
                <w:sz w:val="24"/>
                <w:szCs w:val="24"/>
              </w:rPr>
              <w:t>Top management</w:t>
            </w:r>
          </w:p>
        </w:tc>
        <w:tc>
          <w:tcPr>
            <w:tcW w:w="761"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16</w:t>
            </w:r>
          </w:p>
        </w:tc>
        <w:tc>
          <w:tcPr>
            <w:tcW w:w="1408"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3.2%</w:t>
            </w:r>
          </w:p>
        </w:tc>
      </w:tr>
      <w:tr w:rsidR="00A809B1" w:rsidTr="00A809B1">
        <w:trPr>
          <w:jc w:val="center"/>
        </w:trPr>
        <w:tc>
          <w:tcPr>
            <w:tcW w:w="4484" w:type="dxa"/>
            <w:gridSpan w:val="3"/>
            <w:tcBorders>
              <w:top w:val="single" w:sz="4" w:space="0" w:color="000000"/>
              <w:left w:val="nil"/>
              <w:bottom w:val="single" w:sz="4" w:space="0" w:color="000000"/>
              <w:right w:val="nil"/>
            </w:tcBorders>
          </w:tcPr>
          <w:p w:rsidR="00A809B1" w:rsidRDefault="005F43F7">
            <w:pPr>
              <w:spacing w:before="0" w:after="0"/>
              <w:ind w:hanging="2"/>
              <w:jc w:val="center"/>
              <w:rPr>
                <w:sz w:val="24"/>
                <w:szCs w:val="24"/>
              </w:rPr>
            </w:pPr>
            <w:r>
              <w:rPr>
                <w:i/>
                <w:sz w:val="24"/>
                <w:szCs w:val="24"/>
              </w:rPr>
              <w:t>Education</w:t>
            </w:r>
          </w:p>
        </w:tc>
        <w:tc>
          <w:tcPr>
            <w:tcW w:w="1709"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Professional Group</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108</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21.6%</w:t>
            </w:r>
          </w:p>
        </w:tc>
      </w:tr>
      <w:tr w:rsidR="00A809B1" w:rsidTr="00A809B1">
        <w:trPr>
          <w:jc w:val="center"/>
        </w:trPr>
        <w:tc>
          <w:tcPr>
            <w:tcW w:w="2407" w:type="dxa"/>
            <w:tcBorders>
              <w:top w:val="single" w:sz="4" w:space="0" w:color="000000"/>
              <w:left w:val="nil"/>
              <w:bottom w:val="nil"/>
              <w:right w:val="nil"/>
            </w:tcBorders>
          </w:tcPr>
          <w:p w:rsidR="00A809B1" w:rsidRDefault="005F43F7">
            <w:pPr>
              <w:spacing w:before="0" w:after="0"/>
              <w:ind w:hanging="2"/>
              <w:jc w:val="center"/>
              <w:rPr>
                <w:sz w:val="24"/>
                <w:szCs w:val="24"/>
              </w:rPr>
            </w:pPr>
            <w:r>
              <w:rPr>
                <w:color w:val="000000"/>
                <w:sz w:val="24"/>
                <w:szCs w:val="24"/>
              </w:rPr>
              <w:t>Malaysian Certificate of Education (SPM)</w:t>
            </w:r>
          </w:p>
        </w:tc>
        <w:tc>
          <w:tcPr>
            <w:tcW w:w="761"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162</w:t>
            </w:r>
          </w:p>
        </w:tc>
        <w:tc>
          <w:tcPr>
            <w:tcW w:w="1316" w:type="dxa"/>
            <w:tcBorders>
              <w:top w:val="single" w:sz="4" w:space="0" w:color="000000"/>
              <w:left w:val="nil"/>
              <w:bottom w:val="nil"/>
              <w:right w:val="nil"/>
            </w:tcBorders>
          </w:tcPr>
          <w:p w:rsidR="00A809B1" w:rsidRDefault="005F43F7">
            <w:pPr>
              <w:spacing w:before="0" w:after="0"/>
              <w:ind w:hanging="2"/>
              <w:jc w:val="center"/>
              <w:rPr>
                <w:sz w:val="24"/>
                <w:szCs w:val="24"/>
              </w:rPr>
            </w:pPr>
            <w:r>
              <w:rPr>
                <w:sz w:val="24"/>
                <w:szCs w:val="24"/>
              </w:rPr>
              <w:t>32.4%</w:t>
            </w:r>
          </w:p>
        </w:tc>
        <w:tc>
          <w:tcPr>
            <w:tcW w:w="1709"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Business/ Self employed</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28</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5.6%</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Diploma / STPM</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26</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5.2%</w:t>
            </w:r>
          </w:p>
        </w:tc>
        <w:tc>
          <w:tcPr>
            <w:tcW w:w="1709"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Technical/ Intermediate group</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20</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4.0%</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Bachelor’s Degree</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235</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47.0%</w:t>
            </w:r>
          </w:p>
        </w:tc>
        <w:tc>
          <w:tcPr>
            <w:tcW w:w="1709"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Support group</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72</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14.4%</w:t>
            </w:r>
          </w:p>
        </w:tc>
      </w:tr>
      <w:tr w:rsidR="00A809B1" w:rsidTr="00A809B1">
        <w:trPr>
          <w:jc w:val="center"/>
        </w:trPr>
        <w:tc>
          <w:tcPr>
            <w:tcW w:w="2407" w:type="dxa"/>
            <w:tcBorders>
              <w:top w:val="nil"/>
              <w:left w:val="nil"/>
              <w:bottom w:val="nil"/>
              <w:right w:val="nil"/>
            </w:tcBorders>
          </w:tcPr>
          <w:p w:rsidR="00A809B1" w:rsidRDefault="005F43F7">
            <w:pPr>
              <w:spacing w:before="0" w:after="0"/>
              <w:ind w:hanging="2"/>
              <w:jc w:val="center"/>
              <w:rPr>
                <w:sz w:val="24"/>
                <w:szCs w:val="24"/>
              </w:rPr>
            </w:pPr>
            <w:r>
              <w:rPr>
                <w:color w:val="000000"/>
                <w:sz w:val="24"/>
                <w:szCs w:val="24"/>
              </w:rPr>
              <w:t>Master’s Degree</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72</w:t>
            </w:r>
          </w:p>
        </w:tc>
        <w:tc>
          <w:tcPr>
            <w:tcW w:w="1316" w:type="dxa"/>
            <w:tcBorders>
              <w:top w:val="nil"/>
              <w:left w:val="nil"/>
              <w:bottom w:val="nil"/>
              <w:right w:val="nil"/>
            </w:tcBorders>
          </w:tcPr>
          <w:p w:rsidR="00A809B1" w:rsidRDefault="005F43F7">
            <w:pPr>
              <w:spacing w:before="0" w:after="0"/>
              <w:ind w:hanging="2"/>
              <w:jc w:val="center"/>
              <w:rPr>
                <w:sz w:val="24"/>
                <w:szCs w:val="24"/>
              </w:rPr>
            </w:pPr>
            <w:r>
              <w:rPr>
                <w:sz w:val="24"/>
                <w:szCs w:val="24"/>
              </w:rPr>
              <w:t>14.4%</w:t>
            </w:r>
          </w:p>
        </w:tc>
        <w:tc>
          <w:tcPr>
            <w:tcW w:w="1709" w:type="dxa"/>
            <w:tcBorders>
              <w:top w:val="nil"/>
              <w:left w:val="nil"/>
              <w:bottom w:val="nil"/>
              <w:right w:val="nil"/>
            </w:tcBorders>
          </w:tcPr>
          <w:p w:rsidR="00A809B1" w:rsidRDefault="005F43F7">
            <w:pPr>
              <w:spacing w:before="0" w:after="0"/>
              <w:ind w:hanging="2"/>
              <w:jc w:val="center"/>
              <w:rPr>
                <w:color w:val="000000"/>
                <w:sz w:val="24"/>
                <w:szCs w:val="24"/>
              </w:rPr>
            </w:pPr>
            <w:r>
              <w:rPr>
                <w:color w:val="000000"/>
                <w:sz w:val="24"/>
                <w:szCs w:val="24"/>
              </w:rPr>
              <w:t>Unemployed</w:t>
            </w:r>
          </w:p>
        </w:tc>
        <w:tc>
          <w:tcPr>
            <w:tcW w:w="761" w:type="dxa"/>
            <w:tcBorders>
              <w:top w:val="nil"/>
              <w:left w:val="nil"/>
              <w:bottom w:val="nil"/>
              <w:right w:val="nil"/>
            </w:tcBorders>
          </w:tcPr>
          <w:p w:rsidR="00A809B1" w:rsidRDefault="005F43F7">
            <w:pPr>
              <w:spacing w:before="0" w:after="0"/>
              <w:ind w:hanging="2"/>
              <w:jc w:val="center"/>
              <w:rPr>
                <w:sz w:val="24"/>
                <w:szCs w:val="24"/>
              </w:rPr>
            </w:pPr>
            <w:r>
              <w:rPr>
                <w:sz w:val="24"/>
                <w:szCs w:val="24"/>
              </w:rPr>
              <w:t>256</w:t>
            </w:r>
          </w:p>
        </w:tc>
        <w:tc>
          <w:tcPr>
            <w:tcW w:w="1408" w:type="dxa"/>
            <w:tcBorders>
              <w:top w:val="nil"/>
              <w:left w:val="nil"/>
              <w:bottom w:val="nil"/>
              <w:right w:val="nil"/>
            </w:tcBorders>
          </w:tcPr>
          <w:p w:rsidR="00A809B1" w:rsidRDefault="005F43F7">
            <w:pPr>
              <w:spacing w:before="0" w:after="0"/>
              <w:ind w:hanging="2"/>
              <w:jc w:val="center"/>
              <w:rPr>
                <w:sz w:val="24"/>
                <w:szCs w:val="24"/>
              </w:rPr>
            </w:pPr>
            <w:r>
              <w:rPr>
                <w:sz w:val="24"/>
                <w:szCs w:val="24"/>
              </w:rPr>
              <w:t>51.2%</w:t>
            </w:r>
          </w:p>
        </w:tc>
      </w:tr>
      <w:tr w:rsidR="00A809B1" w:rsidTr="00A809B1">
        <w:trPr>
          <w:jc w:val="center"/>
        </w:trPr>
        <w:tc>
          <w:tcPr>
            <w:tcW w:w="2407" w:type="dxa"/>
            <w:tcBorders>
              <w:top w:val="nil"/>
              <w:left w:val="nil"/>
              <w:bottom w:val="single" w:sz="4" w:space="0" w:color="000000"/>
              <w:right w:val="nil"/>
            </w:tcBorders>
          </w:tcPr>
          <w:p w:rsidR="00A809B1" w:rsidRDefault="005F43F7">
            <w:pPr>
              <w:spacing w:before="0" w:after="0"/>
              <w:ind w:hanging="2"/>
              <w:jc w:val="center"/>
              <w:rPr>
                <w:sz w:val="24"/>
                <w:szCs w:val="24"/>
              </w:rPr>
            </w:pPr>
            <w:r>
              <w:rPr>
                <w:color w:val="000000"/>
                <w:sz w:val="24"/>
                <w:szCs w:val="24"/>
              </w:rPr>
              <w:t>Doctor of Philosophy</w:t>
            </w:r>
          </w:p>
        </w:tc>
        <w:tc>
          <w:tcPr>
            <w:tcW w:w="761"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5</w:t>
            </w:r>
          </w:p>
        </w:tc>
        <w:tc>
          <w:tcPr>
            <w:tcW w:w="1316" w:type="dxa"/>
            <w:tcBorders>
              <w:top w:val="nil"/>
              <w:left w:val="nil"/>
              <w:bottom w:val="single" w:sz="4" w:space="0" w:color="000000"/>
              <w:right w:val="nil"/>
            </w:tcBorders>
          </w:tcPr>
          <w:p w:rsidR="00A809B1" w:rsidRDefault="005F43F7">
            <w:pPr>
              <w:spacing w:before="0" w:after="0"/>
              <w:ind w:hanging="2"/>
              <w:jc w:val="center"/>
              <w:rPr>
                <w:sz w:val="24"/>
                <w:szCs w:val="24"/>
              </w:rPr>
            </w:pPr>
            <w:r>
              <w:rPr>
                <w:sz w:val="24"/>
                <w:szCs w:val="24"/>
              </w:rPr>
              <w:t>1.0%</w:t>
            </w:r>
          </w:p>
        </w:tc>
        <w:tc>
          <w:tcPr>
            <w:tcW w:w="3878" w:type="dxa"/>
            <w:gridSpan w:val="3"/>
            <w:tcBorders>
              <w:top w:val="nil"/>
              <w:left w:val="nil"/>
              <w:right w:val="nil"/>
            </w:tcBorders>
          </w:tcPr>
          <w:p w:rsidR="00A809B1" w:rsidRDefault="00A809B1">
            <w:pPr>
              <w:spacing w:before="0" w:after="0"/>
              <w:ind w:hanging="2"/>
              <w:jc w:val="center"/>
              <w:rPr>
                <w:sz w:val="24"/>
                <w:szCs w:val="24"/>
              </w:rPr>
            </w:pPr>
          </w:p>
        </w:tc>
      </w:tr>
    </w:tbl>
    <w:p w:rsidR="00A809B1" w:rsidRDefault="005F43F7">
      <w:pPr>
        <w:pBdr>
          <w:top w:val="nil"/>
          <w:left w:val="nil"/>
          <w:bottom w:val="nil"/>
          <w:right w:val="nil"/>
          <w:between w:val="nil"/>
        </w:pBdr>
        <w:spacing w:after="0" w:line="240" w:lineRule="auto"/>
        <w:ind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Source: Field study </w:t>
      </w:r>
    </w:p>
    <w:p w:rsidR="00A809B1" w:rsidRDefault="00A809B1">
      <w:pPr>
        <w:spacing w:after="0" w:line="240" w:lineRule="auto"/>
        <w:ind w:hanging="2"/>
        <w:rPr>
          <w:rFonts w:ascii="Times New Roman" w:eastAsia="Times New Roman" w:hAnsi="Times New Roman" w:cs="Times New Roman"/>
          <w:i/>
          <w:sz w:val="24"/>
          <w:szCs w:val="24"/>
        </w:rPr>
      </w:pPr>
    </w:p>
    <w:p w:rsidR="00A809B1" w:rsidRDefault="005F43F7">
      <w:pPr>
        <w:spacing w:after="0" w:line="240" w:lineRule="auto"/>
        <w:ind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Tourist segments</w:t>
      </w:r>
    </w:p>
    <w:p w:rsidR="00A809B1" w:rsidRDefault="00A809B1">
      <w:pPr>
        <w:spacing w:after="0" w:line="240" w:lineRule="auto"/>
        <w:ind w:hanging="2"/>
        <w:rPr>
          <w:rFonts w:ascii="Times New Roman" w:eastAsia="Times New Roman" w:hAnsi="Times New Roman" w:cs="Times New Roman"/>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domestic tourists are categorized into three segments: students, youth and families. For the student segment, there were 44 male and 60 female respondents, totaling 104 respondents. In the youth segment, there were 80 male and 159 female respondents, making up a total of 239 respondents. The family segment recorded 172 male and 328 female respondents, with a total of 500 respondents.</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keepNext/>
        <w:pBdr>
          <w:top w:val="nil"/>
          <w:left w:val="nil"/>
          <w:bottom w:val="nil"/>
          <w:right w:val="nil"/>
          <w:between w:val="nil"/>
        </w:pBdr>
        <w:tabs>
          <w:tab w:val="left" w:pos="1701"/>
        </w:tabs>
        <w:spacing w:after="0" w:line="240" w:lineRule="auto"/>
        <w:ind w:right="72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2. </w:t>
      </w:r>
      <w:r>
        <w:rPr>
          <w:rFonts w:ascii="Times New Roman" w:eastAsia="Times New Roman" w:hAnsi="Times New Roman" w:cs="Times New Roman"/>
          <w:color w:val="000000"/>
          <w:sz w:val="24"/>
          <w:szCs w:val="24"/>
        </w:rPr>
        <w:t>Domestic tourist segment</w:t>
      </w:r>
    </w:p>
    <w:p w:rsidR="00A809B1" w:rsidRDefault="00A809B1">
      <w:pPr>
        <w:keepNext/>
        <w:pBdr>
          <w:top w:val="nil"/>
          <w:left w:val="nil"/>
          <w:bottom w:val="nil"/>
          <w:right w:val="nil"/>
          <w:between w:val="nil"/>
        </w:pBdr>
        <w:tabs>
          <w:tab w:val="left" w:pos="1701"/>
        </w:tabs>
        <w:spacing w:after="0" w:line="240" w:lineRule="auto"/>
        <w:ind w:right="720" w:hanging="720"/>
        <w:rPr>
          <w:rFonts w:ascii="Times New Roman" w:eastAsia="Times New Roman" w:hAnsi="Times New Roman" w:cs="Times New Roman"/>
          <w:color w:val="000000"/>
          <w:sz w:val="24"/>
          <w:szCs w:val="24"/>
        </w:rPr>
      </w:pPr>
    </w:p>
    <w:tbl>
      <w:tblPr>
        <w:tblStyle w:val="a1"/>
        <w:tblW w:w="5529" w:type="dxa"/>
        <w:jc w:val="center"/>
        <w:tblBorders>
          <w:top w:val="nil"/>
          <w:bottom w:val="nil"/>
        </w:tblBorders>
        <w:tblLayout w:type="fixed"/>
        <w:tblLook w:val="0420" w:firstRow="1" w:lastRow="0" w:firstColumn="0" w:lastColumn="0" w:noHBand="0" w:noVBand="1"/>
      </w:tblPr>
      <w:tblGrid>
        <w:gridCol w:w="1275"/>
        <w:gridCol w:w="1277"/>
        <w:gridCol w:w="1701"/>
        <w:gridCol w:w="1276"/>
      </w:tblGrid>
      <w:tr w:rsidR="00A809B1" w:rsidTr="00A809B1">
        <w:trPr>
          <w:cnfStyle w:val="100000000000" w:firstRow="1" w:lastRow="0" w:firstColumn="0" w:lastColumn="0" w:oddVBand="0" w:evenVBand="0" w:oddHBand="0" w:evenHBand="0" w:firstRowFirstColumn="0" w:firstRowLastColumn="0" w:lastRowFirstColumn="0" w:lastRowLastColumn="0"/>
          <w:jc w:val="center"/>
        </w:trPr>
        <w:tc>
          <w:tcPr>
            <w:tcW w:w="1275" w:type="dxa"/>
            <w:vMerge w:val="restart"/>
            <w:shd w:val="clear" w:color="auto" w:fill="8DB3E2"/>
          </w:tcPr>
          <w:p w:rsidR="00A809B1" w:rsidRDefault="005F43F7">
            <w:pPr>
              <w:pBdr>
                <w:top w:val="nil"/>
                <w:left w:val="nil"/>
                <w:bottom w:val="nil"/>
                <w:right w:val="nil"/>
                <w:between w:val="nil"/>
              </w:pBdr>
              <w:tabs>
                <w:tab w:val="left" w:pos="1701"/>
              </w:tabs>
              <w:ind w:hanging="720"/>
              <w:jc w:val="center"/>
              <w:rPr>
                <w:color w:val="000000"/>
                <w:sz w:val="24"/>
                <w:szCs w:val="24"/>
              </w:rPr>
            </w:pPr>
            <w:r>
              <w:rPr>
                <w:b w:val="0"/>
                <w:color w:val="000000"/>
                <w:sz w:val="24"/>
                <w:szCs w:val="24"/>
              </w:rPr>
              <w:t>Tourist Segment</w:t>
            </w:r>
          </w:p>
        </w:tc>
        <w:tc>
          <w:tcPr>
            <w:tcW w:w="2978" w:type="dxa"/>
            <w:gridSpan w:val="2"/>
            <w:shd w:val="clear" w:color="auto" w:fill="8DB3E2"/>
          </w:tcPr>
          <w:p w:rsidR="00A809B1" w:rsidRDefault="005F43F7">
            <w:pPr>
              <w:pBdr>
                <w:top w:val="nil"/>
                <w:left w:val="nil"/>
                <w:bottom w:val="nil"/>
                <w:right w:val="nil"/>
                <w:between w:val="nil"/>
              </w:pBdr>
              <w:tabs>
                <w:tab w:val="left" w:pos="1701"/>
              </w:tabs>
              <w:ind w:hanging="2"/>
              <w:jc w:val="center"/>
              <w:rPr>
                <w:color w:val="000000"/>
                <w:sz w:val="24"/>
                <w:szCs w:val="24"/>
              </w:rPr>
            </w:pPr>
            <w:r>
              <w:rPr>
                <w:b w:val="0"/>
                <w:color w:val="000000"/>
                <w:sz w:val="24"/>
                <w:szCs w:val="24"/>
              </w:rPr>
              <w:t>Gender</w:t>
            </w:r>
          </w:p>
        </w:tc>
        <w:tc>
          <w:tcPr>
            <w:tcW w:w="1276" w:type="dxa"/>
            <w:vMerge w:val="restart"/>
            <w:shd w:val="clear" w:color="auto" w:fill="8DB3E2"/>
          </w:tcPr>
          <w:p w:rsidR="00A809B1" w:rsidRDefault="005F43F7">
            <w:pPr>
              <w:pBdr>
                <w:top w:val="nil"/>
                <w:left w:val="nil"/>
                <w:bottom w:val="nil"/>
                <w:right w:val="nil"/>
                <w:between w:val="nil"/>
              </w:pBdr>
              <w:tabs>
                <w:tab w:val="left" w:pos="1701"/>
              </w:tabs>
              <w:ind w:hanging="2"/>
              <w:jc w:val="center"/>
              <w:rPr>
                <w:color w:val="000000"/>
                <w:sz w:val="24"/>
                <w:szCs w:val="24"/>
              </w:rPr>
            </w:pPr>
            <w:r>
              <w:rPr>
                <w:b w:val="0"/>
                <w:color w:val="000000"/>
                <w:sz w:val="24"/>
                <w:szCs w:val="24"/>
              </w:rPr>
              <w:t>Total</w:t>
            </w:r>
          </w:p>
        </w:tc>
      </w:tr>
      <w:tr w:rsidR="00A809B1" w:rsidTr="00A809B1">
        <w:trPr>
          <w:jc w:val="center"/>
        </w:trPr>
        <w:tc>
          <w:tcPr>
            <w:tcW w:w="1275" w:type="dxa"/>
            <w:vMerge/>
            <w:tcBorders>
              <w:left w:val="nil"/>
              <w:right w:val="nil"/>
            </w:tcBorders>
            <w:shd w:val="clear" w:color="auto" w:fill="8DB3E2"/>
          </w:tcPr>
          <w:p w:rsidR="00A809B1" w:rsidRDefault="00A809B1">
            <w:pPr>
              <w:pBdr>
                <w:top w:val="nil"/>
                <w:left w:val="nil"/>
                <w:bottom w:val="nil"/>
                <w:right w:val="nil"/>
                <w:between w:val="nil"/>
              </w:pBdr>
              <w:spacing w:before="0" w:after="0" w:line="276" w:lineRule="auto"/>
              <w:ind w:firstLine="0"/>
              <w:rPr>
                <w:color w:val="000000"/>
                <w:sz w:val="24"/>
                <w:szCs w:val="24"/>
              </w:rPr>
            </w:pPr>
          </w:p>
        </w:tc>
        <w:tc>
          <w:tcPr>
            <w:tcW w:w="1277" w:type="dxa"/>
            <w:tcBorders>
              <w:top w:val="single" w:sz="4" w:space="0" w:color="000000"/>
              <w:bottom w:val="single" w:sz="4" w:space="0" w:color="000000"/>
            </w:tcBorders>
            <w:shd w:val="clear" w:color="auto" w:fill="8DB3E2"/>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Male (%)</w:t>
            </w:r>
          </w:p>
        </w:tc>
        <w:tc>
          <w:tcPr>
            <w:tcW w:w="1701" w:type="dxa"/>
            <w:tcBorders>
              <w:top w:val="single" w:sz="4" w:space="0" w:color="000000"/>
              <w:bottom w:val="single" w:sz="4" w:space="0" w:color="000000"/>
            </w:tcBorders>
            <w:shd w:val="clear" w:color="auto" w:fill="8DB3E2"/>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Female (%)</w:t>
            </w:r>
          </w:p>
        </w:tc>
        <w:tc>
          <w:tcPr>
            <w:tcW w:w="1276" w:type="dxa"/>
            <w:vMerge/>
            <w:tcBorders>
              <w:left w:val="nil"/>
              <w:right w:val="nil"/>
            </w:tcBorders>
            <w:shd w:val="clear" w:color="auto" w:fill="8DB3E2"/>
          </w:tcPr>
          <w:p w:rsidR="00A809B1" w:rsidRDefault="00A809B1">
            <w:pPr>
              <w:pBdr>
                <w:top w:val="nil"/>
                <w:left w:val="nil"/>
                <w:bottom w:val="nil"/>
                <w:right w:val="nil"/>
                <w:between w:val="nil"/>
              </w:pBdr>
              <w:spacing w:before="0" w:after="0" w:line="276" w:lineRule="auto"/>
              <w:ind w:firstLine="0"/>
              <w:rPr>
                <w:b/>
                <w:color w:val="000000"/>
                <w:sz w:val="24"/>
                <w:szCs w:val="24"/>
              </w:rPr>
            </w:pPr>
          </w:p>
        </w:tc>
      </w:tr>
      <w:tr w:rsidR="00A809B1" w:rsidTr="00A809B1">
        <w:trPr>
          <w:trHeight w:val="42"/>
          <w:jc w:val="center"/>
        </w:trPr>
        <w:tc>
          <w:tcPr>
            <w:tcW w:w="1275" w:type="dxa"/>
            <w:tcBorders>
              <w:top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Student</w:t>
            </w:r>
          </w:p>
        </w:tc>
        <w:tc>
          <w:tcPr>
            <w:tcW w:w="1277" w:type="dxa"/>
            <w:tcBorders>
              <w:top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44 (42.4)</w:t>
            </w:r>
          </w:p>
        </w:tc>
        <w:tc>
          <w:tcPr>
            <w:tcW w:w="1701" w:type="dxa"/>
            <w:tcBorders>
              <w:top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60 (57.6)</w:t>
            </w:r>
          </w:p>
        </w:tc>
        <w:tc>
          <w:tcPr>
            <w:tcW w:w="1276" w:type="dxa"/>
            <w:tcBorders>
              <w:top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104</w:t>
            </w:r>
          </w:p>
        </w:tc>
      </w:tr>
      <w:tr w:rsidR="00A809B1" w:rsidTr="00A809B1">
        <w:trPr>
          <w:jc w:val="center"/>
        </w:trPr>
        <w:tc>
          <w:tcPr>
            <w:tcW w:w="127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Youth</w:t>
            </w:r>
          </w:p>
        </w:tc>
        <w:tc>
          <w:tcPr>
            <w:tcW w:w="1277"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80 (33.5)</w:t>
            </w:r>
          </w:p>
        </w:tc>
        <w:tc>
          <w:tcPr>
            <w:tcW w:w="1701"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159 (66.5)</w:t>
            </w:r>
          </w:p>
        </w:tc>
        <w:tc>
          <w:tcPr>
            <w:tcW w:w="1276"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239</w:t>
            </w:r>
          </w:p>
        </w:tc>
      </w:tr>
      <w:tr w:rsidR="00A809B1" w:rsidTr="00A809B1">
        <w:trPr>
          <w:jc w:val="center"/>
        </w:trPr>
        <w:tc>
          <w:tcPr>
            <w:tcW w:w="1275"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Family</w:t>
            </w:r>
          </w:p>
        </w:tc>
        <w:tc>
          <w:tcPr>
            <w:tcW w:w="1277"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48 (30.6)</w:t>
            </w:r>
          </w:p>
        </w:tc>
        <w:tc>
          <w:tcPr>
            <w:tcW w:w="1701"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109 (69.4)</w:t>
            </w:r>
          </w:p>
        </w:tc>
        <w:tc>
          <w:tcPr>
            <w:tcW w:w="1276"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157</w:t>
            </w:r>
          </w:p>
        </w:tc>
      </w:tr>
      <w:tr w:rsidR="00A809B1" w:rsidTr="00A809B1">
        <w:trPr>
          <w:jc w:val="center"/>
        </w:trPr>
        <w:tc>
          <w:tcPr>
            <w:tcW w:w="1275"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Total</w:t>
            </w:r>
          </w:p>
        </w:tc>
        <w:tc>
          <w:tcPr>
            <w:tcW w:w="1277"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171 (34.2)</w:t>
            </w:r>
          </w:p>
        </w:tc>
        <w:tc>
          <w:tcPr>
            <w:tcW w:w="1701"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329 (65.8)</w:t>
            </w:r>
          </w:p>
        </w:tc>
        <w:tc>
          <w:tcPr>
            <w:tcW w:w="1276"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500</w:t>
            </w:r>
          </w:p>
        </w:tc>
      </w:tr>
    </w:tbl>
    <w:p w:rsidR="00A809B1" w:rsidRDefault="00A809B1">
      <w:pPr>
        <w:spacing w:after="0" w:line="240" w:lineRule="auto"/>
        <w:ind w:hanging="2"/>
        <w:rPr>
          <w:rFonts w:ascii="Times New Roman" w:eastAsia="Times New Roman" w:hAnsi="Times New Roman" w:cs="Times New Roman"/>
          <w:b/>
          <w:sz w:val="24"/>
          <w:szCs w:val="24"/>
        </w:rPr>
      </w:pPr>
    </w:p>
    <w:p w:rsidR="00A809B1" w:rsidRDefault="005F43F7">
      <w:pPr>
        <w:spacing w:after="0" w:line="240" w:lineRule="auto"/>
        <w:ind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Duration of visits to the royal town of Kuala </w:t>
      </w:r>
      <w:proofErr w:type="spellStart"/>
      <w:r>
        <w:rPr>
          <w:rFonts w:ascii="Times New Roman" w:eastAsia="Times New Roman" w:hAnsi="Times New Roman" w:cs="Times New Roman"/>
          <w:i/>
          <w:sz w:val="24"/>
          <w:szCs w:val="24"/>
        </w:rPr>
        <w:t>Kangsar</w:t>
      </w:r>
      <w:proofErr w:type="spellEnd"/>
    </w:p>
    <w:p w:rsidR="00A809B1" w:rsidRDefault="00A809B1">
      <w:pPr>
        <w:spacing w:after="0" w:line="240" w:lineRule="auto"/>
        <w:ind w:hanging="2"/>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average, tourists in each segment spend only 1-2 days visiting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According to Table 3, 18.4% (57 individuals) of students, 48.4% (150 individuals) of youth and 33.2% (103 individuals) of families choose to visit for 1-2 days. This duration is considered highly appropriate due to the proximity of Kuala </w:t>
      </w:r>
      <w:proofErr w:type="spellStart"/>
      <w:r>
        <w:rPr>
          <w:rFonts w:ascii="Times New Roman" w:eastAsia="Times New Roman" w:hAnsi="Times New Roman" w:cs="Times New Roman"/>
          <w:sz w:val="24"/>
          <w:szCs w:val="24"/>
        </w:rPr>
        <w:t>Kangsar's</w:t>
      </w:r>
      <w:proofErr w:type="spellEnd"/>
      <w:r>
        <w:rPr>
          <w:rFonts w:ascii="Times New Roman" w:eastAsia="Times New Roman" w:hAnsi="Times New Roman" w:cs="Times New Roman"/>
          <w:sz w:val="24"/>
          <w:szCs w:val="24"/>
        </w:rPr>
        <w:t xml:space="preserve"> key attractions to each other.</w:t>
      </w:r>
    </w:p>
    <w:p w:rsidR="00A809B1" w:rsidRDefault="005F43F7">
      <w:pPr>
        <w:keepNext/>
        <w:pBdr>
          <w:top w:val="nil"/>
          <w:left w:val="nil"/>
          <w:bottom w:val="nil"/>
          <w:right w:val="nil"/>
          <w:between w:val="nil"/>
        </w:pBdr>
        <w:tabs>
          <w:tab w:val="left" w:pos="1701"/>
        </w:tabs>
        <w:spacing w:after="0" w:line="240" w:lineRule="auto"/>
        <w:ind w:right="72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Table 3. </w:t>
      </w:r>
      <w:r>
        <w:rPr>
          <w:rFonts w:ascii="Times New Roman" w:eastAsia="Times New Roman" w:hAnsi="Times New Roman" w:cs="Times New Roman"/>
          <w:color w:val="000000"/>
          <w:sz w:val="24"/>
          <w:szCs w:val="24"/>
        </w:rPr>
        <w:t>Duration of visit</w:t>
      </w:r>
      <w:r>
        <w:rPr>
          <w:rFonts w:ascii="Times New Roman" w:eastAsia="Times New Roman" w:hAnsi="Times New Roman" w:cs="Times New Roman"/>
          <w:color w:val="000000"/>
          <w:sz w:val="24"/>
          <w:szCs w:val="24"/>
        </w:rPr>
        <w:br/>
      </w:r>
    </w:p>
    <w:tbl>
      <w:tblPr>
        <w:tblStyle w:val="a2"/>
        <w:tblW w:w="9360" w:type="dxa"/>
        <w:jc w:val="center"/>
        <w:tblBorders>
          <w:top w:val="single" w:sz="4" w:space="0" w:color="000000"/>
          <w:bottom w:val="single" w:sz="4" w:space="0" w:color="000000"/>
        </w:tblBorders>
        <w:tblLayout w:type="fixed"/>
        <w:tblLook w:val="0420" w:firstRow="1" w:lastRow="0" w:firstColumn="0" w:lastColumn="0" w:noHBand="0" w:noVBand="1"/>
      </w:tblPr>
      <w:tblGrid>
        <w:gridCol w:w="1291"/>
        <w:gridCol w:w="1054"/>
        <w:gridCol w:w="1355"/>
        <w:gridCol w:w="1363"/>
        <w:gridCol w:w="1363"/>
        <w:gridCol w:w="1363"/>
        <w:gridCol w:w="1571"/>
      </w:tblGrid>
      <w:tr w:rsidR="00A809B1" w:rsidTr="00A809B1">
        <w:trPr>
          <w:cnfStyle w:val="100000000000" w:firstRow="1" w:lastRow="0" w:firstColumn="0" w:lastColumn="0" w:oddVBand="0" w:evenVBand="0" w:oddHBand="0" w:evenHBand="0" w:firstRowFirstColumn="0" w:firstRowLastColumn="0" w:lastRowFirstColumn="0" w:lastRowLastColumn="0"/>
          <w:jc w:val="center"/>
        </w:trPr>
        <w:tc>
          <w:tcPr>
            <w:tcW w:w="2345" w:type="dxa"/>
            <w:gridSpan w:val="2"/>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Tourist segment</w:t>
            </w:r>
          </w:p>
        </w:tc>
        <w:tc>
          <w:tcPr>
            <w:tcW w:w="1355"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A week</w:t>
            </w:r>
          </w:p>
        </w:tc>
        <w:tc>
          <w:tcPr>
            <w:tcW w:w="1363"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1 – 2 Days</w:t>
            </w:r>
          </w:p>
        </w:tc>
        <w:tc>
          <w:tcPr>
            <w:tcW w:w="1363"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3 – 4 Days</w:t>
            </w:r>
          </w:p>
        </w:tc>
        <w:tc>
          <w:tcPr>
            <w:tcW w:w="1363"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5 – 6 Days</w:t>
            </w:r>
          </w:p>
        </w:tc>
        <w:tc>
          <w:tcPr>
            <w:tcW w:w="1571" w:type="dxa"/>
            <w:shd w:val="clear" w:color="auto" w:fill="8DB3E2"/>
          </w:tcPr>
          <w:p w:rsidR="00A809B1" w:rsidRDefault="005F43F7">
            <w:pPr>
              <w:pBdr>
                <w:top w:val="nil"/>
                <w:left w:val="nil"/>
                <w:bottom w:val="nil"/>
                <w:right w:val="nil"/>
                <w:between w:val="nil"/>
              </w:pBdr>
              <w:ind w:firstLine="0"/>
              <w:jc w:val="center"/>
              <w:rPr>
                <w:b w:val="0"/>
                <w:color w:val="000000"/>
                <w:sz w:val="24"/>
                <w:szCs w:val="24"/>
              </w:rPr>
            </w:pPr>
            <w:r>
              <w:rPr>
                <w:color w:val="000000"/>
                <w:sz w:val="24"/>
                <w:szCs w:val="24"/>
              </w:rPr>
              <w:t>&gt;Per week</w:t>
            </w:r>
          </w:p>
        </w:tc>
      </w:tr>
      <w:tr w:rsidR="00A809B1" w:rsidTr="00A809B1">
        <w:trPr>
          <w:jc w:val="center"/>
        </w:trPr>
        <w:tc>
          <w:tcPr>
            <w:tcW w:w="1291" w:type="dxa"/>
            <w:vMerge w:val="restart"/>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Student</w:t>
            </w:r>
          </w:p>
        </w:tc>
        <w:tc>
          <w:tcPr>
            <w:tcW w:w="1054"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No. / %</w:t>
            </w:r>
          </w:p>
        </w:tc>
        <w:tc>
          <w:tcPr>
            <w:tcW w:w="135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 (10.7)</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57 (18.4)</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33 (21.4)</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6 (9.5)</w:t>
            </w:r>
          </w:p>
        </w:tc>
        <w:tc>
          <w:tcPr>
            <w:tcW w:w="1571"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10 (14.9)</w:t>
            </w:r>
          </w:p>
        </w:tc>
      </w:tr>
      <w:tr w:rsidR="00A809B1" w:rsidTr="00A809B1">
        <w:trPr>
          <w:jc w:val="center"/>
        </w:trPr>
        <w:tc>
          <w:tcPr>
            <w:tcW w:w="1291" w:type="dxa"/>
            <w:vMerge/>
          </w:tcPr>
          <w:p w:rsidR="00A809B1" w:rsidRDefault="00A809B1">
            <w:pPr>
              <w:pBdr>
                <w:top w:val="nil"/>
                <w:left w:val="nil"/>
                <w:bottom w:val="nil"/>
                <w:right w:val="nil"/>
                <w:between w:val="nil"/>
              </w:pBdr>
              <w:spacing w:before="0" w:after="0" w:line="276" w:lineRule="auto"/>
              <w:ind w:firstLine="0"/>
              <w:rPr>
                <w:color w:val="000000"/>
                <w:sz w:val="24"/>
                <w:szCs w:val="24"/>
              </w:rPr>
            </w:pPr>
          </w:p>
        </w:tc>
        <w:tc>
          <w:tcPr>
            <w:tcW w:w="1054"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Mean</w:t>
            </w:r>
          </w:p>
        </w:tc>
        <w:tc>
          <w:tcPr>
            <w:tcW w:w="135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1.11</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1.55</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1.32</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1.06</w:t>
            </w:r>
          </w:p>
        </w:tc>
        <w:tc>
          <w:tcPr>
            <w:tcW w:w="1571"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1.10</w:t>
            </w:r>
          </w:p>
        </w:tc>
      </w:tr>
      <w:tr w:rsidR="00A809B1" w:rsidTr="00A809B1">
        <w:trPr>
          <w:jc w:val="center"/>
        </w:trPr>
        <w:tc>
          <w:tcPr>
            <w:tcW w:w="1291" w:type="dxa"/>
            <w:vMerge w:val="restart"/>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Youth</w:t>
            </w:r>
          </w:p>
        </w:tc>
        <w:tc>
          <w:tcPr>
            <w:tcW w:w="1054"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No.  / %</w:t>
            </w:r>
          </w:p>
        </w:tc>
        <w:tc>
          <w:tcPr>
            <w:tcW w:w="135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59 (57.3)</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150 (48.4)</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71 (46.1)</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46 (73.0)</w:t>
            </w:r>
          </w:p>
        </w:tc>
        <w:tc>
          <w:tcPr>
            <w:tcW w:w="1571"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37 (55.2)</w:t>
            </w:r>
          </w:p>
        </w:tc>
      </w:tr>
      <w:tr w:rsidR="00A809B1" w:rsidTr="00A809B1">
        <w:trPr>
          <w:jc w:val="center"/>
        </w:trPr>
        <w:tc>
          <w:tcPr>
            <w:tcW w:w="1291" w:type="dxa"/>
            <w:vMerge/>
          </w:tcPr>
          <w:p w:rsidR="00A809B1" w:rsidRDefault="00A809B1">
            <w:pPr>
              <w:pBdr>
                <w:top w:val="nil"/>
                <w:left w:val="nil"/>
                <w:bottom w:val="nil"/>
                <w:right w:val="nil"/>
                <w:between w:val="nil"/>
              </w:pBdr>
              <w:spacing w:before="0" w:after="0" w:line="276" w:lineRule="auto"/>
              <w:ind w:firstLine="0"/>
              <w:rPr>
                <w:color w:val="000000"/>
                <w:sz w:val="24"/>
                <w:szCs w:val="24"/>
              </w:rPr>
            </w:pPr>
          </w:p>
        </w:tc>
        <w:tc>
          <w:tcPr>
            <w:tcW w:w="1054"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Mean</w:t>
            </w:r>
          </w:p>
        </w:tc>
        <w:tc>
          <w:tcPr>
            <w:tcW w:w="135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1.25</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1.63</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1.30</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1.19</w:t>
            </w:r>
          </w:p>
        </w:tc>
        <w:tc>
          <w:tcPr>
            <w:tcW w:w="1571"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1.15</w:t>
            </w:r>
          </w:p>
        </w:tc>
      </w:tr>
      <w:tr w:rsidR="00A809B1" w:rsidTr="00A809B1">
        <w:trPr>
          <w:jc w:val="center"/>
        </w:trPr>
        <w:tc>
          <w:tcPr>
            <w:tcW w:w="1291" w:type="dxa"/>
            <w:vMerge w:val="restart"/>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Family</w:t>
            </w:r>
          </w:p>
        </w:tc>
        <w:tc>
          <w:tcPr>
            <w:tcW w:w="1054"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No. / %</w:t>
            </w:r>
          </w:p>
        </w:tc>
        <w:tc>
          <w:tcPr>
            <w:tcW w:w="135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33 (32.0)</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103 (33.2)</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50 (32.5)</w:t>
            </w:r>
          </w:p>
        </w:tc>
        <w:tc>
          <w:tcPr>
            <w:tcW w:w="1363"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 (17.5)</w:t>
            </w:r>
          </w:p>
        </w:tc>
        <w:tc>
          <w:tcPr>
            <w:tcW w:w="1571"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20 (29.9)</w:t>
            </w:r>
          </w:p>
        </w:tc>
      </w:tr>
      <w:tr w:rsidR="00A809B1" w:rsidTr="00A809B1">
        <w:trPr>
          <w:jc w:val="center"/>
        </w:trPr>
        <w:tc>
          <w:tcPr>
            <w:tcW w:w="1291" w:type="dxa"/>
            <w:vMerge/>
          </w:tcPr>
          <w:p w:rsidR="00A809B1" w:rsidRDefault="00A809B1">
            <w:pPr>
              <w:pBdr>
                <w:top w:val="nil"/>
                <w:left w:val="nil"/>
                <w:bottom w:val="nil"/>
                <w:right w:val="nil"/>
                <w:between w:val="nil"/>
              </w:pBdr>
              <w:spacing w:before="0" w:after="0" w:line="276" w:lineRule="auto"/>
              <w:ind w:firstLine="0"/>
              <w:rPr>
                <w:color w:val="000000"/>
                <w:sz w:val="24"/>
                <w:szCs w:val="24"/>
              </w:rPr>
            </w:pPr>
          </w:p>
        </w:tc>
        <w:tc>
          <w:tcPr>
            <w:tcW w:w="1054"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Mean</w:t>
            </w:r>
          </w:p>
        </w:tc>
        <w:tc>
          <w:tcPr>
            <w:tcW w:w="1355"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1.21</w:t>
            </w:r>
          </w:p>
        </w:tc>
        <w:tc>
          <w:tcPr>
            <w:tcW w:w="1363"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1.66</w:t>
            </w:r>
          </w:p>
        </w:tc>
        <w:tc>
          <w:tcPr>
            <w:tcW w:w="1363"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1.32</w:t>
            </w:r>
          </w:p>
        </w:tc>
        <w:tc>
          <w:tcPr>
            <w:tcW w:w="1363"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1.07</w:t>
            </w:r>
          </w:p>
        </w:tc>
        <w:tc>
          <w:tcPr>
            <w:tcW w:w="1571" w:type="dxa"/>
            <w:tcBorders>
              <w:bottom w:val="single" w:sz="4" w:space="0" w:color="000000"/>
            </w:tcBorders>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1.13</w:t>
            </w:r>
          </w:p>
        </w:tc>
      </w:tr>
      <w:tr w:rsidR="00A809B1" w:rsidTr="00A809B1">
        <w:trPr>
          <w:jc w:val="center"/>
        </w:trPr>
        <w:tc>
          <w:tcPr>
            <w:tcW w:w="2345" w:type="dxa"/>
            <w:gridSpan w:val="2"/>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Total / (%)</w:t>
            </w:r>
          </w:p>
        </w:tc>
        <w:tc>
          <w:tcPr>
            <w:tcW w:w="1355"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103 (20.6)</w:t>
            </w:r>
          </w:p>
        </w:tc>
        <w:tc>
          <w:tcPr>
            <w:tcW w:w="1363"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310 (62.0)</w:t>
            </w:r>
          </w:p>
        </w:tc>
        <w:tc>
          <w:tcPr>
            <w:tcW w:w="1363"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154 (30.8)</w:t>
            </w:r>
          </w:p>
        </w:tc>
        <w:tc>
          <w:tcPr>
            <w:tcW w:w="1363" w:type="dxa"/>
            <w:tcBorders>
              <w:top w:val="single" w:sz="4" w:space="0" w:color="000000"/>
              <w:bottom w:val="single" w:sz="4" w:space="0" w:color="000000"/>
            </w:tcBorders>
          </w:tcPr>
          <w:p w:rsidR="00A809B1" w:rsidRDefault="005F43F7">
            <w:pPr>
              <w:widowControl/>
              <w:pBdr>
                <w:top w:val="nil"/>
                <w:left w:val="nil"/>
                <w:bottom w:val="nil"/>
                <w:right w:val="nil"/>
                <w:between w:val="nil"/>
              </w:pBdr>
              <w:spacing w:before="0" w:after="0"/>
              <w:ind w:hanging="2"/>
              <w:jc w:val="center"/>
              <w:rPr>
                <w:b/>
                <w:color w:val="000000"/>
                <w:sz w:val="24"/>
                <w:szCs w:val="24"/>
              </w:rPr>
            </w:pPr>
            <w:r>
              <w:rPr>
                <w:b/>
                <w:color w:val="000000"/>
                <w:sz w:val="24"/>
                <w:szCs w:val="24"/>
              </w:rPr>
              <w:t>63 (12.6)</w:t>
            </w:r>
          </w:p>
        </w:tc>
        <w:tc>
          <w:tcPr>
            <w:tcW w:w="1571" w:type="dxa"/>
            <w:tcBorders>
              <w:top w:val="single" w:sz="4" w:space="0" w:color="000000"/>
              <w:bottom w:val="single" w:sz="4" w:space="0" w:color="000000"/>
            </w:tcBorders>
          </w:tcPr>
          <w:p w:rsidR="00A809B1" w:rsidRDefault="005F43F7">
            <w:pPr>
              <w:widowControl/>
              <w:numPr>
                <w:ilvl w:val="0"/>
                <w:numId w:val="1"/>
              </w:numPr>
              <w:pBdr>
                <w:top w:val="nil"/>
                <w:left w:val="nil"/>
                <w:bottom w:val="nil"/>
                <w:right w:val="nil"/>
                <w:between w:val="nil"/>
              </w:pBdr>
              <w:spacing w:before="0" w:after="0"/>
              <w:ind w:left="0" w:hanging="2"/>
              <w:jc w:val="center"/>
              <w:rPr>
                <w:b/>
                <w:color w:val="000000"/>
                <w:sz w:val="24"/>
                <w:szCs w:val="24"/>
              </w:rPr>
            </w:pPr>
            <w:r>
              <w:rPr>
                <w:b/>
                <w:color w:val="000000"/>
                <w:sz w:val="24"/>
                <w:szCs w:val="24"/>
              </w:rPr>
              <w:t>(13.4)</w:t>
            </w:r>
          </w:p>
        </w:tc>
      </w:tr>
    </w:tbl>
    <w:p w:rsidR="00A809B1" w:rsidRDefault="00A809B1">
      <w:pPr>
        <w:spacing w:after="0" w:line="240" w:lineRule="auto"/>
        <w:ind w:hanging="2"/>
        <w:rPr>
          <w:rFonts w:ascii="Times New Roman" w:eastAsia="Times New Roman" w:hAnsi="Times New Roman" w:cs="Times New Roman"/>
          <w:i/>
          <w:sz w:val="24"/>
          <w:szCs w:val="24"/>
        </w:rPr>
      </w:pPr>
    </w:p>
    <w:p w:rsidR="00A809B1" w:rsidRDefault="005F43F7">
      <w:pPr>
        <w:spacing w:after="0" w:line="240" w:lineRule="auto"/>
        <w:ind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Cultural and royal heritage of Kuala </w:t>
      </w:r>
      <w:proofErr w:type="spellStart"/>
      <w:r>
        <w:rPr>
          <w:rFonts w:ascii="Times New Roman" w:eastAsia="Times New Roman" w:hAnsi="Times New Roman" w:cs="Times New Roman"/>
          <w:i/>
          <w:sz w:val="24"/>
          <w:szCs w:val="24"/>
        </w:rPr>
        <w:t>Kangsar</w:t>
      </w:r>
      <w:proofErr w:type="spellEnd"/>
    </w:p>
    <w:p w:rsidR="00A809B1" w:rsidRDefault="00A809B1">
      <w:pPr>
        <w:spacing w:after="0" w:line="240" w:lineRule="auto"/>
        <w:ind w:hanging="2"/>
        <w:rPr>
          <w:rFonts w:ascii="Times New Roman" w:eastAsia="Times New Roman" w:hAnsi="Times New Roman" w:cs="Times New Roman"/>
          <w:i/>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cultural aspects highlighted by the Royal Town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reveal that domestic tourists are able to observe the preservation of traditional customs, such as those related to childbirth, marriage and death. A significant 78.0% (390 individuals) of tourists identify culture as a primary reason for visiting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The cultural aspects introduce them to the customs, attire that reflects the Perak Sultanate and the multicultural and multi-religious fabric of the society.</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the natural beauty of the area, the primary "asset" of tourism in the Royal Town is its multicultural society. The unique blend of natural beauty and the rich diversity of cultures, traditions, history and lifestyles of various ethnic groups has become an attractive theme for promoting tourism, especially the Royal Town's tourism products. The study findings indicate that tourists have a positive view of the town, perceiving that the Malay, Chinese and Indian communities live in harmony and mutual respect for each other's ethnicity and religion (mean=4.06, </w:t>
      </w:r>
      <w:proofErr w:type="spellStart"/>
      <w:r>
        <w:rPr>
          <w:rFonts w:ascii="Times New Roman" w:eastAsia="Times New Roman" w:hAnsi="Times New Roman" w:cs="Times New Roman"/>
          <w:sz w:val="24"/>
          <w:szCs w:val="24"/>
        </w:rPr>
        <w:t>sd</w:t>
      </w:r>
      <w:proofErr w:type="spellEnd"/>
      <w:r>
        <w:rPr>
          <w:rFonts w:ascii="Times New Roman" w:eastAsia="Times New Roman" w:hAnsi="Times New Roman" w:cs="Times New Roman"/>
          <w:sz w:val="24"/>
          <w:szCs w:val="24"/>
        </w:rPr>
        <w:t>=0.79). Tourists also express a strong sentimental value towards the Sultan’s personal collections, the preservation of traditional customs like birth, marriage and death and the traditional attire worn by the community, with mean values ranging from 4.00 to 4.03. However, tourists also noted a lack of friendliness from the local community and a limited understanding of the Sultan’s customs and traditional practices.</w:t>
      </w:r>
    </w:p>
    <w:p w:rsidR="00A809B1" w:rsidRDefault="00A809B1">
      <w:pPr>
        <w:spacing w:after="0" w:line="240" w:lineRule="auto"/>
        <w:ind w:firstLine="567"/>
        <w:jc w:val="both"/>
        <w:rPr>
          <w:rFonts w:ascii="Times New Roman" w:eastAsia="Times New Roman" w:hAnsi="Times New Roman" w:cs="Times New Roman"/>
          <w:sz w:val="24"/>
          <w:szCs w:val="24"/>
        </w:rPr>
      </w:pPr>
    </w:p>
    <w:p w:rsidR="00A809B1" w:rsidRDefault="005F43F7">
      <w:pPr>
        <w:keepNext/>
        <w:pBdr>
          <w:top w:val="nil"/>
          <w:left w:val="nil"/>
          <w:bottom w:val="nil"/>
          <w:right w:val="nil"/>
          <w:between w:val="nil"/>
        </w:pBdr>
        <w:tabs>
          <w:tab w:val="left" w:pos="1701"/>
        </w:tabs>
        <w:spacing w:after="0" w:line="240" w:lineRule="auto"/>
        <w:ind w:right="72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4. </w:t>
      </w:r>
      <w:r>
        <w:rPr>
          <w:rFonts w:ascii="Times New Roman" w:eastAsia="Times New Roman" w:hAnsi="Times New Roman" w:cs="Times New Roman"/>
          <w:color w:val="000000"/>
          <w:sz w:val="24"/>
          <w:szCs w:val="24"/>
        </w:rPr>
        <w:t xml:space="preserve">Level of royal Kuala </w:t>
      </w:r>
      <w:proofErr w:type="spellStart"/>
      <w:r>
        <w:rPr>
          <w:rFonts w:ascii="Times New Roman" w:eastAsia="Times New Roman" w:hAnsi="Times New Roman" w:cs="Times New Roman"/>
          <w:color w:val="000000"/>
          <w:sz w:val="24"/>
          <w:szCs w:val="24"/>
        </w:rPr>
        <w:t>Kangsar</w:t>
      </w:r>
      <w:proofErr w:type="spellEnd"/>
      <w:r>
        <w:rPr>
          <w:rFonts w:ascii="Times New Roman" w:eastAsia="Times New Roman" w:hAnsi="Times New Roman" w:cs="Times New Roman"/>
          <w:color w:val="000000"/>
          <w:sz w:val="24"/>
          <w:szCs w:val="24"/>
        </w:rPr>
        <w:t xml:space="preserve"> art and culture</w:t>
      </w:r>
      <w:r>
        <w:rPr>
          <w:rFonts w:ascii="Times New Roman" w:eastAsia="Times New Roman" w:hAnsi="Times New Roman" w:cs="Times New Roman"/>
          <w:color w:val="000000"/>
          <w:sz w:val="24"/>
          <w:szCs w:val="24"/>
        </w:rPr>
        <w:br/>
      </w:r>
    </w:p>
    <w:tbl>
      <w:tblPr>
        <w:tblStyle w:val="a3"/>
        <w:tblW w:w="9359" w:type="dxa"/>
        <w:jc w:val="center"/>
        <w:tblBorders>
          <w:top w:val="single" w:sz="4" w:space="0" w:color="000000"/>
          <w:bottom w:val="single" w:sz="4" w:space="0" w:color="000000"/>
        </w:tblBorders>
        <w:tblLayout w:type="fixed"/>
        <w:tblLook w:val="0420" w:firstRow="1" w:lastRow="0" w:firstColumn="0" w:lastColumn="0" w:noHBand="0" w:noVBand="1"/>
      </w:tblPr>
      <w:tblGrid>
        <w:gridCol w:w="4695"/>
        <w:gridCol w:w="835"/>
        <w:gridCol w:w="788"/>
        <w:gridCol w:w="1765"/>
        <w:gridCol w:w="608"/>
        <w:gridCol w:w="668"/>
      </w:tblGrid>
      <w:tr w:rsidR="00A809B1" w:rsidTr="00A809B1">
        <w:trPr>
          <w:cnfStyle w:val="100000000000" w:firstRow="1" w:lastRow="0" w:firstColumn="0" w:lastColumn="0" w:oddVBand="0" w:evenVBand="0" w:oddHBand="0" w:evenHBand="0" w:firstRowFirstColumn="0" w:firstRowLastColumn="0" w:lastRowFirstColumn="0" w:lastRowLastColumn="0"/>
          <w:jc w:val="center"/>
        </w:trPr>
        <w:tc>
          <w:tcPr>
            <w:tcW w:w="4696"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Culture</w:t>
            </w:r>
          </w:p>
        </w:tc>
        <w:tc>
          <w:tcPr>
            <w:tcW w:w="835"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Mean</w:t>
            </w:r>
          </w:p>
        </w:tc>
        <w:tc>
          <w:tcPr>
            <w:tcW w:w="788"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SP</w:t>
            </w:r>
          </w:p>
        </w:tc>
        <w:tc>
          <w:tcPr>
            <w:tcW w:w="1765"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Interpretation</w:t>
            </w:r>
          </w:p>
        </w:tc>
        <w:tc>
          <w:tcPr>
            <w:tcW w:w="608"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No.</w:t>
            </w:r>
          </w:p>
        </w:tc>
        <w:tc>
          <w:tcPr>
            <w:tcW w:w="668" w:type="dxa"/>
            <w:shd w:val="clear" w:color="auto" w:fill="8DB3E2"/>
          </w:tcPr>
          <w:p w:rsidR="00A809B1" w:rsidRDefault="005F43F7">
            <w:pPr>
              <w:pBdr>
                <w:top w:val="nil"/>
                <w:left w:val="nil"/>
                <w:bottom w:val="nil"/>
                <w:right w:val="nil"/>
                <w:between w:val="nil"/>
              </w:pBdr>
              <w:ind w:hanging="2"/>
              <w:jc w:val="center"/>
              <w:rPr>
                <w:b w:val="0"/>
                <w:color w:val="000000"/>
                <w:sz w:val="24"/>
                <w:szCs w:val="24"/>
              </w:rPr>
            </w:pPr>
            <w:r>
              <w:rPr>
                <w:color w:val="000000"/>
                <w:sz w:val="24"/>
                <w:szCs w:val="24"/>
              </w:rPr>
              <w:t>%</w:t>
            </w:r>
          </w:p>
        </w:tc>
      </w:tr>
      <w:tr w:rsidR="00A809B1" w:rsidTr="00A809B1">
        <w:trPr>
          <w:trHeight w:val="237"/>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t>I visited other tourist attractions in the Royal City with the support of the local community</w:t>
            </w:r>
          </w:p>
        </w:tc>
        <w:tc>
          <w:tcPr>
            <w:tcW w:w="83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3.81</w:t>
            </w: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0.929</w:t>
            </w:r>
          </w:p>
        </w:tc>
        <w:tc>
          <w:tcPr>
            <w:tcW w:w="176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Moderately 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340</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68.4</w:t>
            </w:r>
          </w:p>
        </w:tc>
      </w:tr>
      <w:tr w:rsidR="00A809B1" w:rsidTr="00A809B1">
        <w:trPr>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t>I observed a high sentimental value attached to the personal items from the Sultan's collection on display</w:t>
            </w:r>
          </w:p>
        </w:tc>
        <w:tc>
          <w:tcPr>
            <w:tcW w:w="83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4.03</w:t>
            </w: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0.824</w:t>
            </w:r>
          </w:p>
        </w:tc>
        <w:tc>
          <w:tcPr>
            <w:tcW w:w="1765" w:type="dxa"/>
          </w:tcPr>
          <w:p w:rsidR="00A809B1" w:rsidRDefault="005F43F7">
            <w:pPr>
              <w:spacing w:before="0" w:after="0"/>
              <w:ind w:hanging="2"/>
              <w:jc w:val="center"/>
              <w:rPr>
                <w:sz w:val="24"/>
                <w:szCs w:val="24"/>
              </w:rPr>
            </w:pPr>
            <w:r>
              <w:rPr>
                <w:sz w:val="24"/>
                <w:szCs w:val="24"/>
              </w:rPr>
              <w:t>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370</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74.0</w:t>
            </w:r>
          </w:p>
        </w:tc>
      </w:tr>
      <w:tr w:rsidR="00A809B1" w:rsidTr="00A809B1">
        <w:trPr>
          <w:trHeight w:val="740"/>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t>I feel that the Malay, Chinese and Indian communities are united and show mutual respect for one another</w:t>
            </w:r>
          </w:p>
        </w:tc>
        <w:tc>
          <w:tcPr>
            <w:tcW w:w="83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4.06</w:t>
            </w: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0.791</w:t>
            </w:r>
          </w:p>
        </w:tc>
        <w:tc>
          <w:tcPr>
            <w:tcW w:w="1765" w:type="dxa"/>
          </w:tcPr>
          <w:p w:rsidR="00A809B1" w:rsidRDefault="005F43F7">
            <w:pPr>
              <w:spacing w:before="0" w:after="0"/>
              <w:ind w:hanging="2"/>
              <w:jc w:val="center"/>
              <w:rPr>
                <w:sz w:val="24"/>
                <w:szCs w:val="24"/>
              </w:rPr>
            </w:pPr>
            <w:r>
              <w:rPr>
                <w:sz w:val="24"/>
                <w:szCs w:val="24"/>
              </w:rPr>
              <w:t>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384</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76.8</w:t>
            </w:r>
          </w:p>
        </w:tc>
      </w:tr>
      <w:tr w:rsidR="00A809B1" w:rsidTr="00A809B1">
        <w:trPr>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t>I understand that the coronation ceremonies, traditional rites and other customs possess rich cultural artistry</w:t>
            </w:r>
          </w:p>
        </w:tc>
        <w:tc>
          <w:tcPr>
            <w:tcW w:w="83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3.97</w:t>
            </w: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0.790</w:t>
            </w:r>
          </w:p>
        </w:tc>
        <w:tc>
          <w:tcPr>
            <w:tcW w:w="176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Moderately 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368</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73.6</w:t>
            </w:r>
          </w:p>
        </w:tc>
      </w:tr>
      <w:tr w:rsidR="00A809B1" w:rsidTr="00A809B1">
        <w:trPr>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lastRenderedPageBreak/>
              <w:t>I feel that the community still preserves customs and traditions related to birth, marriage and even death</w:t>
            </w:r>
          </w:p>
        </w:tc>
        <w:tc>
          <w:tcPr>
            <w:tcW w:w="835" w:type="dxa"/>
          </w:tcPr>
          <w:p w:rsidR="00A809B1" w:rsidRDefault="00A809B1">
            <w:pPr>
              <w:widowControl/>
              <w:pBdr>
                <w:top w:val="nil"/>
                <w:left w:val="nil"/>
                <w:bottom w:val="nil"/>
                <w:right w:val="nil"/>
                <w:between w:val="nil"/>
              </w:pBdr>
              <w:spacing w:before="0" w:after="0"/>
              <w:ind w:hanging="2"/>
              <w:jc w:val="center"/>
              <w:rPr>
                <w:color w:val="000000"/>
                <w:sz w:val="24"/>
                <w:szCs w:val="24"/>
              </w:rPr>
            </w:pPr>
          </w:p>
          <w:p w:rsidR="00A809B1" w:rsidRDefault="00A809B1">
            <w:pPr>
              <w:widowControl/>
              <w:pBdr>
                <w:top w:val="nil"/>
                <w:left w:val="nil"/>
                <w:bottom w:val="nil"/>
                <w:right w:val="nil"/>
                <w:between w:val="nil"/>
              </w:pBdr>
              <w:spacing w:before="0" w:after="0"/>
              <w:ind w:hanging="2"/>
              <w:jc w:val="center"/>
              <w:rPr>
                <w:color w:val="000000"/>
                <w:sz w:val="24"/>
                <w:szCs w:val="24"/>
              </w:rPr>
            </w:pP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0.810</w:t>
            </w:r>
          </w:p>
        </w:tc>
        <w:tc>
          <w:tcPr>
            <w:tcW w:w="1765" w:type="dxa"/>
          </w:tcPr>
          <w:p w:rsidR="00A809B1" w:rsidRDefault="005F43F7">
            <w:pPr>
              <w:spacing w:before="0" w:after="0"/>
              <w:ind w:hanging="2"/>
              <w:jc w:val="center"/>
              <w:rPr>
                <w:sz w:val="24"/>
                <w:szCs w:val="24"/>
              </w:rPr>
            </w:pPr>
            <w:r>
              <w:rPr>
                <w:sz w:val="24"/>
                <w:szCs w:val="24"/>
              </w:rPr>
              <w:t>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390</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78.0</w:t>
            </w:r>
          </w:p>
        </w:tc>
      </w:tr>
      <w:tr w:rsidR="00A809B1" w:rsidTr="00A809B1">
        <w:trPr>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t xml:space="preserve">I observed that the clothing worn by the community still highlights aspects of the Perak Sultanate, such as </w:t>
            </w:r>
            <w:proofErr w:type="spellStart"/>
            <w:r>
              <w:rPr>
                <w:color w:val="000000"/>
                <w:sz w:val="24"/>
                <w:szCs w:val="24"/>
              </w:rPr>
              <w:t>songket</w:t>
            </w:r>
            <w:proofErr w:type="spellEnd"/>
            <w:r>
              <w:rPr>
                <w:color w:val="000000"/>
                <w:sz w:val="24"/>
                <w:szCs w:val="24"/>
              </w:rPr>
              <w:t xml:space="preserve"> and batik fabrics</w:t>
            </w:r>
          </w:p>
        </w:tc>
        <w:tc>
          <w:tcPr>
            <w:tcW w:w="83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4.00</w:t>
            </w: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0.831</w:t>
            </w:r>
          </w:p>
        </w:tc>
        <w:tc>
          <w:tcPr>
            <w:tcW w:w="1765" w:type="dxa"/>
          </w:tcPr>
          <w:p w:rsidR="00A809B1" w:rsidRDefault="005F43F7">
            <w:pPr>
              <w:spacing w:before="0" w:after="0"/>
              <w:ind w:hanging="2"/>
              <w:jc w:val="center"/>
              <w:rPr>
                <w:sz w:val="24"/>
                <w:szCs w:val="24"/>
              </w:rPr>
            </w:pPr>
            <w:r>
              <w:rPr>
                <w:sz w:val="24"/>
                <w:szCs w:val="24"/>
              </w:rPr>
              <w:t>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371</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74.2</w:t>
            </w:r>
          </w:p>
        </w:tc>
      </w:tr>
      <w:tr w:rsidR="00A809B1" w:rsidTr="00A809B1">
        <w:trPr>
          <w:jc w:val="center"/>
        </w:trPr>
        <w:tc>
          <w:tcPr>
            <w:tcW w:w="4696" w:type="dxa"/>
          </w:tcPr>
          <w:p w:rsidR="00A809B1" w:rsidRDefault="005F43F7">
            <w:pPr>
              <w:widowControl/>
              <w:pBdr>
                <w:top w:val="nil"/>
                <w:left w:val="nil"/>
                <w:bottom w:val="nil"/>
                <w:right w:val="nil"/>
                <w:between w:val="nil"/>
              </w:pBdr>
              <w:spacing w:before="0" w:after="0"/>
              <w:ind w:hanging="2"/>
              <w:jc w:val="both"/>
              <w:rPr>
                <w:color w:val="000000"/>
                <w:sz w:val="24"/>
                <w:szCs w:val="24"/>
              </w:rPr>
            </w:pPr>
            <w:r>
              <w:rPr>
                <w:color w:val="000000"/>
                <w:sz w:val="24"/>
                <w:szCs w:val="24"/>
              </w:rPr>
              <w:t xml:space="preserve">I noticed that customs such as </w:t>
            </w:r>
            <w:proofErr w:type="spellStart"/>
            <w:r>
              <w:rPr>
                <w:color w:val="000000"/>
                <w:sz w:val="24"/>
                <w:szCs w:val="24"/>
              </w:rPr>
              <w:t>nazam</w:t>
            </w:r>
            <w:proofErr w:type="spellEnd"/>
            <w:r>
              <w:rPr>
                <w:color w:val="000000"/>
                <w:sz w:val="24"/>
                <w:szCs w:val="24"/>
              </w:rPr>
              <w:t xml:space="preserve">, </w:t>
            </w:r>
            <w:proofErr w:type="spellStart"/>
            <w:r>
              <w:rPr>
                <w:color w:val="000000"/>
                <w:sz w:val="24"/>
                <w:szCs w:val="24"/>
              </w:rPr>
              <w:t>marhaban</w:t>
            </w:r>
            <w:proofErr w:type="spellEnd"/>
            <w:r>
              <w:rPr>
                <w:color w:val="000000"/>
                <w:sz w:val="24"/>
                <w:szCs w:val="24"/>
              </w:rPr>
              <w:t xml:space="preserve"> and </w:t>
            </w:r>
            <w:proofErr w:type="spellStart"/>
            <w:r>
              <w:rPr>
                <w:color w:val="000000"/>
                <w:sz w:val="24"/>
                <w:szCs w:val="24"/>
              </w:rPr>
              <w:t>adat</w:t>
            </w:r>
            <w:proofErr w:type="spellEnd"/>
            <w:r>
              <w:rPr>
                <w:color w:val="000000"/>
                <w:sz w:val="24"/>
                <w:szCs w:val="24"/>
              </w:rPr>
              <w:t xml:space="preserve"> </w:t>
            </w:r>
            <w:proofErr w:type="spellStart"/>
            <w:r>
              <w:rPr>
                <w:color w:val="000000"/>
                <w:sz w:val="24"/>
                <w:szCs w:val="24"/>
              </w:rPr>
              <w:t>merisik</w:t>
            </w:r>
            <w:proofErr w:type="spellEnd"/>
            <w:r>
              <w:rPr>
                <w:color w:val="000000"/>
                <w:sz w:val="24"/>
                <w:szCs w:val="24"/>
              </w:rPr>
              <w:t xml:space="preserve"> are still being continued by the current generation</w:t>
            </w:r>
          </w:p>
        </w:tc>
        <w:tc>
          <w:tcPr>
            <w:tcW w:w="83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3.98</w:t>
            </w:r>
          </w:p>
        </w:tc>
        <w:tc>
          <w:tcPr>
            <w:tcW w:w="78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0.838</w:t>
            </w:r>
          </w:p>
        </w:tc>
        <w:tc>
          <w:tcPr>
            <w:tcW w:w="1765"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Moderately High</w:t>
            </w:r>
          </w:p>
        </w:tc>
        <w:tc>
          <w:tcPr>
            <w:tcW w:w="60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373</w:t>
            </w:r>
          </w:p>
        </w:tc>
        <w:tc>
          <w:tcPr>
            <w:tcW w:w="668" w:type="dxa"/>
          </w:tcPr>
          <w:p w:rsidR="00A809B1" w:rsidRDefault="005F43F7">
            <w:pPr>
              <w:widowControl/>
              <w:pBdr>
                <w:top w:val="nil"/>
                <w:left w:val="nil"/>
                <w:bottom w:val="nil"/>
                <w:right w:val="nil"/>
                <w:between w:val="nil"/>
              </w:pBdr>
              <w:spacing w:before="0" w:after="0"/>
              <w:ind w:hanging="2"/>
              <w:jc w:val="center"/>
              <w:rPr>
                <w:color w:val="000000"/>
                <w:sz w:val="24"/>
                <w:szCs w:val="24"/>
              </w:rPr>
            </w:pPr>
            <w:r>
              <w:rPr>
                <w:color w:val="000000"/>
                <w:sz w:val="24"/>
                <w:szCs w:val="24"/>
              </w:rPr>
              <w:t>74.5</w:t>
            </w:r>
          </w:p>
        </w:tc>
      </w:tr>
    </w:tbl>
    <w:p w:rsidR="00A809B1" w:rsidRDefault="00A809B1">
      <w:pPr>
        <w:spacing w:after="0" w:line="240" w:lineRule="auto"/>
        <w:ind w:hanging="2"/>
        <w:rPr>
          <w:rFonts w:ascii="Times New Roman" w:eastAsia="Times New Roman" w:hAnsi="Times New Roman" w:cs="Times New Roman"/>
          <w:b/>
          <w:sz w:val="24"/>
          <w:szCs w:val="24"/>
        </w:rPr>
      </w:pPr>
    </w:p>
    <w:p w:rsidR="00A809B1" w:rsidRDefault="005F43F7">
      <w:pPr>
        <w:spacing w:after="0" w:line="240" w:lineRule="auto"/>
        <w:ind w:hanging="2"/>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Tourists' experiences in the royal cultural heritage of Kuala </w:t>
      </w:r>
      <w:proofErr w:type="spellStart"/>
      <w:r>
        <w:rPr>
          <w:rFonts w:ascii="Times New Roman" w:eastAsia="Times New Roman" w:hAnsi="Times New Roman" w:cs="Times New Roman"/>
          <w:i/>
          <w:sz w:val="24"/>
          <w:szCs w:val="24"/>
        </w:rPr>
        <w:t>Kangsar</w:t>
      </w:r>
      <w:proofErr w:type="spellEnd"/>
    </w:p>
    <w:p w:rsidR="00A809B1" w:rsidRDefault="00A809B1">
      <w:pPr>
        <w:spacing w:after="0" w:line="240" w:lineRule="auto"/>
        <w:ind w:hanging="2"/>
        <w:rPr>
          <w:rFonts w:ascii="Times New Roman" w:eastAsia="Times New Roman" w:hAnsi="Times New Roman" w:cs="Times New Roman"/>
          <w:sz w:val="24"/>
          <w:szCs w:val="24"/>
        </w:rPr>
      </w:pP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Tourists' experiences with the culture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involve an introduction to traditional customs, rituals and heritage passed down through generations.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as a Royal Town, is no exception in familiarizing tourists with a multicultural society comprising various ethnicities, races and religions. Cultural arts play a crucial role in introducing tourists to the cultural institutions of a Royal Town. Table 5 presents the regression analysis of culture, revealing that F= 1.395 and sig= 0.238, indicating a non-significant variance with a significance level of sig-0.23 (p&gt;0.05). Therefore, culture does not contribute to the experiences of domestic tourist segments.</w:t>
      </w:r>
    </w:p>
    <w:p w:rsidR="00A809B1" w:rsidRDefault="00A809B1">
      <w:pPr>
        <w:spacing w:after="0" w:line="240" w:lineRule="auto"/>
        <w:ind w:hanging="2"/>
        <w:jc w:val="both"/>
        <w:rPr>
          <w:rFonts w:ascii="Times New Roman" w:eastAsia="Times New Roman" w:hAnsi="Times New Roman" w:cs="Times New Roman"/>
          <w:sz w:val="24"/>
          <w:szCs w:val="24"/>
        </w:rPr>
      </w:pPr>
    </w:p>
    <w:p w:rsidR="00A809B1" w:rsidRDefault="005F43F7">
      <w:pPr>
        <w:keepNext/>
        <w:pBdr>
          <w:top w:val="nil"/>
          <w:left w:val="nil"/>
          <w:bottom w:val="nil"/>
          <w:right w:val="nil"/>
          <w:between w:val="nil"/>
        </w:pBdr>
        <w:tabs>
          <w:tab w:val="left" w:pos="1701"/>
        </w:tabs>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Table 5. </w:t>
      </w:r>
      <w:r>
        <w:rPr>
          <w:rFonts w:ascii="Times New Roman" w:eastAsia="Times New Roman" w:hAnsi="Times New Roman" w:cs="Times New Roman"/>
          <w:color w:val="000000"/>
          <w:sz w:val="24"/>
          <w:szCs w:val="24"/>
        </w:rPr>
        <w:t xml:space="preserve"> Cultural regression</w:t>
      </w:r>
    </w:p>
    <w:p w:rsidR="00A809B1" w:rsidRDefault="00A809B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tbl>
      <w:tblPr>
        <w:tblStyle w:val="a4"/>
        <w:tblW w:w="8504" w:type="dxa"/>
        <w:jc w:val="center"/>
        <w:tblBorders>
          <w:top w:val="single" w:sz="8" w:space="0" w:color="000000"/>
          <w:bottom w:val="single" w:sz="8" w:space="0" w:color="000000"/>
        </w:tblBorders>
        <w:tblLayout w:type="fixed"/>
        <w:tblLook w:val="0400" w:firstRow="0" w:lastRow="0" w:firstColumn="0" w:lastColumn="0" w:noHBand="0" w:noVBand="1"/>
      </w:tblPr>
      <w:tblGrid>
        <w:gridCol w:w="1423"/>
        <w:gridCol w:w="2529"/>
        <w:gridCol w:w="672"/>
        <w:gridCol w:w="2126"/>
        <w:gridCol w:w="920"/>
        <w:gridCol w:w="834"/>
      </w:tblGrid>
      <w:tr w:rsidR="00A809B1" w:rsidTr="00B07B67">
        <w:trPr>
          <w:jc w:val="center"/>
        </w:trPr>
        <w:tc>
          <w:tcPr>
            <w:tcW w:w="1423" w:type="dxa"/>
            <w:tcBorders>
              <w:top w:val="single" w:sz="8" w:space="0" w:color="000000"/>
              <w:left w:val="nil"/>
              <w:bottom w:val="single" w:sz="8" w:space="0" w:color="000000"/>
              <w:right w:val="nil"/>
            </w:tcBorders>
            <w:shd w:val="clear" w:color="auto" w:fill="8DB3E2"/>
          </w:tcPr>
          <w:p w:rsidR="00A809B1" w:rsidRDefault="00A809B1">
            <w:pPr>
              <w:spacing w:after="0" w:line="240" w:lineRule="auto"/>
              <w:ind w:left="2" w:hanging="2"/>
              <w:jc w:val="center"/>
              <w:rPr>
                <w:rFonts w:ascii="Times New Roman" w:eastAsia="Times New Roman" w:hAnsi="Times New Roman" w:cs="Times New Roman"/>
                <w:b/>
                <w:color w:val="000000"/>
                <w:sz w:val="24"/>
                <w:szCs w:val="24"/>
              </w:rPr>
            </w:pPr>
          </w:p>
        </w:tc>
        <w:tc>
          <w:tcPr>
            <w:tcW w:w="2529" w:type="dxa"/>
            <w:tcBorders>
              <w:top w:val="single" w:sz="8" w:space="0" w:color="000000"/>
              <w:left w:val="nil"/>
              <w:bottom w:val="single" w:sz="8" w:space="0" w:color="000000"/>
              <w:right w:val="nil"/>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 of squares</w:t>
            </w:r>
          </w:p>
        </w:tc>
        <w:tc>
          <w:tcPr>
            <w:tcW w:w="672" w:type="dxa"/>
            <w:tcBorders>
              <w:top w:val="single" w:sz="8" w:space="0" w:color="000000"/>
              <w:left w:val="nil"/>
              <w:bottom w:val="single" w:sz="8" w:space="0" w:color="000000"/>
              <w:right w:val="nil"/>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Df</w:t>
            </w:r>
            <w:proofErr w:type="spellEnd"/>
          </w:p>
        </w:tc>
        <w:tc>
          <w:tcPr>
            <w:tcW w:w="2126" w:type="dxa"/>
            <w:tcBorders>
              <w:top w:val="single" w:sz="8" w:space="0" w:color="000000"/>
              <w:left w:val="nil"/>
              <w:bottom w:val="single" w:sz="8" w:space="0" w:color="000000"/>
              <w:right w:val="nil"/>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square</w:t>
            </w:r>
          </w:p>
        </w:tc>
        <w:tc>
          <w:tcPr>
            <w:tcW w:w="920" w:type="dxa"/>
            <w:tcBorders>
              <w:top w:val="single" w:sz="8" w:space="0" w:color="000000"/>
              <w:left w:val="nil"/>
              <w:bottom w:val="single" w:sz="8" w:space="0" w:color="000000"/>
              <w:right w:val="nil"/>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p>
        </w:tc>
        <w:tc>
          <w:tcPr>
            <w:tcW w:w="834" w:type="dxa"/>
            <w:tcBorders>
              <w:top w:val="single" w:sz="8" w:space="0" w:color="000000"/>
              <w:left w:val="nil"/>
              <w:bottom w:val="single" w:sz="8" w:space="0" w:color="000000"/>
              <w:right w:val="nil"/>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A809B1" w:rsidTr="00B07B67">
        <w:trPr>
          <w:trHeight w:val="92"/>
          <w:jc w:val="center"/>
        </w:trPr>
        <w:tc>
          <w:tcPr>
            <w:tcW w:w="1423" w:type="dxa"/>
            <w:tcBorders>
              <w:left w:val="nil"/>
              <w:right w:val="nil"/>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Regression</w:t>
            </w:r>
          </w:p>
        </w:tc>
        <w:tc>
          <w:tcPr>
            <w:tcW w:w="2529" w:type="dxa"/>
            <w:tcBorders>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0.713</w:t>
            </w:r>
          </w:p>
        </w:tc>
        <w:tc>
          <w:tcPr>
            <w:tcW w:w="672" w:type="dxa"/>
            <w:tcBorders>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126" w:type="dxa"/>
            <w:tcBorders>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0.713</w:t>
            </w:r>
          </w:p>
        </w:tc>
        <w:tc>
          <w:tcPr>
            <w:tcW w:w="920" w:type="dxa"/>
            <w:tcBorders>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1.395</w:t>
            </w:r>
          </w:p>
        </w:tc>
        <w:tc>
          <w:tcPr>
            <w:tcW w:w="834" w:type="dxa"/>
            <w:tcBorders>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0.238</w:t>
            </w:r>
            <w:r>
              <w:rPr>
                <w:rFonts w:ascii="Times New Roman" w:eastAsia="Times New Roman" w:hAnsi="Times New Roman" w:cs="Times New Roman"/>
                <w:color w:val="000000"/>
                <w:sz w:val="24"/>
                <w:szCs w:val="24"/>
                <w:vertAlign w:val="superscript"/>
              </w:rPr>
              <w:t>b</w:t>
            </w:r>
          </w:p>
        </w:tc>
      </w:tr>
      <w:tr w:rsidR="00A809B1" w:rsidTr="00B07B67">
        <w:trPr>
          <w:jc w:val="center"/>
        </w:trPr>
        <w:tc>
          <w:tcPr>
            <w:tcW w:w="1423" w:type="dxa"/>
            <w:tcBorders>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Residual</w:t>
            </w:r>
          </w:p>
        </w:tc>
        <w:tc>
          <w:tcPr>
            <w:tcW w:w="2529" w:type="dxa"/>
            <w:tcBorders>
              <w:bottom w:val="single" w:sz="4" w:space="0" w:color="000000"/>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254.669</w:t>
            </w:r>
          </w:p>
        </w:tc>
        <w:tc>
          <w:tcPr>
            <w:tcW w:w="672" w:type="dxa"/>
            <w:tcBorders>
              <w:bottom w:val="single" w:sz="4" w:space="0" w:color="000000"/>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498</w:t>
            </w:r>
          </w:p>
        </w:tc>
        <w:tc>
          <w:tcPr>
            <w:tcW w:w="2126" w:type="dxa"/>
            <w:tcBorders>
              <w:bottom w:val="single" w:sz="4" w:space="0" w:color="000000"/>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0.511</w:t>
            </w:r>
          </w:p>
        </w:tc>
        <w:tc>
          <w:tcPr>
            <w:tcW w:w="920" w:type="dxa"/>
            <w:tcBorders>
              <w:bottom w:val="single" w:sz="4" w:space="0" w:color="000000"/>
            </w:tcBorders>
            <w:vAlign w:val="center"/>
          </w:tcPr>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c>
          <w:tcPr>
            <w:tcW w:w="834" w:type="dxa"/>
            <w:tcBorders>
              <w:bottom w:val="single" w:sz="4" w:space="0" w:color="000000"/>
            </w:tcBorders>
            <w:vAlign w:val="center"/>
          </w:tcPr>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p>
        </w:tc>
      </w:tr>
      <w:tr w:rsidR="00A809B1" w:rsidTr="00B07B67">
        <w:trPr>
          <w:jc w:val="center"/>
        </w:trPr>
        <w:tc>
          <w:tcPr>
            <w:tcW w:w="1423" w:type="dxa"/>
            <w:tcBorders>
              <w:top w:val="single" w:sz="4" w:space="0" w:color="000000"/>
              <w:left w:val="nil"/>
              <w:bottom w:val="single" w:sz="8" w:space="0" w:color="000000"/>
              <w:right w:val="nil"/>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2529" w:type="dxa"/>
            <w:tcBorders>
              <w:top w:val="single" w:sz="4" w:space="0" w:color="000000"/>
              <w:bottom w:val="single" w:sz="8" w:space="0" w:color="000000"/>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255.382</w:t>
            </w:r>
          </w:p>
        </w:tc>
        <w:tc>
          <w:tcPr>
            <w:tcW w:w="672" w:type="dxa"/>
            <w:tcBorders>
              <w:top w:val="single" w:sz="4" w:space="0" w:color="000000"/>
              <w:bottom w:val="single" w:sz="8" w:space="0" w:color="000000"/>
              <w:right w:val="nil"/>
            </w:tcBorders>
            <w:vAlign w:val="center"/>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499</w:t>
            </w:r>
          </w:p>
        </w:tc>
        <w:tc>
          <w:tcPr>
            <w:tcW w:w="2126" w:type="dxa"/>
            <w:tcBorders>
              <w:top w:val="single" w:sz="4" w:space="0" w:color="000000"/>
              <w:bottom w:val="single" w:sz="8" w:space="0" w:color="000000"/>
              <w:right w:val="nil"/>
            </w:tcBorders>
            <w:vAlign w:val="center"/>
          </w:tcPr>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tc>
        <w:tc>
          <w:tcPr>
            <w:tcW w:w="920" w:type="dxa"/>
            <w:tcBorders>
              <w:top w:val="single" w:sz="4" w:space="0" w:color="000000"/>
              <w:bottom w:val="single" w:sz="8" w:space="0" w:color="000000"/>
              <w:right w:val="nil"/>
            </w:tcBorders>
            <w:vAlign w:val="center"/>
          </w:tcPr>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tc>
        <w:tc>
          <w:tcPr>
            <w:tcW w:w="834" w:type="dxa"/>
            <w:tcBorders>
              <w:top w:val="single" w:sz="4" w:space="0" w:color="000000"/>
              <w:bottom w:val="single" w:sz="8" w:space="0" w:color="000000"/>
              <w:right w:val="nil"/>
            </w:tcBorders>
            <w:vAlign w:val="center"/>
          </w:tcPr>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tc>
      </w:tr>
    </w:tbl>
    <w:p w:rsidR="00A809B1" w:rsidRDefault="00A809B1">
      <w:pPr>
        <w:spacing w:after="0" w:line="240" w:lineRule="auto"/>
        <w:ind w:firstLine="567"/>
        <w:jc w:val="both"/>
        <w:rPr>
          <w:rFonts w:ascii="Times New Roman" w:eastAsia="Times New Roman" w:hAnsi="Times New Roman" w:cs="Times New Roman"/>
          <w:sz w:val="24"/>
          <w:szCs w:val="24"/>
        </w:rPr>
      </w:pP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culture does not significantly contribute to tourists' experiences in their visits to the Royal Town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it remains an essential element in shaping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as a multicultural town. Culture serves as a foundational aspect of urban development. Overall, culture offers interesting experiences; however, it is not the primary factor attracting tourists to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Nevertheless, culture is inseparable from the development of the Royal Town, as it progresses in tandem with tourism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This is because there is a persistent cultural sentiment that draws domestic tourists seeking to understand the local culture.</w:t>
      </w:r>
    </w:p>
    <w:p w:rsidR="00A809B1" w:rsidRDefault="00A809B1">
      <w:pPr>
        <w:spacing w:after="0" w:line="240" w:lineRule="auto"/>
        <w:ind w:left="2" w:hanging="2"/>
        <w:jc w:val="both"/>
        <w:rPr>
          <w:rFonts w:ascii="Times New Roman" w:eastAsia="Times New Roman" w:hAnsi="Times New Roman" w:cs="Times New Roman"/>
          <w:b/>
          <w:sz w:val="24"/>
          <w:szCs w:val="24"/>
        </w:rPr>
      </w:pPr>
    </w:p>
    <w:p w:rsidR="00A809B1" w:rsidRDefault="005F43F7">
      <w:pPr>
        <w:spacing w:after="0" w:line="240" w:lineRule="auto"/>
        <w:ind w:left="2" w:hanging="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Comparison of tourist experiences across student, youth and family segments in relation to the royal culture of Kuala </w:t>
      </w:r>
      <w:proofErr w:type="spellStart"/>
      <w:r>
        <w:rPr>
          <w:rFonts w:ascii="Times New Roman" w:eastAsia="Times New Roman" w:hAnsi="Times New Roman" w:cs="Times New Roman"/>
          <w:i/>
          <w:sz w:val="24"/>
          <w:szCs w:val="24"/>
        </w:rPr>
        <w:t>Kangsar</w:t>
      </w:r>
      <w:proofErr w:type="spellEnd"/>
    </w:p>
    <w:p w:rsidR="00A809B1" w:rsidRDefault="00A809B1">
      <w:pPr>
        <w:spacing w:after="0" w:line="240" w:lineRule="auto"/>
        <w:ind w:left="2" w:hanging="2"/>
        <w:jc w:val="both"/>
        <w:rPr>
          <w:rFonts w:ascii="Times New Roman" w:eastAsia="Times New Roman" w:hAnsi="Times New Roman" w:cs="Times New Roman"/>
          <w:sz w:val="24"/>
          <w:szCs w:val="24"/>
        </w:rPr>
      </w:pPr>
    </w:p>
    <w:p w:rsidR="00A809B1" w:rsidRDefault="005F43F7">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reveals that the cultural aspect scores a moderately high mean among different segments: students with 3.17, youth with 3.53 and families with 3.35. Notably, the youth segment exhibits the highest mean compared to the other two segments, indicating that young people have a greater appreciation of the culture compared to families and students.</w:t>
      </w:r>
    </w:p>
    <w:p w:rsidR="00A809B1" w:rsidRDefault="00A809B1">
      <w:pPr>
        <w:spacing w:after="0" w:line="240" w:lineRule="auto"/>
        <w:ind w:left="2" w:hanging="2"/>
        <w:jc w:val="both"/>
        <w:rPr>
          <w:rFonts w:ascii="Times New Roman" w:eastAsia="Times New Roman" w:hAnsi="Times New Roman" w:cs="Times New Roman"/>
          <w:sz w:val="24"/>
          <w:szCs w:val="24"/>
        </w:rPr>
      </w:pPr>
    </w:p>
    <w:p w:rsidR="00A809B1" w:rsidRDefault="00A809B1">
      <w:pPr>
        <w:spacing w:after="0" w:line="240" w:lineRule="auto"/>
        <w:ind w:left="2" w:hanging="2"/>
        <w:jc w:val="both"/>
        <w:rPr>
          <w:rFonts w:ascii="Times New Roman" w:eastAsia="Times New Roman" w:hAnsi="Times New Roman" w:cs="Times New Roman"/>
          <w:sz w:val="24"/>
          <w:szCs w:val="24"/>
        </w:rPr>
      </w:pPr>
    </w:p>
    <w:p w:rsidR="00A809B1" w:rsidRDefault="00A809B1">
      <w:pPr>
        <w:spacing w:after="0" w:line="240" w:lineRule="auto"/>
        <w:ind w:left="2" w:hanging="2"/>
        <w:jc w:val="both"/>
        <w:rPr>
          <w:rFonts w:ascii="Times New Roman" w:eastAsia="Times New Roman" w:hAnsi="Times New Roman" w:cs="Times New Roman"/>
          <w:sz w:val="24"/>
          <w:szCs w:val="24"/>
        </w:rPr>
      </w:pPr>
    </w:p>
    <w:p w:rsidR="00A809B1" w:rsidRDefault="00B07B67">
      <w:pPr>
        <w:keepNext/>
        <w:pBdr>
          <w:top w:val="nil"/>
          <w:left w:val="nil"/>
          <w:bottom w:val="nil"/>
          <w:right w:val="nil"/>
          <w:between w:val="nil"/>
        </w:pBdr>
        <w:tabs>
          <w:tab w:val="left" w:pos="1701"/>
        </w:tabs>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Table 6.</w:t>
      </w:r>
      <w:r w:rsidR="005F43F7">
        <w:rPr>
          <w:rFonts w:ascii="Times New Roman" w:eastAsia="Times New Roman" w:hAnsi="Times New Roman" w:cs="Times New Roman"/>
          <w:color w:val="000000"/>
          <w:sz w:val="24"/>
          <w:szCs w:val="24"/>
        </w:rPr>
        <w:t xml:space="preserve"> Cultural Levels Based on Tourist Segments</w:t>
      </w:r>
    </w:p>
    <w:p w:rsidR="00A809B1" w:rsidRDefault="00A809B1">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tbl>
      <w:tblPr>
        <w:tblStyle w:val="a5"/>
        <w:tblW w:w="9209" w:type="dxa"/>
        <w:jc w:val="center"/>
        <w:tblLayout w:type="fixed"/>
        <w:tblLook w:val="0400" w:firstRow="0" w:lastRow="0" w:firstColumn="0" w:lastColumn="0" w:noHBand="0" w:noVBand="1"/>
      </w:tblPr>
      <w:tblGrid>
        <w:gridCol w:w="1048"/>
        <w:gridCol w:w="1062"/>
        <w:gridCol w:w="702"/>
        <w:gridCol w:w="987"/>
        <w:gridCol w:w="707"/>
        <w:gridCol w:w="402"/>
        <w:gridCol w:w="402"/>
        <w:gridCol w:w="1474"/>
        <w:gridCol w:w="1671"/>
        <w:gridCol w:w="754"/>
      </w:tblGrid>
      <w:tr w:rsidR="00A809B1">
        <w:trPr>
          <w:jc w:val="center"/>
        </w:trPr>
        <w:tc>
          <w:tcPr>
            <w:tcW w:w="1048" w:type="dxa"/>
            <w:vMerge w:val="restart"/>
            <w:tcBorders>
              <w:top w:val="single" w:sz="4" w:space="0" w:color="000000"/>
              <w:bottom w:val="single" w:sz="4" w:space="0" w:color="000000"/>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w:t>
            </w:r>
          </w:p>
        </w:tc>
        <w:tc>
          <w:tcPr>
            <w:tcW w:w="1764" w:type="dxa"/>
            <w:gridSpan w:val="2"/>
            <w:tcBorders>
              <w:top w:val="single" w:sz="4" w:space="0" w:color="000000"/>
              <w:bottom w:val="single" w:sz="4" w:space="0" w:color="000000"/>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w:t>
            </w:r>
          </w:p>
        </w:tc>
        <w:tc>
          <w:tcPr>
            <w:tcW w:w="1694" w:type="dxa"/>
            <w:gridSpan w:val="2"/>
            <w:tcBorders>
              <w:top w:val="single" w:sz="4" w:space="0" w:color="000000"/>
              <w:bottom w:val="single" w:sz="4" w:space="0" w:color="000000"/>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Youth</w:t>
            </w:r>
          </w:p>
        </w:tc>
        <w:tc>
          <w:tcPr>
            <w:tcW w:w="2278" w:type="dxa"/>
            <w:gridSpan w:val="3"/>
            <w:tcBorders>
              <w:top w:val="single" w:sz="4" w:space="0" w:color="000000"/>
              <w:bottom w:val="single" w:sz="4" w:space="0" w:color="000000"/>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Family</w:t>
            </w:r>
          </w:p>
        </w:tc>
        <w:tc>
          <w:tcPr>
            <w:tcW w:w="1671" w:type="dxa"/>
            <w:vMerge w:val="restart"/>
            <w:tcBorders>
              <w:top w:val="single" w:sz="4" w:space="0" w:color="000000"/>
              <w:bottom w:val="single" w:sz="4" w:space="0" w:color="000000"/>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 value</w:t>
            </w:r>
          </w:p>
        </w:tc>
        <w:tc>
          <w:tcPr>
            <w:tcW w:w="754" w:type="dxa"/>
            <w:vMerge w:val="restart"/>
            <w:tcBorders>
              <w:top w:val="single" w:sz="4" w:space="0" w:color="000000"/>
              <w:bottom w:val="single" w:sz="4" w:space="0" w:color="000000"/>
            </w:tcBorders>
            <w:shd w:val="clear" w:color="auto" w:fill="8DB3E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A809B1">
        <w:trPr>
          <w:jc w:val="center"/>
        </w:trPr>
        <w:tc>
          <w:tcPr>
            <w:tcW w:w="1048" w:type="dxa"/>
            <w:vMerge/>
            <w:tcBorders>
              <w:top w:val="single" w:sz="4" w:space="0" w:color="000000"/>
              <w:bottom w:val="single" w:sz="4" w:space="0" w:color="000000"/>
            </w:tcBorders>
            <w:shd w:val="clear" w:color="auto" w:fill="8DB3E2"/>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c>
          <w:tcPr>
            <w:tcW w:w="1062" w:type="dxa"/>
            <w:tcBorders>
              <w:top w:val="single" w:sz="4" w:space="0" w:color="000000"/>
              <w:bottom w:val="single" w:sz="4" w:space="0" w:color="000000"/>
            </w:tcBorders>
            <w:shd w:val="clear" w:color="auto" w:fill="8DB3E2"/>
          </w:tcPr>
          <w:p w:rsidR="00A809B1" w:rsidRDefault="005F43F7">
            <w:pPr>
              <w:spacing w:after="0" w:line="240" w:lineRule="auto"/>
              <w:ind w:left="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w:t>
            </w:r>
          </w:p>
        </w:tc>
        <w:tc>
          <w:tcPr>
            <w:tcW w:w="702" w:type="dxa"/>
            <w:tcBorders>
              <w:top w:val="single" w:sz="4" w:space="0" w:color="000000"/>
              <w:bottom w:val="single" w:sz="4" w:space="0" w:color="000000"/>
            </w:tcBorders>
            <w:shd w:val="clear" w:color="auto" w:fill="8DB3E2"/>
          </w:tcPr>
          <w:p w:rsidR="00A809B1" w:rsidRDefault="005F43F7">
            <w:pPr>
              <w:spacing w:after="0" w:line="240" w:lineRule="auto"/>
              <w:ind w:left="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w:t>
            </w:r>
          </w:p>
        </w:tc>
        <w:tc>
          <w:tcPr>
            <w:tcW w:w="987" w:type="dxa"/>
            <w:tcBorders>
              <w:top w:val="single" w:sz="4" w:space="0" w:color="000000"/>
              <w:bottom w:val="single" w:sz="4" w:space="0" w:color="000000"/>
            </w:tcBorders>
            <w:shd w:val="clear" w:color="auto" w:fill="8DB3E2"/>
          </w:tcPr>
          <w:p w:rsidR="00A809B1" w:rsidRDefault="005F43F7">
            <w:pPr>
              <w:spacing w:after="0" w:line="240" w:lineRule="auto"/>
              <w:ind w:left="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w:t>
            </w:r>
          </w:p>
        </w:tc>
        <w:tc>
          <w:tcPr>
            <w:tcW w:w="707" w:type="dxa"/>
            <w:tcBorders>
              <w:top w:val="single" w:sz="4" w:space="0" w:color="000000"/>
              <w:bottom w:val="single" w:sz="4" w:space="0" w:color="000000"/>
            </w:tcBorders>
            <w:shd w:val="clear" w:color="auto" w:fill="8DB3E2"/>
          </w:tcPr>
          <w:p w:rsidR="00A809B1" w:rsidRDefault="005F43F7">
            <w:pPr>
              <w:spacing w:after="0" w:line="240" w:lineRule="auto"/>
              <w:ind w:left="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w:t>
            </w:r>
          </w:p>
        </w:tc>
        <w:tc>
          <w:tcPr>
            <w:tcW w:w="804" w:type="dxa"/>
            <w:gridSpan w:val="2"/>
            <w:tcBorders>
              <w:top w:val="single" w:sz="4" w:space="0" w:color="000000"/>
              <w:bottom w:val="single" w:sz="4" w:space="0" w:color="000000"/>
            </w:tcBorders>
            <w:shd w:val="clear" w:color="auto" w:fill="8DB3E2"/>
          </w:tcPr>
          <w:p w:rsidR="00A809B1" w:rsidRDefault="005F43F7">
            <w:pPr>
              <w:spacing w:after="0" w:line="240" w:lineRule="auto"/>
              <w:ind w:left="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w:t>
            </w:r>
          </w:p>
        </w:tc>
        <w:tc>
          <w:tcPr>
            <w:tcW w:w="1474" w:type="dxa"/>
            <w:tcBorders>
              <w:top w:val="single" w:sz="4" w:space="0" w:color="000000"/>
              <w:bottom w:val="single" w:sz="4" w:space="0" w:color="000000"/>
            </w:tcBorders>
            <w:shd w:val="clear" w:color="auto" w:fill="8DB3E2"/>
          </w:tcPr>
          <w:p w:rsidR="00A809B1" w:rsidRDefault="005F43F7">
            <w:pPr>
              <w:spacing w:after="0" w:line="240" w:lineRule="auto"/>
              <w:ind w:left="2"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SP</w:t>
            </w:r>
          </w:p>
        </w:tc>
        <w:tc>
          <w:tcPr>
            <w:tcW w:w="1671" w:type="dxa"/>
            <w:vMerge/>
            <w:tcBorders>
              <w:top w:val="single" w:sz="4" w:space="0" w:color="000000"/>
              <w:bottom w:val="single" w:sz="4" w:space="0" w:color="000000"/>
            </w:tcBorders>
            <w:shd w:val="clear" w:color="auto" w:fill="8DB3E2"/>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c>
          <w:tcPr>
            <w:tcW w:w="754" w:type="dxa"/>
            <w:vMerge/>
            <w:tcBorders>
              <w:top w:val="single" w:sz="4" w:space="0" w:color="000000"/>
              <w:bottom w:val="single" w:sz="4" w:space="0" w:color="000000"/>
            </w:tcBorders>
            <w:shd w:val="clear" w:color="auto" w:fill="8DB3E2"/>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r>
      <w:tr w:rsidR="00A809B1">
        <w:trPr>
          <w:jc w:val="center"/>
        </w:trPr>
        <w:tc>
          <w:tcPr>
            <w:tcW w:w="1048"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Culture</w:t>
            </w:r>
          </w:p>
        </w:tc>
        <w:tc>
          <w:tcPr>
            <w:tcW w:w="1062"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702"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987"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c>
          <w:tcPr>
            <w:tcW w:w="707"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w:t>
            </w:r>
          </w:p>
        </w:tc>
        <w:tc>
          <w:tcPr>
            <w:tcW w:w="804" w:type="dxa"/>
            <w:gridSpan w:val="2"/>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1474"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w:t>
            </w:r>
          </w:p>
        </w:tc>
        <w:tc>
          <w:tcPr>
            <w:tcW w:w="1671"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7.210</w:t>
            </w:r>
          </w:p>
        </w:tc>
        <w:tc>
          <w:tcPr>
            <w:tcW w:w="754"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0.001</w:t>
            </w:r>
          </w:p>
        </w:tc>
      </w:tr>
      <w:tr w:rsidR="00A809B1">
        <w:trPr>
          <w:trHeight w:val="57"/>
          <w:jc w:val="center"/>
        </w:trPr>
        <w:tc>
          <w:tcPr>
            <w:tcW w:w="1048" w:type="dxa"/>
            <w:tcBorders>
              <w:top w:val="single" w:sz="4" w:space="0" w:color="000000"/>
              <w:bottom w:val="single" w:sz="4" w:space="0" w:color="000000"/>
            </w:tcBorders>
          </w:tcPr>
          <w:p w:rsidR="00A809B1" w:rsidRDefault="00A809B1">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p>
        </w:tc>
        <w:tc>
          <w:tcPr>
            <w:tcW w:w="1764" w:type="dxa"/>
            <w:gridSpan w:val="2"/>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Tourist segment</w:t>
            </w:r>
          </w:p>
        </w:tc>
        <w:tc>
          <w:tcPr>
            <w:tcW w:w="2096" w:type="dxa"/>
            <w:gridSpan w:val="3"/>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 Tourist segment</w:t>
            </w:r>
          </w:p>
        </w:tc>
        <w:tc>
          <w:tcPr>
            <w:tcW w:w="1876" w:type="dxa"/>
            <w:gridSpan w:val="2"/>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Mean difference (I-J)</w:t>
            </w:r>
          </w:p>
        </w:tc>
        <w:tc>
          <w:tcPr>
            <w:tcW w:w="1671"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Standard error</w:t>
            </w:r>
          </w:p>
        </w:tc>
        <w:tc>
          <w:tcPr>
            <w:tcW w:w="754" w:type="dxa"/>
            <w:tcBorders>
              <w:top w:val="single" w:sz="4" w:space="0" w:color="000000"/>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Sig.</w:t>
            </w:r>
          </w:p>
        </w:tc>
      </w:tr>
      <w:tr w:rsidR="00A809B1">
        <w:trPr>
          <w:trHeight w:val="57"/>
          <w:jc w:val="center"/>
        </w:trPr>
        <w:tc>
          <w:tcPr>
            <w:tcW w:w="9209" w:type="dxa"/>
            <w:gridSpan w:val="10"/>
            <w:tcBorders>
              <w:top w:val="single" w:sz="4" w:space="0" w:color="000000"/>
              <w:bottom w:val="single" w:sz="4" w:space="0" w:color="000000"/>
            </w:tcBorders>
          </w:tcPr>
          <w:p w:rsidR="00A809B1" w:rsidRDefault="005F43F7">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Comparison of cultural experiences based on tourist segments</w:t>
            </w:r>
          </w:p>
        </w:tc>
      </w:tr>
      <w:tr w:rsidR="00A809B1" w:rsidTr="00B07B67">
        <w:trPr>
          <w:jc w:val="center"/>
        </w:trPr>
        <w:tc>
          <w:tcPr>
            <w:tcW w:w="1048" w:type="dxa"/>
            <w:vMerge w:val="restart"/>
            <w:tcBorders>
              <w:top w:val="single" w:sz="4" w:space="0" w:color="000000"/>
              <w:bottom w:val="single" w:sz="4" w:space="0" w:color="auto"/>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Culture</w:t>
            </w:r>
          </w:p>
        </w:tc>
        <w:tc>
          <w:tcPr>
            <w:tcW w:w="1764" w:type="dxa"/>
            <w:gridSpan w:val="2"/>
            <w:vMerge w:val="restart"/>
            <w:tcBorders>
              <w:top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w:t>
            </w:r>
          </w:p>
        </w:tc>
        <w:tc>
          <w:tcPr>
            <w:tcW w:w="2096" w:type="dxa"/>
            <w:gridSpan w:val="3"/>
            <w:tcBorders>
              <w:top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Youth</w:t>
            </w:r>
          </w:p>
        </w:tc>
        <w:tc>
          <w:tcPr>
            <w:tcW w:w="1876" w:type="dxa"/>
            <w:gridSpan w:val="2"/>
            <w:tcBorders>
              <w:top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-.35830</w:t>
            </w:r>
            <w:r>
              <w:rPr>
                <w:rFonts w:ascii="Times New Roman" w:eastAsia="Times New Roman" w:hAnsi="Times New Roman" w:cs="Times New Roman"/>
                <w:b/>
                <w:color w:val="000000"/>
                <w:sz w:val="24"/>
                <w:szCs w:val="24"/>
                <w:vertAlign w:val="superscript"/>
              </w:rPr>
              <w:t>*</w:t>
            </w:r>
          </w:p>
        </w:tc>
        <w:tc>
          <w:tcPr>
            <w:tcW w:w="1671" w:type="dxa"/>
            <w:tcBorders>
              <w:top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.09718</w:t>
            </w:r>
          </w:p>
        </w:tc>
        <w:tc>
          <w:tcPr>
            <w:tcW w:w="754" w:type="dxa"/>
            <w:tcBorders>
              <w:top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.001</w:t>
            </w:r>
          </w:p>
        </w:tc>
      </w:tr>
      <w:tr w:rsidR="00A809B1" w:rsidTr="00B07B67">
        <w:trPr>
          <w:jc w:val="center"/>
        </w:trPr>
        <w:tc>
          <w:tcPr>
            <w:tcW w:w="1048" w:type="dxa"/>
            <w:vMerge/>
            <w:tcBorders>
              <w:top w:val="single" w:sz="4" w:space="0" w:color="000000"/>
              <w:bottom w:val="single" w:sz="4" w:space="0" w:color="auto"/>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c>
          <w:tcPr>
            <w:tcW w:w="1764" w:type="dxa"/>
            <w:gridSpan w:val="2"/>
            <w:vMerge/>
            <w:tcBorders>
              <w:top w:val="single" w:sz="4" w:space="0" w:color="000000"/>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c>
          <w:tcPr>
            <w:tcW w:w="2096" w:type="dxa"/>
            <w:gridSpan w:val="3"/>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w:t>
            </w:r>
          </w:p>
        </w:tc>
        <w:tc>
          <w:tcPr>
            <w:tcW w:w="1876" w:type="dxa"/>
            <w:gridSpan w:val="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-.17724</w:t>
            </w:r>
          </w:p>
        </w:tc>
        <w:tc>
          <w:tcPr>
            <w:tcW w:w="1671"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.10459</w:t>
            </w:r>
          </w:p>
        </w:tc>
        <w:tc>
          <w:tcPr>
            <w:tcW w:w="754"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w:t>
            </w:r>
          </w:p>
        </w:tc>
      </w:tr>
      <w:tr w:rsidR="00A809B1" w:rsidTr="00B07B67">
        <w:trPr>
          <w:jc w:val="center"/>
        </w:trPr>
        <w:tc>
          <w:tcPr>
            <w:tcW w:w="1048" w:type="dxa"/>
            <w:vMerge/>
            <w:tcBorders>
              <w:top w:val="single" w:sz="4" w:space="0" w:color="000000"/>
              <w:bottom w:val="single" w:sz="4" w:space="0" w:color="auto"/>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764" w:type="dxa"/>
            <w:gridSpan w:val="2"/>
            <w:vMerge w:val="restart"/>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Youth</w:t>
            </w:r>
          </w:p>
        </w:tc>
        <w:tc>
          <w:tcPr>
            <w:tcW w:w="2096" w:type="dxa"/>
            <w:gridSpan w:val="3"/>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Student</w:t>
            </w:r>
          </w:p>
        </w:tc>
        <w:tc>
          <w:tcPr>
            <w:tcW w:w="1876" w:type="dxa"/>
            <w:gridSpan w:val="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.35830</w:t>
            </w:r>
            <w:r>
              <w:rPr>
                <w:rFonts w:ascii="Times New Roman" w:eastAsia="Times New Roman" w:hAnsi="Times New Roman" w:cs="Times New Roman"/>
                <w:b/>
                <w:color w:val="000000"/>
                <w:sz w:val="24"/>
                <w:szCs w:val="24"/>
                <w:vertAlign w:val="superscript"/>
              </w:rPr>
              <w:t>*</w:t>
            </w:r>
          </w:p>
        </w:tc>
        <w:tc>
          <w:tcPr>
            <w:tcW w:w="1671"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.09718</w:t>
            </w:r>
          </w:p>
        </w:tc>
        <w:tc>
          <w:tcPr>
            <w:tcW w:w="754"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.001</w:t>
            </w:r>
          </w:p>
        </w:tc>
      </w:tr>
      <w:tr w:rsidR="00A809B1" w:rsidTr="00B07B67">
        <w:trPr>
          <w:jc w:val="center"/>
        </w:trPr>
        <w:tc>
          <w:tcPr>
            <w:tcW w:w="1048" w:type="dxa"/>
            <w:vMerge/>
            <w:tcBorders>
              <w:top w:val="single" w:sz="4" w:space="0" w:color="000000"/>
              <w:bottom w:val="single" w:sz="4" w:space="0" w:color="auto"/>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c>
          <w:tcPr>
            <w:tcW w:w="1764" w:type="dxa"/>
            <w:gridSpan w:val="2"/>
            <w:vMerge/>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b/>
                <w:color w:val="000000"/>
                <w:sz w:val="24"/>
                <w:szCs w:val="24"/>
              </w:rPr>
            </w:pPr>
          </w:p>
        </w:tc>
        <w:tc>
          <w:tcPr>
            <w:tcW w:w="2096" w:type="dxa"/>
            <w:gridSpan w:val="3"/>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w:t>
            </w:r>
          </w:p>
        </w:tc>
        <w:tc>
          <w:tcPr>
            <w:tcW w:w="1876" w:type="dxa"/>
            <w:gridSpan w:val="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.18106</w:t>
            </w:r>
          </w:p>
        </w:tc>
        <w:tc>
          <w:tcPr>
            <w:tcW w:w="1671"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.08499</w:t>
            </w:r>
          </w:p>
        </w:tc>
        <w:tc>
          <w:tcPr>
            <w:tcW w:w="754"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r w:rsidR="00A809B1" w:rsidTr="00B07B67">
        <w:trPr>
          <w:jc w:val="center"/>
        </w:trPr>
        <w:tc>
          <w:tcPr>
            <w:tcW w:w="1048" w:type="dxa"/>
            <w:vMerge/>
            <w:tcBorders>
              <w:top w:val="single" w:sz="4" w:space="0" w:color="000000"/>
              <w:bottom w:val="single" w:sz="4" w:space="0" w:color="auto"/>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764" w:type="dxa"/>
            <w:gridSpan w:val="2"/>
            <w:vMerge w:val="restart"/>
            <w:tcBorders>
              <w:bottom w:val="single" w:sz="4" w:space="0" w:color="auto"/>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family</w:t>
            </w:r>
          </w:p>
        </w:tc>
        <w:tc>
          <w:tcPr>
            <w:tcW w:w="2096" w:type="dxa"/>
            <w:gridSpan w:val="3"/>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w:t>
            </w:r>
          </w:p>
        </w:tc>
        <w:tc>
          <w:tcPr>
            <w:tcW w:w="1876" w:type="dxa"/>
            <w:gridSpan w:val="2"/>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.17724</w:t>
            </w:r>
          </w:p>
        </w:tc>
        <w:tc>
          <w:tcPr>
            <w:tcW w:w="1671"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.10459</w:t>
            </w:r>
          </w:p>
        </w:tc>
        <w:tc>
          <w:tcPr>
            <w:tcW w:w="754" w:type="dxa"/>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w:t>
            </w:r>
          </w:p>
        </w:tc>
      </w:tr>
      <w:tr w:rsidR="00A809B1" w:rsidTr="00B07B67">
        <w:trPr>
          <w:jc w:val="center"/>
        </w:trPr>
        <w:tc>
          <w:tcPr>
            <w:tcW w:w="1048" w:type="dxa"/>
            <w:vMerge/>
            <w:tcBorders>
              <w:top w:val="single" w:sz="4" w:space="0" w:color="000000"/>
              <w:bottom w:val="single" w:sz="4" w:space="0" w:color="auto"/>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1764" w:type="dxa"/>
            <w:gridSpan w:val="2"/>
            <w:vMerge/>
            <w:tcBorders>
              <w:bottom w:val="single" w:sz="4" w:space="0" w:color="auto"/>
            </w:tcBorders>
          </w:tcPr>
          <w:p w:rsidR="00A809B1" w:rsidRDefault="00A809B1">
            <w:pPr>
              <w:widowControl w:val="0"/>
              <w:pBdr>
                <w:top w:val="nil"/>
                <w:left w:val="nil"/>
                <w:bottom w:val="nil"/>
                <w:right w:val="nil"/>
                <w:between w:val="nil"/>
              </w:pBdr>
              <w:spacing w:after="0"/>
              <w:ind w:firstLine="0"/>
              <w:rPr>
                <w:rFonts w:ascii="Times New Roman" w:eastAsia="Times New Roman" w:hAnsi="Times New Roman" w:cs="Times New Roman"/>
                <w:color w:val="000000"/>
                <w:sz w:val="24"/>
                <w:szCs w:val="24"/>
              </w:rPr>
            </w:pPr>
          </w:p>
        </w:tc>
        <w:tc>
          <w:tcPr>
            <w:tcW w:w="2096" w:type="dxa"/>
            <w:gridSpan w:val="3"/>
            <w:tcBorders>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Youth</w:t>
            </w:r>
          </w:p>
        </w:tc>
        <w:tc>
          <w:tcPr>
            <w:tcW w:w="1876" w:type="dxa"/>
            <w:gridSpan w:val="2"/>
            <w:tcBorders>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-.18106</w:t>
            </w:r>
          </w:p>
        </w:tc>
        <w:tc>
          <w:tcPr>
            <w:tcW w:w="1671" w:type="dxa"/>
            <w:tcBorders>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.08499</w:t>
            </w:r>
          </w:p>
        </w:tc>
        <w:tc>
          <w:tcPr>
            <w:tcW w:w="754" w:type="dxa"/>
            <w:tcBorders>
              <w:bottom w:val="single" w:sz="4" w:space="0" w:color="000000"/>
            </w:tcBorders>
          </w:tcPr>
          <w:p w:rsidR="00A809B1" w:rsidRDefault="005F43F7">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w:t>
            </w:r>
          </w:p>
        </w:tc>
      </w:tr>
    </w:tbl>
    <w:p w:rsidR="00A809B1" w:rsidRDefault="00A809B1">
      <w:pPr>
        <w:spacing w:after="0" w:line="240" w:lineRule="auto"/>
        <w:ind w:firstLine="567"/>
        <w:jc w:val="both"/>
        <w:rPr>
          <w:rFonts w:ascii="Times New Roman" w:eastAsia="Times New Roman" w:hAnsi="Times New Roman" w:cs="Times New Roman"/>
          <w:sz w:val="24"/>
          <w:szCs w:val="24"/>
        </w:rPr>
      </w:pP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reveals a significant difference in cultural experiences across different tourist segments. The youth segment exhibits the highest mean score (mean = 3.53, SD = 0.72), while the student segment shows the lowest mean (mean = 3.17, SD = 1.02). This difference is statistically significant, with F = 7.210 and p = 0.001 (p &lt; 0.01). The results indicate a significant difference between the student and youth segments. However, there is no significant difference between the student and family segments (p = 0.239, p &gt; 0.05), as well as between the youth and family segments (p = 0.104, p &gt; 0.05). Therefore, the overall findings suggest that there is a significant difference between students and youth, but not between students and families or between youth and families.</w:t>
      </w:r>
    </w:p>
    <w:p w:rsidR="00A809B1" w:rsidRDefault="00A809B1">
      <w:pPr>
        <w:spacing w:after="0" w:line="240" w:lineRule="auto"/>
        <w:ind w:firstLine="0"/>
        <w:rPr>
          <w:rFonts w:ascii="Times New Roman" w:eastAsia="Times New Roman" w:hAnsi="Times New Roman" w:cs="Times New Roman"/>
          <w:b/>
          <w:sz w:val="24"/>
          <w:szCs w:val="24"/>
        </w:rPr>
      </w:pPr>
    </w:p>
    <w:p w:rsidR="00A809B1" w:rsidRDefault="00A809B1">
      <w:pPr>
        <w:spacing w:after="0" w:line="240" w:lineRule="auto"/>
        <w:ind w:firstLine="0"/>
        <w:rPr>
          <w:rFonts w:ascii="Times New Roman" w:eastAsia="Times New Roman" w:hAnsi="Times New Roman" w:cs="Times New Roman"/>
          <w:b/>
          <w:sz w:val="24"/>
          <w:szCs w:val="24"/>
        </w:rPr>
      </w:pPr>
    </w:p>
    <w:p w:rsidR="00A809B1" w:rsidRDefault="005F43F7">
      <w:pPr>
        <w:spacing w:after="0"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Discussion</w:t>
      </w:r>
    </w:p>
    <w:p w:rsidR="00A809B1" w:rsidRDefault="00A809B1">
      <w:pPr>
        <w:spacing w:after="0" w:line="240" w:lineRule="auto"/>
        <w:ind w:left="2" w:hanging="2"/>
        <w:rPr>
          <w:rFonts w:ascii="Times New Roman" w:eastAsia="Times New Roman" w:hAnsi="Times New Roman" w:cs="Times New Roman"/>
          <w:sz w:val="24"/>
          <w:szCs w:val="24"/>
        </w:rPr>
      </w:pPr>
    </w:p>
    <w:p w:rsidR="00A809B1" w:rsidRDefault="005F43F7">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cultural aspect of Royal tourism reveals that students do not prioritize this element as much as other groups. In contrast, the youth segment shows a higher appreciation for cultural experiences, particularly valuing the sentimental aspects of the Sultan's personal collections. This segment also perceives that the local community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still preserves traditional customs such as childbirth rituals, weddings and traditional attire like </w:t>
      </w:r>
      <w:proofErr w:type="spellStart"/>
      <w:r>
        <w:rPr>
          <w:rFonts w:ascii="Times New Roman" w:eastAsia="Times New Roman" w:hAnsi="Times New Roman" w:cs="Times New Roman"/>
          <w:sz w:val="24"/>
          <w:szCs w:val="24"/>
        </w:rPr>
        <w:t>songket</w:t>
      </w:r>
      <w:proofErr w:type="spellEnd"/>
      <w:r>
        <w:rPr>
          <w:rFonts w:ascii="Times New Roman" w:eastAsia="Times New Roman" w:hAnsi="Times New Roman" w:cs="Times New Roman"/>
          <w:sz w:val="24"/>
          <w:szCs w:val="24"/>
        </w:rPr>
        <w:t xml:space="preserve"> and batik. On the other hand, the family segment focuses more on observing cultural performances such as </w:t>
      </w:r>
      <w:proofErr w:type="spellStart"/>
      <w:r>
        <w:rPr>
          <w:rFonts w:ascii="Times New Roman" w:eastAsia="Times New Roman" w:hAnsi="Times New Roman" w:cs="Times New Roman"/>
          <w:sz w:val="24"/>
          <w:szCs w:val="24"/>
        </w:rPr>
        <w:t>nazam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marhaban</w:t>
      </w:r>
      <w:proofErr w:type="spellEnd"/>
      <w:r>
        <w:rPr>
          <w:rFonts w:ascii="Times New Roman" w:eastAsia="Times New Roman" w:hAnsi="Times New Roman" w:cs="Times New Roman"/>
          <w:sz w:val="24"/>
          <w:szCs w:val="24"/>
        </w:rPr>
        <w:t xml:space="preserve"> during their visits.</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Domestic tourists typically spend only 1-2 days visiting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which is sufficient to explore the recommended cultural destinations. This finding aligns with </w:t>
      </w:r>
      <w:proofErr w:type="spellStart"/>
      <w:r>
        <w:rPr>
          <w:rFonts w:ascii="Times New Roman" w:eastAsia="Times New Roman" w:hAnsi="Times New Roman" w:cs="Times New Roman"/>
          <w:sz w:val="24"/>
          <w:szCs w:val="24"/>
        </w:rPr>
        <w:t>Er</w:t>
      </w:r>
      <w:proofErr w:type="spellEnd"/>
      <w:r>
        <w:rPr>
          <w:rFonts w:ascii="Times New Roman" w:eastAsia="Times New Roman" w:hAnsi="Times New Roman" w:cs="Times New Roman"/>
          <w:sz w:val="24"/>
          <w:szCs w:val="24"/>
        </w:rPr>
        <w:t xml:space="preserve"> Ah Choy’s (2013) study, which suggested that 1-2 days are adequate for heritage visits in a tourism destination. Other studies have also discussed the duration of tourists' visits to royal towns, indicating that most tourists do not spend an extended amount of time in these destinations. This is primarily because the royal sites they visit—such as palaces, royal mosques and historical buildings—require only a short time to explore (</w:t>
      </w:r>
      <w:proofErr w:type="spellStart"/>
      <w:r>
        <w:rPr>
          <w:rFonts w:ascii="Times New Roman" w:eastAsia="Times New Roman" w:hAnsi="Times New Roman" w:cs="Times New Roman"/>
          <w:sz w:val="24"/>
          <w:szCs w:val="24"/>
        </w:rPr>
        <w:t>Saidi</w:t>
      </w:r>
      <w:proofErr w:type="spellEnd"/>
      <w:r>
        <w:rPr>
          <w:rFonts w:ascii="Times New Roman" w:eastAsia="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Yunus</w:t>
      </w:r>
      <w:proofErr w:type="spellEnd"/>
      <w:r>
        <w:rPr>
          <w:rFonts w:ascii="Times New Roman" w:eastAsia="Times New Roman" w:hAnsi="Times New Roman" w:cs="Times New Roman"/>
          <w:sz w:val="24"/>
          <w:szCs w:val="24"/>
        </w:rPr>
        <w:t xml:space="preserve"> et al., 2021; Mohamad et al., 2023).</w:t>
      </w:r>
    </w:p>
    <w:p w:rsidR="00A809B1" w:rsidRDefault="005F43F7">
      <w:pPr>
        <w:spacing w:after="0" w:line="240" w:lineRule="auto"/>
        <w:ind w:firstLine="567"/>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The cultural heritage displayed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appeals to 78.0% of tourists, who are interested in learning more about the traditional customs practiced there. Key customs include </w:t>
      </w:r>
      <w:r>
        <w:rPr>
          <w:rFonts w:ascii="Times New Roman" w:eastAsia="Times New Roman" w:hAnsi="Times New Roman" w:cs="Times New Roman"/>
          <w:sz w:val="24"/>
          <w:szCs w:val="24"/>
        </w:rPr>
        <w:lastRenderedPageBreak/>
        <w:t xml:space="preserve">those related to childbirth and Perak’s wedding traditions, such as the stages of courtship, engagement and marriage. In Malay society, traditional customs are still observed, especially in major ceremonies like weddings, often taking precedence over other aspects of life. This is encapsulated in the Malay proverb, </w:t>
      </w:r>
      <w:r>
        <w:rPr>
          <w:rFonts w:ascii="Times New Roman" w:eastAsia="Times New Roman" w:hAnsi="Times New Roman" w:cs="Times New Roman"/>
          <w:i/>
          <w:sz w:val="24"/>
          <w:szCs w:val="24"/>
        </w:rPr>
        <w:t>"</w:t>
      </w:r>
      <w:proofErr w:type="spellStart"/>
      <w:r>
        <w:rPr>
          <w:rFonts w:ascii="Times New Roman" w:eastAsia="Times New Roman" w:hAnsi="Times New Roman" w:cs="Times New Roman"/>
          <w:i/>
          <w:sz w:val="24"/>
          <w:szCs w:val="24"/>
        </w:rPr>
        <w:t>biar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anak</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jangan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adat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("better to lose a child than to lose tradition"). This finding is consistent with Abdullah et al.’s (2015) research, which highlighted that customs are a significant attraction and are continuously chosen for both formal and informal learning. Other studies have also reported findings indicating that tourists are attracted to the cultural and historical elements of the town. These visits connect various heritage assets such as traditional houses, mosques and palaces, thereby helping tourists to understand and appreciate the cultural diversity and historical significance of the royal town (</w:t>
      </w:r>
      <w:proofErr w:type="spellStart"/>
      <w:r>
        <w:rPr>
          <w:rFonts w:ascii="Times New Roman" w:eastAsia="Times New Roman" w:hAnsi="Times New Roman" w:cs="Times New Roman"/>
          <w:sz w:val="24"/>
          <w:szCs w:val="24"/>
        </w:rPr>
        <w:t>Yunus</w:t>
      </w:r>
      <w:proofErr w:type="spellEnd"/>
      <w:r>
        <w:rPr>
          <w:rFonts w:ascii="Times New Roman" w:eastAsia="Times New Roman" w:hAnsi="Times New Roman" w:cs="Times New Roman"/>
          <w:sz w:val="24"/>
          <w:szCs w:val="24"/>
        </w:rPr>
        <w:t xml:space="preserve"> et al., 2021; Majid, 2020; Rahman, 2005).</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their visits, 76.8% of tourists observed the close-knit relationships among the diverse ethnic and religious communities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noting the mutual respect and unity in maintaining the area's good reputation. Additionally, 74.5% of tourists experienced cultural performances such as </w:t>
      </w:r>
      <w:proofErr w:type="spellStart"/>
      <w:r>
        <w:rPr>
          <w:rFonts w:ascii="Times New Roman" w:eastAsia="Times New Roman" w:hAnsi="Times New Roman" w:cs="Times New Roman"/>
          <w:sz w:val="24"/>
          <w:szCs w:val="24"/>
        </w:rPr>
        <w:t>nazam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marhaban</w:t>
      </w:r>
      <w:proofErr w:type="spellEnd"/>
      <w:r>
        <w:rPr>
          <w:rFonts w:ascii="Times New Roman" w:eastAsia="Times New Roman" w:hAnsi="Times New Roman" w:cs="Times New Roman"/>
          <w:sz w:val="24"/>
          <w:szCs w:val="24"/>
        </w:rPr>
        <w:t xml:space="preserve">, which allowed them to immerse themselves in the local cultural atmosphere. These performances, along with customs like the engagement ceremony, contribute to the distinctiveness of Kuala </w:t>
      </w:r>
      <w:proofErr w:type="spellStart"/>
      <w:r>
        <w:rPr>
          <w:rFonts w:ascii="Times New Roman" w:eastAsia="Times New Roman" w:hAnsi="Times New Roman" w:cs="Times New Roman"/>
          <w:sz w:val="24"/>
          <w:szCs w:val="24"/>
        </w:rPr>
        <w:t>Kangsar’s</w:t>
      </w:r>
      <w:proofErr w:type="spellEnd"/>
      <w:r>
        <w:rPr>
          <w:rFonts w:ascii="Times New Roman" w:eastAsia="Times New Roman" w:hAnsi="Times New Roman" w:cs="Times New Roman"/>
          <w:sz w:val="24"/>
          <w:szCs w:val="24"/>
        </w:rPr>
        <w:t xml:space="preserve"> cultural heritage.</w:t>
      </w:r>
    </w:p>
    <w:p w:rsidR="00A809B1" w:rsidRDefault="005F43F7">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traditional attire, 75.2% of tourists expressed a desire to learn more, particularly about garments like the Princess of Perak’s attire, which symbolizes royal heritage. Furthermore, 74.0% of tourists appreciated the sentimental value of the Sultan's personal items and collections on display. Additionally, 73.6% of tourists gained an understanding of the royal customs showcased, such as the coronation ceremony and the </w:t>
      </w:r>
      <w:proofErr w:type="spellStart"/>
      <w:r>
        <w:rPr>
          <w:rFonts w:ascii="Times New Roman" w:eastAsia="Times New Roman" w:hAnsi="Times New Roman" w:cs="Times New Roman"/>
          <w:sz w:val="24"/>
          <w:szCs w:val="24"/>
        </w:rPr>
        <w:t>tabal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pusaka</w:t>
      </w:r>
      <w:proofErr w:type="spellEnd"/>
      <w:r>
        <w:rPr>
          <w:rFonts w:ascii="Times New Roman" w:eastAsia="Times New Roman" w:hAnsi="Times New Roman" w:cs="Times New Roman"/>
          <w:sz w:val="24"/>
          <w:szCs w:val="24"/>
        </w:rPr>
        <w:t xml:space="preserve">, which reflect the rich cultural artistry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w:t>
      </w:r>
    </w:p>
    <w:p w:rsidR="00A809B1" w:rsidRDefault="005F43F7">
      <w:pPr>
        <w:spacing w:after="0" w:line="240" w:lineRule="auto"/>
        <w:ind w:left="2" w:hanging="2"/>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Previous studies have consistently emphasized the importance of preserving the unique characteristics of Malaysia’s royal towns, such as architectural styles, cultural practices, and historical values. These cultural elements underscore the need for continuous preservation and promotional efforts to ensure the sustainability and development of cultural tourism in royal towns. The formation of heritage trails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has been explored with a focus on integrating cultural, natural, social and historical elements to enrich the tourist experience. The application of experience design principles has played a vital role in developing these trails, which connect key cultural landmarks within the royal town. The area of Bukit </w:t>
      </w:r>
      <w:proofErr w:type="spellStart"/>
      <w:r>
        <w:rPr>
          <w:rFonts w:ascii="Times New Roman" w:eastAsia="Times New Roman" w:hAnsi="Times New Roman" w:cs="Times New Roman"/>
          <w:sz w:val="24"/>
          <w:szCs w:val="24"/>
        </w:rPr>
        <w:t>Chandan</w:t>
      </w:r>
      <w:proofErr w:type="spellEnd"/>
      <w:r>
        <w:rPr>
          <w:rFonts w:ascii="Times New Roman" w:eastAsia="Times New Roman" w:hAnsi="Times New Roman" w:cs="Times New Roman"/>
          <w:sz w:val="24"/>
          <w:szCs w:val="24"/>
        </w:rPr>
        <w:t>, in particular, stands out for its rich Malay cultural heritage, including traditional crafts, music and architecture.</w:t>
      </w:r>
    </w:p>
    <w:p w:rsidR="00A809B1" w:rsidRDefault="005F43F7">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Malaysia’s rich multicultural legacy is widely recognized as a powerful tool for promoting and publicizing cultural tourism. This enhances tourists' perceptions of Malaysia's cultural image and identity. In conclusion, this study shows that culture plays a unique role in shaping tourists' visits to the Royal town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Various cultural aspects, including Royal customs, language, arts and heritage, should be highlighted and presented to tourists. Furthermore, elements such as traditional attire, language and the interplay between traditional and modern culture should not be overlooked. Although modern elements are increasingly introduced,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still maintains its unique civilization and cultural identity, making it a favored destination for both domestic and international tourists seeking to understand and appreciate this cultural tourism. Therefore, various stakeholders must consider and ensure the development, advancement and preservation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as a prosperous cultural tourism hub that endures through the ages.</w:t>
      </w:r>
    </w:p>
    <w:p w:rsidR="00A809B1" w:rsidRDefault="00A809B1">
      <w:pPr>
        <w:spacing w:after="0" w:line="240" w:lineRule="auto"/>
        <w:ind w:left="2" w:hanging="2"/>
        <w:rPr>
          <w:rFonts w:ascii="Times New Roman" w:eastAsia="Times New Roman" w:hAnsi="Times New Roman" w:cs="Times New Roman"/>
          <w:sz w:val="24"/>
          <w:szCs w:val="24"/>
        </w:rPr>
      </w:pPr>
    </w:p>
    <w:p w:rsidR="00A809B1" w:rsidRDefault="00A809B1" w:rsidP="00620BE9">
      <w:pPr>
        <w:spacing w:after="0" w:line="240" w:lineRule="auto"/>
        <w:ind w:firstLine="0"/>
        <w:rPr>
          <w:rFonts w:ascii="Times New Roman" w:eastAsia="Times New Roman" w:hAnsi="Times New Roman" w:cs="Times New Roman"/>
          <w:sz w:val="24"/>
          <w:szCs w:val="24"/>
        </w:rPr>
      </w:pPr>
    </w:p>
    <w:p w:rsidR="009E2EDB" w:rsidRDefault="009E2EDB">
      <w:pPr>
        <w:spacing w:after="0" w:line="240" w:lineRule="auto"/>
        <w:ind w:left="2" w:hanging="2"/>
        <w:rPr>
          <w:rFonts w:ascii="Times New Roman" w:eastAsia="Times New Roman" w:hAnsi="Times New Roman" w:cs="Times New Roman"/>
          <w:b/>
          <w:sz w:val="24"/>
          <w:szCs w:val="24"/>
        </w:rPr>
      </w:pPr>
    </w:p>
    <w:p w:rsidR="00A809B1" w:rsidRDefault="005F43F7">
      <w:pPr>
        <w:spacing w:after="0" w:line="240" w:lineRule="auto"/>
        <w:ind w:left="2" w:hanging="2"/>
        <w:rPr>
          <w:rFonts w:ascii="Times New Roman" w:eastAsia="Times New Roman" w:hAnsi="Times New Roman" w:cs="Times New Roman"/>
          <w:b/>
          <w:sz w:val="24"/>
          <w:szCs w:val="24"/>
        </w:rPr>
      </w:pPr>
      <w:bookmarkStart w:id="1" w:name="_GoBack"/>
      <w:bookmarkEnd w:id="1"/>
      <w:r>
        <w:rPr>
          <w:rFonts w:ascii="Times New Roman" w:eastAsia="Times New Roman" w:hAnsi="Times New Roman" w:cs="Times New Roman"/>
          <w:b/>
          <w:sz w:val="24"/>
          <w:szCs w:val="24"/>
        </w:rPr>
        <w:lastRenderedPageBreak/>
        <w:t>Conclusion</w:t>
      </w:r>
    </w:p>
    <w:p w:rsidR="00A809B1" w:rsidRDefault="00A809B1">
      <w:pPr>
        <w:spacing w:after="0" w:line="240" w:lineRule="auto"/>
        <w:ind w:left="2" w:hanging="2"/>
        <w:rPr>
          <w:rFonts w:ascii="Times New Roman" w:eastAsia="Times New Roman" w:hAnsi="Times New Roman" w:cs="Times New Roman"/>
          <w:b/>
          <w:sz w:val="24"/>
          <w:szCs w:val="24"/>
        </w:rPr>
      </w:pPr>
    </w:p>
    <w:p w:rsidR="00A809B1" w:rsidRDefault="005F43F7">
      <w:pPr>
        <w:spacing w:after="0" w:line="240" w:lineRule="auto"/>
        <w:ind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of cultural arts in the context of royal tourism emphasizes how important culture is in developing the uniqueness and development of royal towns. Culture, which includes rules and regulations, values and traditions, is a major encouragement for tourism activities, particularly in royal towns such as Malaysia. Although culture is not frequently a primary attraction for tourists, it strengthens their experiences, especially through the preservation of local customs and traditions. Malaysia's unique multicultural past, as declared through multiple ethnicities, festivals and Royal events, plays an important role in attracting tourists. This cultural variety helps tourists understand Malaysia's heritage and develops the bond of emotion they experience when visiting royal towns.</w:t>
      </w:r>
    </w:p>
    <w:p w:rsidR="00A809B1" w:rsidRDefault="005F43F7">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heritage cities offer a significant part in royal tourism through preserving not only their aesthetic and architectural </w:t>
      </w:r>
      <w:proofErr w:type="spellStart"/>
      <w:r>
        <w:rPr>
          <w:rFonts w:ascii="Times New Roman" w:eastAsia="Times New Roman" w:hAnsi="Times New Roman" w:cs="Times New Roman"/>
          <w:sz w:val="24"/>
          <w:szCs w:val="24"/>
        </w:rPr>
        <w:t>splendour</w:t>
      </w:r>
      <w:proofErr w:type="spellEnd"/>
      <w:r>
        <w:rPr>
          <w:rFonts w:ascii="Times New Roman" w:eastAsia="Times New Roman" w:hAnsi="Times New Roman" w:cs="Times New Roman"/>
          <w:sz w:val="24"/>
          <w:szCs w:val="24"/>
        </w:rPr>
        <w:t>, but also the tangible and intangible heritage assets that express them. The recognition of heritage cities based on their unique historical and cultural characteristics highlights the importance of conserving these places for future generations. As Malaysia's heritage cities continue to contribute to national economic growth through tourism, their unique identities must be preserved. The complementary balance of economic, social and environmental issues ensures that historic cities continue to be vital tourist attractions while conserving the cultural richness that represents the fundamental foundation of the nation's culture.</w:t>
      </w:r>
    </w:p>
    <w:p w:rsidR="00A809B1" w:rsidRDefault="00A809B1">
      <w:pPr>
        <w:spacing w:after="0" w:line="240" w:lineRule="auto"/>
        <w:ind w:left="2" w:hanging="2"/>
        <w:rPr>
          <w:rFonts w:ascii="Times New Roman" w:eastAsia="Times New Roman" w:hAnsi="Times New Roman" w:cs="Times New Roman"/>
          <w:sz w:val="24"/>
          <w:szCs w:val="24"/>
        </w:rPr>
      </w:pPr>
    </w:p>
    <w:p w:rsidR="00A809B1" w:rsidRDefault="00A809B1">
      <w:pPr>
        <w:spacing w:after="0" w:line="240" w:lineRule="auto"/>
        <w:ind w:left="2" w:hanging="2"/>
        <w:rPr>
          <w:rFonts w:ascii="Times New Roman" w:eastAsia="Times New Roman" w:hAnsi="Times New Roman" w:cs="Times New Roman"/>
          <w:sz w:val="24"/>
          <w:szCs w:val="24"/>
        </w:rPr>
      </w:pPr>
    </w:p>
    <w:p w:rsidR="00A809B1" w:rsidRDefault="005F43F7">
      <w:pPr>
        <w:spacing w:after="0" w:line="240" w:lineRule="auto"/>
        <w:ind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Acknowledgement </w:t>
      </w:r>
    </w:p>
    <w:p w:rsidR="00A809B1" w:rsidRDefault="00A809B1">
      <w:pPr>
        <w:spacing w:after="0" w:line="240" w:lineRule="auto"/>
        <w:ind w:left="2" w:hanging="2"/>
        <w:rPr>
          <w:rFonts w:ascii="Times New Roman" w:eastAsia="Times New Roman" w:hAnsi="Times New Roman" w:cs="Times New Roman"/>
          <w:sz w:val="24"/>
          <w:szCs w:val="24"/>
        </w:rPr>
      </w:pPr>
    </w:p>
    <w:p w:rsidR="00A809B1" w:rsidRDefault="005F43F7">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 would like to take this opportunity to express sincere gratitude to MyBrain15 and the Ministry of Higher Education Malaysia (KPT) for funding this research. A heartfelt thank you is also extended to the Royal Town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for serving as the research location and to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Malaysia for their support in the publication of this journal article. </w:t>
      </w:r>
    </w:p>
    <w:p w:rsidR="00A809B1" w:rsidRDefault="005F43F7">
      <w:pPr>
        <w:spacing w:after="0" w:line="240" w:lineRule="auto"/>
        <w:ind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809B1" w:rsidRDefault="00A809B1">
      <w:pPr>
        <w:spacing w:after="0" w:line="240" w:lineRule="auto"/>
        <w:ind w:left="2" w:hanging="2"/>
        <w:rPr>
          <w:rFonts w:ascii="Times New Roman" w:eastAsia="Times New Roman" w:hAnsi="Times New Roman" w:cs="Times New Roman"/>
          <w:sz w:val="24"/>
          <w:szCs w:val="24"/>
        </w:rPr>
      </w:pPr>
    </w:p>
    <w:p w:rsidR="00A809B1" w:rsidRDefault="005F43F7">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rsidR="00A809B1" w:rsidRDefault="005F43F7">
      <w:pPr>
        <w:spacing w:after="0" w:line="240" w:lineRule="auto"/>
        <w:ind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Abdullah, C. Z., </w:t>
      </w:r>
      <w:proofErr w:type="spellStart"/>
      <w:r>
        <w:rPr>
          <w:rFonts w:ascii="Times New Roman" w:eastAsia="Times New Roman" w:hAnsi="Times New Roman" w:cs="Times New Roman"/>
          <w:color w:val="000000"/>
          <w:sz w:val="24"/>
          <w:szCs w:val="24"/>
        </w:rPr>
        <w:t>Yahya</w:t>
      </w:r>
      <w:proofErr w:type="spellEnd"/>
      <w:r>
        <w:rPr>
          <w:rFonts w:ascii="Times New Roman" w:eastAsia="Times New Roman" w:hAnsi="Times New Roman" w:cs="Times New Roman"/>
          <w:color w:val="000000"/>
          <w:sz w:val="24"/>
          <w:szCs w:val="24"/>
        </w:rPr>
        <w:t xml:space="preserve">, Z., </w:t>
      </w:r>
      <w:proofErr w:type="spellStart"/>
      <w:r>
        <w:rPr>
          <w:rFonts w:ascii="Times New Roman" w:eastAsia="Times New Roman" w:hAnsi="Times New Roman" w:cs="Times New Roman"/>
          <w:color w:val="000000"/>
          <w:sz w:val="24"/>
          <w:szCs w:val="24"/>
        </w:rPr>
        <w:t>Salleh</w:t>
      </w:r>
      <w:proofErr w:type="spellEnd"/>
      <w:r>
        <w:rPr>
          <w:rFonts w:ascii="Times New Roman" w:eastAsia="Times New Roman" w:hAnsi="Times New Roman" w:cs="Times New Roman"/>
          <w:color w:val="000000"/>
          <w:sz w:val="24"/>
          <w:szCs w:val="24"/>
        </w:rPr>
        <w:t xml:space="preserve">, F., &amp; Alias, B. (2015, December 16-17).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perkahwinan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Melayu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kesejajaran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nilai</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Kajian</w:t>
      </w:r>
      <w:proofErr w:type="spellEnd"/>
      <w:r>
        <w:rPr>
          <w:rFonts w:ascii="Times New Roman" w:eastAsia="Times New Roman" w:hAnsi="Times New Roman" w:cs="Times New Roman"/>
          <w:color w:val="000000"/>
          <w:sz w:val="24"/>
          <w:szCs w:val="24"/>
        </w:rPr>
        <w:t xml:space="preserve"> di Shah </w:t>
      </w:r>
      <w:proofErr w:type="spellStart"/>
      <w:r>
        <w:rPr>
          <w:rFonts w:ascii="Times New Roman" w:eastAsia="Times New Roman" w:hAnsi="Times New Roman" w:cs="Times New Roman"/>
          <w:color w:val="000000"/>
          <w:sz w:val="24"/>
          <w:szCs w:val="24"/>
        </w:rPr>
        <w:t>Alam</w:t>
      </w:r>
      <w:proofErr w:type="spellEnd"/>
      <w:r>
        <w:rPr>
          <w:rFonts w:ascii="Times New Roman" w:eastAsia="Times New Roman" w:hAnsi="Times New Roman" w:cs="Times New Roman"/>
          <w:color w:val="000000"/>
          <w:sz w:val="24"/>
          <w:szCs w:val="24"/>
        </w:rPr>
        <w:t xml:space="preserve">. ICOMHAC2015 </w:t>
      </w:r>
      <w:proofErr w:type="spellStart"/>
      <w:r>
        <w:rPr>
          <w:rFonts w:ascii="Times New Roman" w:eastAsia="Times New Roman" w:hAnsi="Times New Roman" w:cs="Times New Roman"/>
          <w:color w:val="000000"/>
          <w:sz w:val="24"/>
          <w:szCs w:val="24"/>
        </w:rPr>
        <w:t>eproceeding</w:t>
      </w:r>
      <w:proofErr w:type="spellEnd"/>
      <w:r>
        <w:rPr>
          <w:rFonts w:ascii="Times New Roman" w:eastAsia="Times New Roman" w:hAnsi="Times New Roman" w:cs="Times New Roman"/>
          <w:color w:val="000000"/>
          <w:sz w:val="24"/>
          <w:szCs w:val="24"/>
        </w:rPr>
        <w:t xml:space="preserve"> (pp. 622-635), </w:t>
      </w:r>
      <w:proofErr w:type="spellStart"/>
      <w:r>
        <w:rPr>
          <w:rFonts w:ascii="Times New Roman" w:eastAsia="Times New Roman" w:hAnsi="Times New Roman" w:cs="Times New Roman"/>
          <w:color w:val="000000"/>
          <w:sz w:val="24"/>
          <w:szCs w:val="24"/>
        </w:rPr>
        <w:t>Pulau</w:t>
      </w:r>
      <w:proofErr w:type="spellEnd"/>
      <w:r>
        <w:rPr>
          <w:rFonts w:ascii="Times New Roman" w:eastAsia="Times New Roman" w:hAnsi="Times New Roman" w:cs="Times New Roman"/>
          <w:color w:val="000000"/>
          <w:sz w:val="24"/>
          <w:szCs w:val="24"/>
        </w:rPr>
        <w:t xml:space="preserve"> Langkawi, Kedah.  </w:t>
      </w:r>
    </w:p>
    <w:p w:rsidR="00A809B1" w:rsidRDefault="005F43F7">
      <w:pPr>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(2005). </w:t>
      </w:r>
      <w:proofErr w:type="spellStart"/>
      <w:r>
        <w:rPr>
          <w:rFonts w:ascii="Times New Roman" w:eastAsia="Times New Roman" w:hAnsi="Times New Roman" w:cs="Times New Roman"/>
          <w:sz w:val="24"/>
          <w:szCs w:val="24"/>
        </w:rPr>
        <w:t>Akta</w:t>
      </w:r>
      <w:proofErr w:type="spellEnd"/>
      <w:r>
        <w:rPr>
          <w:rFonts w:ascii="Times New Roman" w:eastAsia="Times New Roman" w:hAnsi="Times New Roman" w:cs="Times New Roman"/>
          <w:sz w:val="24"/>
          <w:szCs w:val="24"/>
        </w:rPr>
        <w:t xml:space="preserve"> 645.</w:t>
      </w:r>
    </w:p>
    <w:p w:rsidR="00A809B1" w:rsidRDefault="005F43F7">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Ambary, H. M. (1991). </w:t>
      </w:r>
      <w:proofErr w:type="spellStart"/>
      <w:r>
        <w:rPr>
          <w:rFonts w:ascii="Times New Roman" w:eastAsia="Times New Roman" w:hAnsi="Times New Roman" w:cs="Times New Roman"/>
          <w:sz w:val="24"/>
          <w:szCs w:val="24"/>
        </w:rPr>
        <w:t>Sumberdaya</w:t>
      </w:r>
      <w:proofErr w:type="spellEnd"/>
      <w:r>
        <w:rPr>
          <w:rFonts w:ascii="Times New Roman" w:eastAsia="Times New Roman" w:hAnsi="Times New Roman" w:cs="Times New Roman"/>
          <w:sz w:val="24"/>
          <w:szCs w:val="24"/>
        </w:rPr>
        <w:t xml:space="preserve"> cultural </w:t>
      </w:r>
      <w:proofErr w:type="spellStart"/>
      <w:r>
        <w:rPr>
          <w:rFonts w:ascii="Times New Roman" w:eastAsia="Times New Roman" w:hAnsi="Times New Roman" w:cs="Times New Roman"/>
          <w:sz w:val="24"/>
          <w:szCs w:val="24"/>
        </w:rPr>
        <w:t>Banten</w:t>
      </w:r>
      <w:proofErr w:type="spellEnd"/>
      <w:r>
        <w:rPr>
          <w:rFonts w:ascii="Times New Roman" w:eastAsia="Times New Roman" w:hAnsi="Times New Roman" w:cs="Times New Roman"/>
          <w:sz w:val="24"/>
          <w:szCs w:val="24"/>
        </w:rPr>
        <w:t xml:space="preserve"> Lama: </w:t>
      </w:r>
      <w:proofErr w:type="spellStart"/>
      <w:r>
        <w:rPr>
          <w:rFonts w:ascii="Times New Roman" w:eastAsia="Times New Roman" w:hAnsi="Times New Roman" w:cs="Times New Roman"/>
          <w:sz w:val="24"/>
          <w:szCs w:val="24"/>
        </w:rPr>
        <w:t>Potensi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Arkeologi</w:t>
      </w:r>
      <w:proofErr w:type="spellEnd"/>
      <w:r>
        <w:rPr>
          <w:rFonts w:ascii="Times New Roman" w:eastAsia="Times New Roman" w:hAnsi="Times New Roman" w:cs="Times New Roman"/>
          <w:i/>
          <w:sz w:val="24"/>
          <w:szCs w:val="24"/>
        </w:rPr>
        <w:t xml:space="preserve"> Malaysia, 4, </w:t>
      </w:r>
      <w:r>
        <w:rPr>
          <w:rFonts w:ascii="Times New Roman" w:eastAsia="Times New Roman" w:hAnsi="Times New Roman" w:cs="Times New Roman"/>
          <w:sz w:val="24"/>
          <w:szCs w:val="24"/>
        </w:rPr>
        <w:t>30-44.</w:t>
      </w:r>
    </w:p>
    <w:p w:rsidR="00A809B1" w:rsidRDefault="005F43F7">
      <w:pPr>
        <w:tabs>
          <w:tab w:val="left" w:pos="954"/>
        </w:tabs>
        <w:spacing w:after="0" w:line="240" w:lineRule="auto"/>
        <w:ind w:left="862" w:hanging="86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Bandarin</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Hosagrahar</w:t>
      </w:r>
      <w:proofErr w:type="spellEnd"/>
      <w:r>
        <w:rPr>
          <w:rFonts w:ascii="Times New Roman" w:eastAsia="Times New Roman" w:hAnsi="Times New Roman" w:cs="Times New Roman"/>
          <w:sz w:val="24"/>
          <w:szCs w:val="24"/>
        </w:rPr>
        <w:t xml:space="preserve">, J., &amp; </w:t>
      </w:r>
      <w:proofErr w:type="spellStart"/>
      <w:r>
        <w:rPr>
          <w:rFonts w:ascii="Times New Roman" w:eastAsia="Times New Roman" w:hAnsi="Times New Roman" w:cs="Times New Roman"/>
          <w:sz w:val="24"/>
          <w:szCs w:val="24"/>
        </w:rPr>
        <w:t>Albernaz</w:t>
      </w:r>
      <w:proofErr w:type="spellEnd"/>
      <w:r>
        <w:rPr>
          <w:rFonts w:ascii="Times New Roman" w:eastAsia="Times New Roman" w:hAnsi="Times New Roman" w:cs="Times New Roman"/>
          <w:sz w:val="24"/>
          <w:szCs w:val="24"/>
        </w:rPr>
        <w:t xml:space="preserve">, F. (2011). Why development needs culture. </w:t>
      </w:r>
      <w:r>
        <w:rPr>
          <w:rFonts w:ascii="Times New Roman" w:eastAsia="Times New Roman" w:hAnsi="Times New Roman" w:cs="Times New Roman"/>
          <w:i/>
          <w:sz w:val="24"/>
          <w:szCs w:val="24"/>
        </w:rPr>
        <w:t>Journal of Cultural Heritage Management and Sustainable Development, 1</w:t>
      </w:r>
      <w:r>
        <w:rPr>
          <w:rFonts w:ascii="Times New Roman" w:eastAsia="Times New Roman" w:hAnsi="Times New Roman" w:cs="Times New Roman"/>
          <w:sz w:val="24"/>
          <w:szCs w:val="24"/>
        </w:rPr>
        <w:t>(1),15–25.</w:t>
      </w:r>
    </w:p>
    <w:p w:rsidR="00A809B1" w:rsidRDefault="005F43F7">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Bennett, T. (2015). Cultural studies and the culture concept. </w:t>
      </w:r>
      <w:r>
        <w:rPr>
          <w:rFonts w:ascii="Times New Roman" w:eastAsia="Times New Roman" w:hAnsi="Times New Roman" w:cs="Times New Roman"/>
          <w:i/>
          <w:sz w:val="24"/>
          <w:szCs w:val="24"/>
        </w:rPr>
        <w:t>Cultural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(4), 546-568.</w:t>
      </w:r>
    </w:p>
    <w:p w:rsidR="00A809B1" w:rsidRDefault="005F43F7">
      <w:pPr>
        <w:spacing w:after="0" w:line="240" w:lineRule="auto"/>
        <w:ind w:left="862" w:hanging="86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Borg, J. V. D., Costa, P. &amp; </w:t>
      </w:r>
      <w:proofErr w:type="spellStart"/>
      <w:r>
        <w:rPr>
          <w:rFonts w:ascii="Times New Roman" w:eastAsia="Times New Roman" w:hAnsi="Times New Roman" w:cs="Times New Roman"/>
          <w:sz w:val="24"/>
          <w:szCs w:val="24"/>
        </w:rPr>
        <w:t>Gotti</w:t>
      </w:r>
      <w:proofErr w:type="spellEnd"/>
      <w:r>
        <w:rPr>
          <w:rFonts w:ascii="Times New Roman" w:eastAsia="Times New Roman" w:hAnsi="Times New Roman" w:cs="Times New Roman"/>
          <w:sz w:val="24"/>
          <w:szCs w:val="24"/>
        </w:rPr>
        <w:t xml:space="preserve">, G. (1996). Tourism in European heritage cities. </w:t>
      </w:r>
      <w:r>
        <w:rPr>
          <w:rFonts w:ascii="Times New Roman" w:eastAsia="Times New Roman" w:hAnsi="Times New Roman" w:cs="Times New Roman"/>
          <w:i/>
          <w:sz w:val="24"/>
          <w:szCs w:val="24"/>
        </w:rPr>
        <w:t>Annals of Tourism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23</w:t>
      </w:r>
      <w:r>
        <w:rPr>
          <w:rFonts w:ascii="Times New Roman" w:eastAsia="Times New Roman" w:hAnsi="Times New Roman" w:cs="Times New Roman"/>
          <w:sz w:val="24"/>
          <w:szCs w:val="24"/>
        </w:rPr>
        <w:t>(2), 306-321.</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Bourdieu, P. (1986). The Forms of Capital. In J. </w:t>
      </w:r>
      <w:proofErr w:type="spellStart"/>
      <w:r>
        <w:rPr>
          <w:rFonts w:ascii="Times New Roman" w:eastAsia="Times New Roman" w:hAnsi="Times New Roman" w:cs="Times New Roman"/>
          <w:sz w:val="24"/>
          <w:szCs w:val="24"/>
        </w:rPr>
        <w:t>Richadson</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(Ed.),</w:t>
      </w:r>
      <w:r>
        <w:rPr>
          <w:rFonts w:ascii="Times New Roman" w:eastAsia="Times New Roman" w:hAnsi="Times New Roman" w:cs="Times New Roman"/>
          <w:i/>
          <w:sz w:val="24"/>
          <w:szCs w:val="24"/>
        </w:rPr>
        <w:t xml:space="preserve"> Handbook of Theory and </w:t>
      </w:r>
      <w:r>
        <w:rPr>
          <w:rFonts w:ascii="Times New Roman" w:eastAsia="Times New Roman" w:hAnsi="Times New Roman" w:cs="Times New Roman"/>
          <w:i/>
          <w:sz w:val="24"/>
          <w:szCs w:val="24"/>
        </w:rPr>
        <w:tab/>
        <w:t>Research for The Sociology Education</w:t>
      </w:r>
      <w:r>
        <w:rPr>
          <w:rFonts w:ascii="Times New Roman" w:eastAsia="Times New Roman" w:hAnsi="Times New Roman" w:cs="Times New Roman"/>
          <w:sz w:val="24"/>
          <w:szCs w:val="24"/>
        </w:rPr>
        <w:t xml:space="preserve">. Greenwood.  </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Cohen, E. (2001). </w:t>
      </w:r>
      <w:proofErr w:type="spellStart"/>
      <w:r>
        <w:rPr>
          <w:rFonts w:ascii="Times New Roman" w:eastAsia="Times New Roman" w:hAnsi="Times New Roman" w:cs="Times New Roman"/>
          <w:color w:val="000000"/>
          <w:sz w:val="24"/>
          <w:szCs w:val="24"/>
        </w:rPr>
        <w:t>Etnic</w:t>
      </w:r>
      <w:proofErr w:type="spellEnd"/>
      <w:r>
        <w:rPr>
          <w:rFonts w:ascii="Times New Roman" w:eastAsia="Times New Roman" w:hAnsi="Times New Roman" w:cs="Times New Roman"/>
          <w:color w:val="000000"/>
          <w:sz w:val="24"/>
          <w:szCs w:val="24"/>
        </w:rPr>
        <w:t xml:space="preserve"> tourism in Southeast Asia. In Z. Wang (Ed.), </w:t>
      </w:r>
      <w:r>
        <w:rPr>
          <w:rFonts w:ascii="Times New Roman" w:eastAsia="Times New Roman" w:hAnsi="Times New Roman" w:cs="Times New Roman"/>
          <w:i/>
          <w:color w:val="000000"/>
          <w:sz w:val="24"/>
          <w:szCs w:val="24"/>
        </w:rPr>
        <w:t xml:space="preserve">Tourism, Anthropology and China </w:t>
      </w:r>
      <w:r>
        <w:rPr>
          <w:rFonts w:ascii="Times New Roman" w:eastAsia="Times New Roman" w:hAnsi="Times New Roman" w:cs="Times New Roman"/>
          <w:color w:val="000000"/>
          <w:sz w:val="24"/>
          <w:szCs w:val="24"/>
        </w:rPr>
        <w:t>(pp. 27-54)</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Longman. </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Er</w:t>
      </w:r>
      <w:proofErr w:type="spellEnd"/>
      <w:r>
        <w:rPr>
          <w:rFonts w:ascii="Times New Roman" w:eastAsia="Times New Roman" w:hAnsi="Times New Roman" w:cs="Times New Roman"/>
          <w:color w:val="000000"/>
          <w:sz w:val="24"/>
          <w:szCs w:val="24"/>
        </w:rPr>
        <w:t xml:space="preserve"> Ah Choy. (2013). Pembangunan </w:t>
      </w:r>
      <w:proofErr w:type="spellStart"/>
      <w:r>
        <w:rPr>
          <w:rFonts w:ascii="Times New Roman" w:eastAsia="Times New Roman" w:hAnsi="Times New Roman" w:cs="Times New Roman"/>
          <w:color w:val="000000"/>
          <w:sz w:val="24"/>
          <w:szCs w:val="24"/>
        </w:rPr>
        <w:t>pelancongan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lestari</w:t>
      </w:r>
      <w:proofErr w:type="spellEnd"/>
      <w:r>
        <w:rPr>
          <w:rFonts w:ascii="Times New Roman" w:eastAsia="Times New Roman" w:hAnsi="Times New Roman" w:cs="Times New Roman"/>
          <w:color w:val="000000"/>
          <w:sz w:val="24"/>
          <w:szCs w:val="24"/>
        </w:rPr>
        <w:t xml:space="preserve"> di Melaka: </w:t>
      </w:r>
      <w:proofErr w:type="spellStart"/>
      <w:r>
        <w:rPr>
          <w:rFonts w:ascii="Times New Roman" w:eastAsia="Times New Roman" w:hAnsi="Times New Roman" w:cs="Times New Roman"/>
          <w:color w:val="000000"/>
          <w:sz w:val="24"/>
          <w:szCs w:val="24"/>
        </w:rPr>
        <w:t>Perspektif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pelancong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Geografia</w:t>
      </w:r>
      <w:proofErr w:type="spellEnd"/>
      <w:r>
        <w:rPr>
          <w:rFonts w:ascii="Times New Roman" w:eastAsia="Times New Roman" w:hAnsi="Times New Roman" w:cs="Times New Roman"/>
          <w:i/>
          <w:color w:val="000000"/>
          <w:sz w:val="24"/>
          <w:szCs w:val="24"/>
        </w:rPr>
        <w:t>-Malaysian Journal of Society and Space, 9</w:t>
      </w:r>
      <w:r>
        <w:rPr>
          <w:rFonts w:ascii="Times New Roman" w:eastAsia="Times New Roman" w:hAnsi="Times New Roman" w:cs="Times New Roman"/>
          <w:color w:val="000000"/>
          <w:sz w:val="24"/>
          <w:szCs w:val="24"/>
        </w:rPr>
        <w:t xml:space="preserve">(3), 12-23. </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Hsu, C. H. C., &amp; Huang, S. S. (2015). Reconfiguring Chinese cultural values and their tourism </w:t>
      </w:r>
      <w:r>
        <w:rPr>
          <w:rFonts w:ascii="Times New Roman" w:eastAsia="Times New Roman" w:hAnsi="Times New Roman" w:cs="Times New Roman"/>
          <w:sz w:val="24"/>
          <w:szCs w:val="24"/>
        </w:rPr>
        <w:tab/>
        <w:t xml:space="preserve">implications. </w:t>
      </w:r>
      <w:r>
        <w:rPr>
          <w:rFonts w:ascii="Times New Roman" w:eastAsia="Times New Roman" w:hAnsi="Times New Roman" w:cs="Times New Roman"/>
          <w:i/>
          <w:sz w:val="24"/>
          <w:szCs w:val="24"/>
        </w:rPr>
        <w:t xml:space="preserve">Tourism Management, </w:t>
      </w:r>
      <w:r>
        <w:rPr>
          <w:rFonts w:ascii="Times New Roman" w:eastAsia="Times New Roman" w:hAnsi="Times New Roman" w:cs="Times New Roman"/>
          <w:sz w:val="24"/>
          <w:szCs w:val="24"/>
        </w:rPr>
        <w:t>54, 230-242.</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Joseph, P., &amp; Gilmore, G. H. (1998). Welcome to the experience economy. </w:t>
      </w:r>
      <w:r>
        <w:rPr>
          <w:rFonts w:ascii="Times New Roman" w:eastAsia="Times New Roman" w:hAnsi="Times New Roman" w:cs="Times New Roman"/>
          <w:i/>
          <w:sz w:val="24"/>
          <w:szCs w:val="24"/>
        </w:rPr>
        <w:t xml:space="preserve">Harvard Business </w:t>
      </w:r>
      <w:r>
        <w:rPr>
          <w:rFonts w:ascii="Times New Roman" w:eastAsia="Times New Roman" w:hAnsi="Times New Roman" w:cs="Times New Roman"/>
          <w:i/>
          <w:sz w:val="24"/>
          <w:szCs w:val="24"/>
        </w:rPr>
        <w:tab/>
        <w:t>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76</w:t>
      </w:r>
      <w:r>
        <w:rPr>
          <w:rFonts w:ascii="Times New Roman" w:eastAsia="Times New Roman" w:hAnsi="Times New Roman" w:cs="Times New Roman"/>
          <w:sz w:val="24"/>
          <w:szCs w:val="24"/>
        </w:rPr>
        <w:t>, 97-105.</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Kayat</w:t>
      </w:r>
      <w:proofErr w:type="spellEnd"/>
      <w:r>
        <w:rPr>
          <w:rFonts w:ascii="Times New Roman" w:eastAsia="Times New Roman" w:hAnsi="Times New Roman" w:cs="Times New Roman"/>
          <w:color w:val="000000"/>
          <w:sz w:val="24"/>
          <w:szCs w:val="24"/>
        </w:rPr>
        <w:t xml:space="preserve">, K. (2002). Exploring factors influencing individual participation in community-based tourism: The case of </w:t>
      </w:r>
      <w:proofErr w:type="spellStart"/>
      <w:r>
        <w:rPr>
          <w:rFonts w:ascii="Times New Roman" w:eastAsia="Times New Roman" w:hAnsi="Times New Roman" w:cs="Times New Roman"/>
          <w:color w:val="000000"/>
          <w:sz w:val="24"/>
          <w:szCs w:val="24"/>
        </w:rPr>
        <w:t>Kampung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Relau</w:t>
      </w:r>
      <w:proofErr w:type="spellEnd"/>
      <w:r>
        <w:rPr>
          <w:rFonts w:ascii="Times New Roman" w:eastAsia="Times New Roman" w:hAnsi="Times New Roman" w:cs="Times New Roman"/>
          <w:color w:val="000000"/>
          <w:sz w:val="24"/>
          <w:szCs w:val="24"/>
        </w:rPr>
        <w:t xml:space="preserve"> homestay program, Malaysia. </w:t>
      </w:r>
      <w:r>
        <w:rPr>
          <w:rFonts w:ascii="Times New Roman" w:eastAsia="Times New Roman" w:hAnsi="Times New Roman" w:cs="Times New Roman"/>
          <w:i/>
          <w:color w:val="000000"/>
          <w:sz w:val="24"/>
          <w:szCs w:val="24"/>
        </w:rPr>
        <w:t>Asia Pacific Journal of Tourism Research, 7</w:t>
      </w:r>
      <w:r>
        <w:rPr>
          <w:rFonts w:ascii="Times New Roman" w:eastAsia="Times New Roman" w:hAnsi="Times New Roman" w:cs="Times New Roman"/>
          <w:color w:val="000000"/>
          <w:sz w:val="24"/>
          <w:szCs w:val="24"/>
        </w:rPr>
        <w:t>(2), 19-27.</w:t>
      </w:r>
    </w:p>
    <w:p w:rsidR="00A809B1" w:rsidRDefault="005F43F7">
      <w:pPr>
        <w:tabs>
          <w:tab w:val="left" w:pos="954"/>
        </w:tabs>
        <w:spacing w:after="0" w:line="240" w:lineRule="auto"/>
        <w:ind w:hanging="2"/>
        <w:jc w:val="both"/>
        <w:rPr>
          <w:rFonts w:ascii="Times New Roman" w:eastAsia="Times New Roman" w:hAnsi="Times New Roman" w:cs="Times New Roman"/>
          <w:color w:val="242021"/>
          <w:sz w:val="24"/>
          <w:szCs w:val="24"/>
        </w:rPr>
      </w:pP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R. V., &amp; Morgan, D. W. (1970). Determining sample size for research activities. </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Educational and Psychological Measurement 30</w:t>
      </w:r>
      <w:r>
        <w:rPr>
          <w:rFonts w:ascii="Times New Roman" w:eastAsia="Times New Roman" w:hAnsi="Times New Roman" w:cs="Times New Roman"/>
          <w:sz w:val="24"/>
          <w:szCs w:val="24"/>
        </w:rPr>
        <w:t>, 607-610.</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Leung, K., </w:t>
      </w:r>
      <w:proofErr w:type="spellStart"/>
      <w:r>
        <w:rPr>
          <w:rFonts w:ascii="Times New Roman" w:eastAsia="Times New Roman" w:hAnsi="Times New Roman" w:cs="Times New Roman"/>
          <w:sz w:val="24"/>
          <w:szCs w:val="24"/>
        </w:rPr>
        <w:t>Bhagat</w:t>
      </w:r>
      <w:proofErr w:type="spellEnd"/>
      <w:r>
        <w:rPr>
          <w:rFonts w:ascii="Times New Roman" w:eastAsia="Times New Roman" w:hAnsi="Times New Roman" w:cs="Times New Roman"/>
          <w:sz w:val="24"/>
          <w:szCs w:val="24"/>
        </w:rPr>
        <w:t xml:space="preserve">, R. S., Buchan, N. M., </w:t>
      </w:r>
      <w:proofErr w:type="spellStart"/>
      <w:r>
        <w:rPr>
          <w:rFonts w:ascii="Times New Roman" w:eastAsia="Times New Roman" w:hAnsi="Times New Roman" w:cs="Times New Roman"/>
          <w:sz w:val="24"/>
          <w:szCs w:val="24"/>
        </w:rPr>
        <w:t>Erez</w:t>
      </w:r>
      <w:proofErr w:type="spellEnd"/>
      <w:r>
        <w:rPr>
          <w:rFonts w:ascii="Times New Roman" w:eastAsia="Times New Roman" w:hAnsi="Times New Roman" w:cs="Times New Roman"/>
          <w:sz w:val="24"/>
          <w:szCs w:val="24"/>
        </w:rPr>
        <w:t xml:space="preserve">, M., &amp; Gibson, C. B. (2005). Culture and </w:t>
      </w:r>
      <w:r>
        <w:rPr>
          <w:rFonts w:ascii="Times New Roman" w:eastAsia="Times New Roman" w:hAnsi="Times New Roman" w:cs="Times New Roman"/>
          <w:sz w:val="24"/>
          <w:szCs w:val="24"/>
        </w:rPr>
        <w:tab/>
        <w:t>international business: Recent advances and their implications for future research</w:t>
      </w:r>
      <w:r>
        <w:rPr>
          <w:rFonts w:ascii="Times New Roman" w:eastAsia="Times New Roman" w:hAnsi="Times New Roman" w:cs="Times New Roman"/>
          <w:i/>
          <w:sz w:val="24"/>
          <w:szCs w:val="24"/>
        </w:rPr>
        <w:t xml:space="preserve">. Journal </w:t>
      </w:r>
      <w:r>
        <w:rPr>
          <w:rFonts w:ascii="Times New Roman" w:eastAsia="Times New Roman" w:hAnsi="Times New Roman" w:cs="Times New Roman"/>
          <w:i/>
          <w:sz w:val="24"/>
          <w:szCs w:val="24"/>
        </w:rPr>
        <w:tab/>
        <w:t>of International Business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36</w:t>
      </w:r>
      <w:r>
        <w:rPr>
          <w:rFonts w:ascii="Times New Roman" w:eastAsia="Times New Roman" w:hAnsi="Times New Roman" w:cs="Times New Roman"/>
          <w:sz w:val="24"/>
          <w:szCs w:val="24"/>
        </w:rPr>
        <w:t>, 357-378.</w:t>
      </w:r>
    </w:p>
    <w:p w:rsidR="00A809B1" w:rsidRDefault="005F43F7">
      <w:pPr>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Mahat</w:t>
      </w:r>
      <w:proofErr w:type="spellEnd"/>
      <w:r>
        <w:rPr>
          <w:rFonts w:ascii="Times New Roman" w:eastAsia="Times New Roman" w:hAnsi="Times New Roman" w:cs="Times New Roman"/>
          <w:sz w:val="24"/>
          <w:szCs w:val="24"/>
        </w:rPr>
        <w:t xml:space="preserve">, N. (2017). </w:t>
      </w:r>
      <w:r>
        <w:rPr>
          <w:rFonts w:ascii="Times New Roman" w:eastAsia="Times New Roman" w:hAnsi="Times New Roman" w:cs="Times New Roman"/>
          <w:i/>
          <w:sz w:val="24"/>
          <w:szCs w:val="24"/>
        </w:rPr>
        <w:t xml:space="preserve">Royal Aesthetic Cityscape: Connecting Heritage Trails at Kuala </w:t>
      </w:r>
      <w:proofErr w:type="spellStart"/>
      <w:r>
        <w:rPr>
          <w:rFonts w:ascii="Times New Roman" w:eastAsia="Times New Roman" w:hAnsi="Times New Roman" w:cs="Times New Roman"/>
          <w:i/>
          <w:sz w:val="24"/>
          <w:szCs w:val="24"/>
        </w:rPr>
        <w:t>Kangsar</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t>Perak</w:t>
      </w:r>
      <w:r>
        <w:rPr>
          <w:rFonts w:ascii="Times New Roman" w:eastAsia="Times New Roman" w:hAnsi="Times New Roman" w:cs="Times New Roman"/>
          <w:sz w:val="24"/>
          <w:szCs w:val="24"/>
        </w:rPr>
        <w:t xml:space="preserve"> [Degree</w:t>
      </w:r>
      <w:r>
        <w:rPr>
          <w:rFonts w:ascii="Times New Roman" w:eastAsia="Times New Roman" w:hAnsi="Times New Roman" w:cs="Times New Roman"/>
          <w:color w:val="000000"/>
          <w:sz w:val="24"/>
          <w:szCs w:val="24"/>
        </w:rPr>
        <w:t>’s dissertation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Universiti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MARA]. </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Malcolm, D. J. (2004). Borrowed robs: The educational value of costumed interpretation at historic </w:t>
      </w:r>
      <w:r>
        <w:rPr>
          <w:rFonts w:ascii="Times New Roman" w:eastAsia="Times New Roman" w:hAnsi="Times New Roman" w:cs="Times New Roman"/>
          <w:sz w:val="24"/>
          <w:szCs w:val="24"/>
        </w:rPr>
        <w:tab/>
        <w:t xml:space="preserve">sites. </w:t>
      </w:r>
      <w:r>
        <w:rPr>
          <w:rFonts w:ascii="Times New Roman" w:eastAsia="Times New Roman" w:hAnsi="Times New Roman" w:cs="Times New Roman"/>
          <w:i/>
          <w:sz w:val="24"/>
          <w:szCs w:val="24"/>
        </w:rPr>
        <w:t>International Journal of Heritage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 xml:space="preserve">(3), 277-293.  </w:t>
      </w:r>
    </w:p>
    <w:p w:rsidR="00A809B1" w:rsidRDefault="005F43F7">
      <w:pPr>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McKercher</w:t>
      </w:r>
      <w:proofErr w:type="spellEnd"/>
      <w:r>
        <w:rPr>
          <w:rFonts w:ascii="Times New Roman" w:eastAsia="Times New Roman" w:hAnsi="Times New Roman" w:cs="Times New Roman"/>
          <w:sz w:val="24"/>
          <w:szCs w:val="24"/>
        </w:rPr>
        <w:t xml:space="preserve">, B., &amp; Du </w:t>
      </w:r>
      <w:proofErr w:type="spellStart"/>
      <w:r>
        <w:rPr>
          <w:rFonts w:ascii="Times New Roman" w:eastAsia="Times New Roman" w:hAnsi="Times New Roman" w:cs="Times New Roman"/>
          <w:sz w:val="24"/>
          <w:szCs w:val="24"/>
        </w:rPr>
        <w:t>Cros</w:t>
      </w:r>
      <w:proofErr w:type="spellEnd"/>
      <w:r>
        <w:rPr>
          <w:rFonts w:ascii="Times New Roman" w:eastAsia="Times New Roman" w:hAnsi="Times New Roman" w:cs="Times New Roman"/>
          <w:sz w:val="24"/>
          <w:szCs w:val="24"/>
        </w:rPr>
        <w:t xml:space="preserve">, H. (2002). </w:t>
      </w:r>
      <w:r>
        <w:rPr>
          <w:rFonts w:ascii="Times New Roman" w:eastAsia="Times New Roman" w:hAnsi="Times New Roman" w:cs="Times New Roman"/>
          <w:i/>
          <w:sz w:val="24"/>
          <w:szCs w:val="24"/>
        </w:rPr>
        <w:t xml:space="preserve">Cultural Tourism: The Partnership Between Tourism and </w:t>
      </w:r>
      <w:r>
        <w:rPr>
          <w:rFonts w:ascii="Times New Roman" w:eastAsia="Times New Roman" w:hAnsi="Times New Roman" w:cs="Times New Roman"/>
          <w:i/>
          <w:sz w:val="24"/>
          <w:szCs w:val="24"/>
        </w:rPr>
        <w:tab/>
        <w:t>Cultural Heritage Management.</w:t>
      </w:r>
      <w:r>
        <w:rPr>
          <w:rFonts w:ascii="Times New Roman" w:eastAsia="Times New Roman" w:hAnsi="Times New Roman" w:cs="Times New Roman"/>
          <w:sz w:val="24"/>
          <w:szCs w:val="24"/>
        </w:rPr>
        <w:t xml:space="preserve"> Routledge. </w:t>
      </w:r>
    </w:p>
    <w:p w:rsidR="00A809B1" w:rsidRDefault="005F43F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Mohamad </w:t>
      </w:r>
      <w:proofErr w:type="gramStart"/>
      <w:r>
        <w:rPr>
          <w:rFonts w:ascii="Times New Roman" w:eastAsia="Times New Roman" w:hAnsi="Times New Roman" w:cs="Times New Roman"/>
          <w:sz w:val="24"/>
          <w:szCs w:val="24"/>
        </w:rPr>
        <w:t>Nor</w:t>
      </w:r>
      <w:proofErr w:type="gram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Bawazir</w:t>
      </w:r>
      <w:proofErr w:type="spellEnd"/>
      <w:r>
        <w:rPr>
          <w:rFonts w:ascii="Times New Roman" w:eastAsia="Times New Roman" w:hAnsi="Times New Roman" w:cs="Times New Roman"/>
          <w:sz w:val="24"/>
          <w:szCs w:val="24"/>
        </w:rPr>
        <w:t xml:space="preserve">, A. A., &amp; Abdul Aziz, R. (2023). Case study on habitat, heritage, and handicrafts for indigenous tourism development in the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District, Malaysia. </w:t>
      </w:r>
      <w:r>
        <w:rPr>
          <w:rFonts w:ascii="Times New Roman" w:eastAsia="Times New Roman" w:hAnsi="Times New Roman" w:cs="Times New Roman"/>
          <w:i/>
          <w:sz w:val="24"/>
          <w:szCs w:val="24"/>
        </w:rPr>
        <w:t>International Journal of Academic Research in Business and Social Sciences, 13</w:t>
      </w:r>
      <w:r>
        <w:rPr>
          <w:rFonts w:ascii="Times New Roman" w:eastAsia="Times New Roman" w:hAnsi="Times New Roman" w:cs="Times New Roman"/>
          <w:sz w:val="24"/>
          <w:szCs w:val="24"/>
        </w:rPr>
        <w:t>(8), 265–275.</w:t>
      </w:r>
    </w:p>
    <w:p w:rsidR="00A809B1" w:rsidRDefault="005F43F7">
      <w:pPr>
        <w:spacing w:after="0" w:line="24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Mohamad </w:t>
      </w:r>
      <w:proofErr w:type="spellStart"/>
      <w:r>
        <w:rPr>
          <w:rFonts w:ascii="Times New Roman" w:eastAsia="Times New Roman" w:hAnsi="Times New Roman" w:cs="Times New Roman"/>
          <w:sz w:val="24"/>
          <w:szCs w:val="24"/>
        </w:rPr>
        <w:t>Zaki</w:t>
      </w:r>
      <w:proofErr w:type="spellEnd"/>
      <w:r>
        <w:rPr>
          <w:rFonts w:ascii="Times New Roman" w:eastAsia="Times New Roman" w:hAnsi="Times New Roman" w:cs="Times New Roman"/>
          <w:sz w:val="24"/>
          <w:szCs w:val="24"/>
        </w:rPr>
        <w:t xml:space="preserve"> Ahmad, Johan </w:t>
      </w:r>
      <w:proofErr w:type="spellStart"/>
      <w:r>
        <w:rPr>
          <w:rFonts w:ascii="Times New Roman" w:eastAsia="Times New Roman" w:hAnsi="Times New Roman" w:cs="Times New Roman"/>
          <w:sz w:val="24"/>
          <w:szCs w:val="24"/>
        </w:rPr>
        <w:t>Afendi</w:t>
      </w:r>
      <w:proofErr w:type="spellEnd"/>
      <w:r>
        <w:rPr>
          <w:rFonts w:ascii="Times New Roman" w:eastAsia="Times New Roman" w:hAnsi="Times New Roman" w:cs="Times New Roman"/>
          <w:sz w:val="24"/>
          <w:szCs w:val="24"/>
        </w:rPr>
        <w:t xml:space="preserve"> Ibrahim, Hood </w:t>
      </w: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Salleh</w:t>
      </w:r>
      <w:proofErr w:type="spellEnd"/>
      <w:r>
        <w:rPr>
          <w:rFonts w:ascii="Times New Roman" w:eastAsia="Times New Roman" w:hAnsi="Times New Roman" w:cs="Times New Roman"/>
          <w:sz w:val="24"/>
          <w:szCs w:val="24"/>
        </w:rPr>
        <w:t xml:space="preserve">. (2008, August 20-22).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Membangunkan</w:t>
      </w:r>
      <w:proofErr w:type="spellEnd"/>
      <w:r>
        <w:rPr>
          <w:rFonts w:ascii="Times New Roman" w:eastAsia="Times New Roman" w:hAnsi="Times New Roman" w:cs="Times New Roman"/>
          <w:sz w:val="24"/>
          <w:szCs w:val="24"/>
        </w:rPr>
        <w:t xml:space="preserve"> Kuala Kedah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destinasi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pelancongan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Penerapan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pelancongan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lestari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Prosiding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Kebangsaan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Ekonomi</w:t>
      </w:r>
      <w:proofErr w:type="spellEnd"/>
      <w:r>
        <w:rPr>
          <w:rFonts w:ascii="Times New Roman" w:eastAsia="Times New Roman" w:hAnsi="Times New Roman" w:cs="Times New Roman"/>
          <w:sz w:val="24"/>
          <w:szCs w:val="24"/>
        </w:rPr>
        <w:t xml:space="preserve"> Malaysia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III, Port </w:t>
      </w:r>
      <w:r>
        <w:rPr>
          <w:rFonts w:ascii="Times New Roman" w:eastAsia="Times New Roman" w:hAnsi="Times New Roman" w:cs="Times New Roman"/>
          <w:sz w:val="24"/>
          <w:szCs w:val="24"/>
        </w:rPr>
        <w:tab/>
        <w:t xml:space="preserve">Dickson, </w:t>
      </w:r>
      <w:proofErr w:type="spellStart"/>
      <w:r>
        <w:rPr>
          <w:rFonts w:ascii="Times New Roman" w:eastAsia="Times New Roman" w:hAnsi="Times New Roman" w:cs="Times New Roman"/>
          <w:sz w:val="24"/>
          <w:szCs w:val="24"/>
        </w:rPr>
        <w:t>Negeri</w:t>
      </w:r>
      <w:proofErr w:type="spellEnd"/>
      <w:r>
        <w:rPr>
          <w:rFonts w:ascii="Times New Roman" w:eastAsia="Times New Roman" w:hAnsi="Times New Roman" w:cs="Times New Roman"/>
          <w:sz w:val="24"/>
          <w:szCs w:val="24"/>
        </w:rPr>
        <w:t xml:space="preserve"> Sembilan.</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Mohamed </w:t>
      </w:r>
      <w:proofErr w:type="spellStart"/>
      <w:r>
        <w:rPr>
          <w:rFonts w:ascii="Times New Roman" w:eastAsia="Times New Roman" w:hAnsi="Times New Roman" w:cs="Times New Roman"/>
          <w:color w:val="000000"/>
          <w:sz w:val="24"/>
          <w:szCs w:val="24"/>
        </w:rPr>
        <w:t>Taib</w:t>
      </w:r>
      <w:proofErr w:type="spellEnd"/>
      <w:r>
        <w:rPr>
          <w:rFonts w:ascii="Times New Roman" w:eastAsia="Times New Roman" w:hAnsi="Times New Roman" w:cs="Times New Roman"/>
          <w:color w:val="000000"/>
          <w:sz w:val="24"/>
          <w:szCs w:val="24"/>
        </w:rPr>
        <w:t xml:space="preserve"> Osman. (2004). </w:t>
      </w:r>
      <w:proofErr w:type="spellStart"/>
      <w:r>
        <w:rPr>
          <w:rFonts w:ascii="Times New Roman" w:eastAsia="Times New Roman" w:hAnsi="Times New Roman" w:cs="Times New Roman"/>
          <w:color w:val="000000"/>
          <w:sz w:val="24"/>
          <w:szCs w:val="24"/>
        </w:rPr>
        <w:t>Adat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Masyarakat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Melayu</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Jabatan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Perpaduan</w:t>
      </w:r>
      <w:proofErr w:type="spellEnd"/>
      <w:r>
        <w:rPr>
          <w:rFonts w:ascii="Times New Roman" w:eastAsia="Times New Roman" w:hAnsi="Times New Roman" w:cs="Times New Roman"/>
          <w:color w:val="000000"/>
          <w:sz w:val="24"/>
          <w:szCs w:val="24"/>
        </w:rPr>
        <w:t xml:space="preserve"> Negara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Integrasi</w:t>
      </w:r>
      <w:proofErr w:type="spellEnd"/>
      <w:r>
        <w:rPr>
          <w:rFonts w:ascii="Times New Roman" w:eastAsia="Times New Roman" w:hAnsi="Times New Roman" w:cs="Times New Roman"/>
          <w:color w:val="000000"/>
          <w:sz w:val="24"/>
          <w:szCs w:val="24"/>
        </w:rPr>
        <w:t xml:space="preserve"> Nasional. </w:t>
      </w:r>
    </w:p>
    <w:p w:rsidR="00A809B1" w:rsidRDefault="005F43F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Mohd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Yunus</w:t>
      </w:r>
      <w:proofErr w:type="spellEnd"/>
      <w:r>
        <w:rPr>
          <w:rFonts w:ascii="Times New Roman" w:eastAsia="Times New Roman" w:hAnsi="Times New Roman" w:cs="Times New Roman"/>
          <w:sz w:val="24"/>
          <w:szCs w:val="24"/>
        </w:rPr>
        <w:t xml:space="preserve">, N. M., </w:t>
      </w:r>
      <w:proofErr w:type="spellStart"/>
      <w:r>
        <w:rPr>
          <w:rFonts w:ascii="Times New Roman" w:eastAsia="Times New Roman" w:hAnsi="Times New Roman" w:cs="Times New Roman"/>
          <w:sz w:val="24"/>
          <w:szCs w:val="24"/>
        </w:rPr>
        <w:t>Hj</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Endut</w:t>
      </w:r>
      <w:proofErr w:type="spellEnd"/>
      <w:r>
        <w:rPr>
          <w:rFonts w:ascii="Times New Roman" w:eastAsia="Times New Roman" w:hAnsi="Times New Roman" w:cs="Times New Roman"/>
          <w:sz w:val="24"/>
          <w:szCs w:val="24"/>
        </w:rPr>
        <w:t xml:space="preserve">, E., &amp; Said, S. Y. (2021). Cultural mapping and heritage trail in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Journal of Social Transformation and Regional Development, 3</w:t>
      </w:r>
      <w:r>
        <w:rPr>
          <w:rFonts w:ascii="Times New Roman" w:eastAsia="Times New Roman" w:hAnsi="Times New Roman" w:cs="Times New Roman"/>
          <w:sz w:val="24"/>
          <w:szCs w:val="24"/>
        </w:rPr>
        <w:t>(1), 24–31.</w:t>
      </w:r>
    </w:p>
    <w:p w:rsidR="00A809B1" w:rsidRDefault="005F43F7">
      <w:pPr>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Mollegaard</w:t>
      </w:r>
      <w:proofErr w:type="spellEnd"/>
      <w:r>
        <w:rPr>
          <w:rFonts w:ascii="Times New Roman" w:eastAsia="Times New Roman" w:hAnsi="Times New Roman" w:cs="Times New Roman"/>
          <w:sz w:val="24"/>
          <w:szCs w:val="24"/>
        </w:rPr>
        <w:t xml:space="preserve">, S., &amp; Jaeger, M. M. (2015). The effect of grandparents’ economic, cultural and social </w:t>
      </w:r>
      <w:r>
        <w:rPr>
          <w:rFonts w:ascii="Times New Roman" w:eastAsia="Times New Roman" w:hAnsi="Times New Roman" w:cs="Times New Roman"/>
          <w:sz w:val="24"/>
          <w:szCs w:val="24"/>
        </w:rPr>
        <w:tab/>
        <w:t>capital</w:t>
      </w:r>
      <w:r w:rsidR="00AA3D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on grandchildren’s educational success. </w:t>
      </w:r>
      <w:r>
        <w:rPr>
          <w:rFonts w:ascii="Times New Roman" w:eastAsia="Times New Roman" w:hAnsi="Times New Roman" w:cs="Times New Roman"/>
          <w:i/>
          <w:sz w:val="24"/>
          <w:szCs w:val="24"/>
        </w:rPr>
        <w:t xml:space="preserve">Research in Social Stratification and </w:t>
      </w:r>
      <w:r>
        <w:rPr>
          <w:rFonts w:ascii="Times New Roman" w:eastAsia="Times New Roman" w:hAnsi="Times New Roman" w:cs="Times New Roman"/>
          <w:i/>
          <w:sz w:val="24"/>
          <w:szCs w:val="24"/>
        </w:rPr>
        <w:tab/>
        <w:t>Mobility, 42</w:t>
      </w:r>
      <w:r>
        <w:rPr>
          <w:rFonts w:ascii="Times New Roman" w:eastAsia="Times New Roman" w:hAnsi="Times New Roman" w:cs="Times New Roman"/>
          <w:sz w:val="24"/>
          <w:szCs w:val="24"/>
        </w:rPr>
        <w:t>, 11-19.</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M. Z., &amp; Rahman, N. H. S. N. A. (2010). </w:t>
      </w:r>
      <w:proofErr w:type="spellStart"/>
      <w:r>
        <w:rPr>
          <w:rFonts w:ascii="Times New Roman" w:eastAsia="Times New Roman" w:hAnsi="Times New Roman" w:cs="Times New Roman"/>
          <w:sz w:val="24"/>
          <w:szCs w:val="24"/>
        </w:rPr>
        <w:t>Peranan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mempromosikan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keharmonian</w:t>
      </w:r>
      <w:proofErr w:type="spellEnd"/>
      <w:r>
        <w:rPr>
          <w:rFonts w:ascii="Times New Roman" w:eastAsia="Times New Roman" w:hAnsi="Times New Roman" w:cs="Times New Roman"/>
          <w:sz w:val="24"/>
          <w:szCs w:val="24"/>
        </w:rPr>
        <w:t xml:space="preserve"> di Asia Tenggara. </w:t>
      </w:r>
      <w:proofErr w:type="spellStart"/>
      <w:r>
        <w:rPr>
          <w:rFonts w:ascii="Times New Roman" w:eastAsia="Times New Roman" w:hAnsi="Times New Roman" w:cs="Times New Roman"/>
          <w:i/>
          <w:sz w:val="24"/>
          <w:szCs w:val="24"/>
        </w:rPr>
        <w:t>Jurnal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Terjemahan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Alam</w:t>
      </w:r>
      <w:proofErr w:type="spellEnd"/>
      <w:r>
        <w:rPr>
          <w:rFonts w:ascii="Times New Roman" w:eastAsia="Times New Roman" w:hAnsi="Times New Roman" w:cs="Times New Roman"/>
          <w:i/>
          <w:sz w:val="24"/>
          <w:szCs w:val="24"/>
        </w:rPr>
        <w:t xml:space="preserve"> &amp; </w:t>
      </w:r>
      <w:proofErr w:type="spellStart"/>
      <w:r>
        <w:rPr>
          <w:rFonts w:ascii="Times New Roman" w:eastAsia="Times New Roman" w:hAnsi="Times New Roman" w:cs="Times New Roman"/>
          <w:i/>
          <w:sz w:val="24"/>
          <w:szCs w:val="24"/>
        </w:rPr>
        <w:t>Tamadun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Melayu</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(2), 183-</w:t>
      </w:r>
      <w:r>
        <w:rPr>
          <w:rFonts w:ascii="Times New Roman" w:eastAsia="Times New Roman" w:hAnsi="Times New Roman" w:cs="Times New Roman"/>
          <w:sz w:val="24"/>
          <w:szCs w:val="24"/>
        </w:rPr>
        <w:tab/>
        <w:t>189.</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Nikmatul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Adha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Nordin</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Rosilawati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Zainol</w:t>
      </w:r>
      <w:proofErr w:type="spellEnd"/>
      <w:r>
        <w:rPr>
          <w:rFonts w:ascii="Times New Roman" w:eastAsia="Times New Roman" w:hAnsi="Times New Roman" w:cs="Times New Roman"/>
          <w:color w:val="000000"/>
          <w:sz w:val="24"/>
          <w:szCs w:val="24"/>
        </w:rPr>
        <w:t xml:space="preserve">. (2013, July 2-3). </w:t>
      </w:r>
      <w:proofErr w:type="spellStart"/>
      <w:r>
        <w:rPr>
          <w:rFonts w:ascii="Times New Roman" w:eastAsia="Times New Roman" w:hAnsi="Times New Roman" w:cs="Times New Roman"/>
          <w:color w:val="000000"/>
          <w:sz w:val="24"/>
          <w:szCs w:val="24"/>
        </w:rPr>
        <w:t>Pelancongan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persepsi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awam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standard: </w:t>
      </w:r>
      <w:proofErr w:type="spellStart"/>
      <w:r>
        <w:rPr>
          <w:rFonts w:ascii="Times New Roman" w:eastAsia="Times New Roman" w:hAnsi="Times New Roman" w:cs="Times New Roman"/>
          <w:color w:val="000000"/>
          <w:sz w:val="24"/>
          <w:szCs w:val="24"/>
        </w:rPr>
        <w:t>Isu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cabaran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bagi</w:t>
      </w:r>
      <w:proofErr w:type="spellEnd"/>
      <w:r>
        <w:rPr>
          <w:rFonts w:ascii="Times New Roman" w:eastAsia="Times New Roman" w:hAnsi="Times New Roman" w:cs="Times New Roman"/>
          <w:color w:val="000000"/>
          <w:sz w:val="24"/>
          <w:szCs w:val="24"/>
        </w:rPr>
        <w:t xml:space="preserve"> Melaka </w:t>
      </w:r>
      <w:proofErr w:type="spellStart"/>
      <w:r>
        <w:rPr>
          <w:rFonts w:ascii="Times New Roman" w:eastAsia="Times New Roman" w:hAnsi="Times New Roman" w:cs="Times New Roman"/>
          <w:color w:val="000000"/>
          <w:sz w:val="24"/>
          <w:szCs w:val="24"/>
        </w:rPr>
        <w:t>sebagai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bandaraya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warisan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bersejarah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Prosiding</w:t>
      </w:r>
      <w:proofErr w:type="spellEnd"/>
      <w:r>
        <w:rPr>
          <w:rFonts w:ascii="Times New Roman" w:eastAsia="Times New Roman" w:hAnsi="Times New Roman" w:cs="Times New Roman"/>
          <w:color w:val="000000"/>
          <w:sz w:val="24"/>
          <w:szCs w:val="24"/>
        </w:rPr>
        <w:t xml:space="preserve"> Seminar </w:t>
      </w:r>
      <w:proofErr w:type="spellStart"/>
      <w:r>
        <w:rPr>
          <w:rFonts w:ascii="Times New Roman" w:eastAsia="Times New Roman" w:hAnsi="Times New Roman" w:cs="Times New Roman"/>
          <w:color w:val="000000"/>
          <w:sz w:val="24"/>
          <w:szCs w:val="24"/>
        </w:rPr>
        <w:t>Warisan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Kebangsaan</w:t>
      </w:r>
      <w:proofErr w:type="spellEnd"/>
      <w:r>
        <w:rPr>
          <w:rFonts w:ascii="Times New Roman" w:eastAsia="Times New Roman" w:hAnsi="Times New Roman" w:cs="Times New Roman"/>
          <w:color w:val="000000"/>
          <w:sz w:val="24"/>
          <w:szCs w:val="24"/>
        </w:rPr>
        <w:t xml:space="preserve">, Hotel Ramada Plaza, Melaka. </w:t>
      </w:r>
    </w:p>
    <w:p w:rsidR="00A809B1" w:rsidRDefault="005F43F7">
      <w:pPr>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Oatey</w:t>
      </w:r>
      <w:proofErr w:type="spellEnd"/>
      <w:r>
        <w:rPr>
          <w:rFonts w:ascii="Times New Roman" w:eastAsia="Times New Roman" w:hAnsi="Times New Roman" w:cs="Times New Roman"/>
          <w:sz w:val="24"/>
          <w:szCs w:val="24"/>
        </w:rPr>
        <w:t xml:space="preserve">, S. H. (2008). </w:t>
      </w:r>
      <w:r>
        <w:rPr>
          <w:rFonts w:ascii="Times New Roman" w:eastAsia="Times New Roman" w:hAnsi="Times New Roman" w:cs="Times New Roman"/>
          <w:i/>
          <w:sz w:val="24"/>
          <w:szCs w:val="24"/>
        </w:rPr>
        <w:t>Culturally Speaking Culture, Communication and Politeness Theory</w:t>
      </w:r>
      <w:r>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ed.). Continuum.</w:t>
      </w:r>
    </w:p>
    <w:p w:rsidR="00A809B1" w:rsidRDefault="005F43F7">
      <w:pPr>
        <w:spacing w:after="0" w:line="240" w:lineRule="auto"/>
        <w:ind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Poria</w:t>
      </w:r>
      <w:proofErr w:type="spellEnd"/>
      <w:r>
        <w:rPr>
          <w:rFonts w:ascii="Times New Roman" w:eastAsia="Times New Roman" w:hAnsi="Times New Roman" w:cs="Times New Roman"/>
          <w:sz w:val="24"/>
          <w:szCs w:val="24"/>
        </w:rPr>
        <w:t xml:space="preserve">, Y., Butler, R., &amp; Airey, D. (2003). The core of heritage tourism. </w:t>
      </w:r>
      <w:r>
        <w:rPr>
          <w:rFonts w:ascii="Times New Roman" w:eastAsia="Times New Roman" w:hAnsi="Times New Roman" w:cs="Times New Roman"/>
          <w:i/>
          <w:sz w:val="24"/>
          <w:szCs w:val="24"/>
        </w:rPr>
        <w:t xml:space="preserve">Annals of Tourism </w:t>
      </w:r>
      <w:r>
        <w:rPr>
          <w:rFonts w:ascii="Times New Roman" w:eastAsia="Times New Roman" w:hAnsi="Times New Roman" w:cs="Times New Roman"/>
          <w:i/>
          <w:sz w:val="24"/>
          <w:szCs w:val="24"/>
        </w:rPr>
        <w:tab/>
        <w:t>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(1), 238-254.</w:t>
      </w:r>
    </w:p>
    <w:p w:rsidR="00A809B1" w:rsidRDefault="005F43F7">
      <w:pPr>
        <w:spacing w:after="0" w:line="240" w:lineRule="auto"/>
        <w:ind w:left="862" w:hanging="86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Poria</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Reichel</w:t>
      </w:r>
      <w:proofErr w:type="spellEnd"/>
      <w:r>
        <w:rPr>
          <w:rFonts w:ascii="Times New Roman" w:eastAsia="Times New Roman" w:hAnsi="Times New Roman" w:cs="Times New Roman"/>
          <w:sz w:val="24"/>
          <w:szCs w:val="24"/>
        </w:rPr>
        <w:t xml:space="preserve">, A., &amp; Brian, A. (2006). Heritage site management motivations and expectations. </w:t>
      </w:r>
      <w:r>
        <w:rPr>
          <w:rFonts w:ascii="Times New Roman" w:eastAsia="Times New Roman" w:hAnsi="Times New Roman" w:cs="Times New Roman"/>
          <w:i/>
          <w:sz w:val="24"/>
          <w:szCs w:val="24"/>
        </w:rPr>
        <w:t>Annals of Tourism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33</w:t>
      </w:r>
      <w:r>
        <w:rPr>
          <w:rFonts w:ascii="Times New Roman" w:eastAsia="Times New Roman" w:hAnsi="Times New Roman" w:cs="Times New Roman"/>
          <w:sz w:val="24"/>
          <w:szCs w:val="24"/>
        </w:rPr>
        <w:t>(1), 162-178.</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Richards, G. (2001). </w:t>
      </w:r>
      <w:r>
        <w:rPr>
          <w:rFonts w:ascii="Times New Roman" w:eastAsia="Times New Roman" w:hAnsi="Times New Roman" w:cs="Times New Roman"/>
          <w:i/>
          <w:color w:val="000000"/>
          <w:sz w:val="24"/>
          <w:szCs w:val="24"/>
        </w:rPr>
        <w:t>Cultural Attractions and European Tourism</w:t>
      </w:r>
      <w:r>
        <w:rPr>
          <w:rFonts w:ascii="Times New Roman" w:eastAsia="Times New Roman" w:hAnsi="Times New Roman" w:cs="Times New Roman"/>
          <w:color w:val="000000"/>
          <w:sz w:val="24"/>
          <w:szCs w:val="24"/>
        </w:rPr>
        <w:t xml:space="preserve">. CAB International. </w:t>
      </w:r>
    </w:p>
    <w:p w:rsidR="00A809B1" w:rsidRDefault="005F43F7">
      <w:pPr>
        <w:spacing w:after="0" w:line="240" w:lineRule="auto"/>
        <w:ind w:left="720" w:hanging="720"/>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rPr>
        <w:t>Ristevska-Jovanovska</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Brzovska</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Bogoevska</w:t>
      </w:r>
      <w:proofErr w:type="spellEnd"/>
      <w:r>
        <w:rPr>
          <w:rFonts w:ascii="Times New Roman" w:eastAsia="Times New Roman" w:hAnsi="Times New Roman" w:cs="Times New Roman"/>
          <w:sz w:val="24"/>
          <w:szCs w:val="24"/>
        </w:rPr>
        <w:t>-Gavrilova, I. (2024). Experience Economy in Cultural Institutions: Arousal to Customer Loyalty. Conference Proceedings: Economic and Business Trends Shaping the Future.</w:t>
      </w:r>
    </w:p>
    <w:p w:rsidR="00A809B1" w:rsidRDefault="005F43F7">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Robinson, H. (1976). </w:t>
      </w:r>
      <w:r>
        <w:rPr>
          <w:rFonts w:ascii="Times New Roman" w:eastAsia="Times New Roman" w:hAnsi="Times New Roman" w:cs="Times New Roman"/>
          <w:i/>
          <w:sz w:val="24"/>
          <w:szCs w:val="24"/>
        </w:rPr>
        <w:t>A Geography of Tourism</w:t>
      </w:r>
      <w:r>
        <w:rPr>
          <w:rFonts w:ascii="Times New Roman" w:eastAsia="Times New Roman" w:hAnsi="Times New Roman" w:cs="Times New Roman"/>
          <w:sz w:val="24"/>
          <w:szCs w:val="24"/>
        </w:rPr>
        <w:t xml:space="preserve">. MacDonald and Evans. </w:t>
      </w:r>
    </w:p>
    <w:p w:rsidR="00A809B1" w:rsidRDefault="005F43F7">
      <w:pPr>
        <w:spacing w:after="0" w:line="240" w:lineRule="auto"/>
        <w:ind w:left="862" w:hanging="86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Roders</w:t>
      </w:r>
      <w:proofErr w:type="spellEnd"/>
      <w:r>
        <w:rPr>
          <w:rFonts w:ascii="Times New Roman" w:eastAsia="Times New Roman" w:hAnsi="Times New Roman" w:cs="Times New Roman"/>
          <w:sz w:val="24"/>
          <w:szCs w:val="24"/>
        </w:rPr>
        <w:t xml:space="preserve">, A. P., &amp; </w:t>
      </w:r>
      <w:proofErr w:type="spellStart"/>
      <w:r>
        <w:rPr>
          <w:rFonts w:ascii="Times New Roman" w:eastAsia="Times New Roman" w:hAnsi="Times New Roman" w:cs="Times New Roman"/>
          <w:sz w:val="24"/>
          <w:szCs w:val="24"/>
        </w:rPr>
        <w:t>Oers</w:t>
      </w:r>
      <w:proofErr w:type="spellEnd"/>
      <w:r>
        <w:rPr>
          <w:rFonts w:ascii="Times New Roman" w:eastAsia="Times New Roman" w:hAnsi="Times New Roman" w:cs="Times New Roman"/>
          <w:sz w:val="24"/>
          <w:szCs w:val="24"/>
        </w:rPr>
        <w:t xml:space="preserve">, R. V. (2011). Editorial: Bridging cultural heritage and sustainable development. </w:t>
      </w:r>
      <w:r>
        <w:rPr>
          <w:rFonts w:ascii="Times New Roman" w:eastAsia="Times New Roman" w:hAnsi="Times New Roman" w:cs="Times New Roman"/>
          <w:i/>
          <w:sz w:val="24"/>
          <w:szCs w:val="24"/>
        </w:rPr>
        <w:t>Journal of Cultural Heritage Management and Sustainable Development, 1</w:t>
      </w:r>
      <w:r>
        <w:rPr>
          <w:rFonts w:ascii="Times New Roman" w:eastAsia="Times New Roman" w:hAnsi="Times New Roman" w:cs="Times New Roman"/>
          <w:sz w:val="24"/>
          <w:szCs w:val="24"/>
        </w:rPr>
        <w:t>(1), 5-14.</w:t>
      </w:r>
    </w:p>
    <w:p w:rsidR="00A809B1" w:rsidRDefault="005F43F7">
      <w:pPr>
        <w:tabs>
          <w:tab w:val="left" w:pos="954"/>
        </w:tabs>
        <w:spacing w:after="0" w:line="240" w:lineRule="auto"/>
        <w:ind w:left="862" w:hanging="86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Runnalls</w:t>
      </w:r>
      <w:proofErr w:type="spellEnd"/>
      <w:r>
        <w:rPr>
          <w:rFonts w:ascii="Times New Roman" w:eastAsia="Times New Roman" w:hAnsi="Times New Roman" w:cs="Times New Roman"/>
          <w:sz w:val="24"/>
          <w:szCs w:val="24"/>
        </w:rPr>
        <w:t xml:space="preserve">, C. (2007). </w:t>
      </w:r>
      <w:r>
        <w:rPr>
          <w:rFonts w:ascii="Times New Roman" w:eastAsia="Times New Roman" w:hAnsi="Times New Roman" w:cs="Times New Roman"/>
          <w:i/>
          <w:sz w:val="24"/>
          <w:szCs w:val="24"/>
        </w:rPr>
        <w:t>Choreographing Community Sustainability: The Importance of Cultural Planning to Community Viability.</w:t>
      </w:r>
      <w:r>
        <w:rPr>
          <w:rFonts w:ascii="Times New Roman" w:eastAsia="Times New Roman" w:hAnsi="Times New Roman" w:cs="Times New Roman"/>
          <w:sz w:val="24"/>
          <w:szCs w:val="24"/>
        </w:rPr>
        <w:t xml:space="preserve"> Simon Fraser University.</w:t>
      </w:r>
    </w:p>
    <w:p w:rsidR="00A809B1" w:rsidRDefault="005F43F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Saidi</w:t>
      </w:r>
      <w:proofErr w:type="spellEnd"/>
      <w:r>
        <w:rPr>
          <w:rFonts w:ascii="Times New Roman" w:eastAsia="Times New Roman" w:hAnsi="Times New Roman" w:cs="Times New Roman"/>
          <w:sz w:val="24"/>
          <w:szCs w:val="24"/>
        </w:rPr>
        <w:t xml:space="preserve">, Z. A., Ahmad, H., &amp; </w:t>
      </w:r>
      <w:proofErr w:type="spellStart"/>
      <w:r>
        <w:rPr>
          <w:rFonts w:ascii="Times New Roman" w:eastAsia="Times New Roman" w:hAnsi="Times New Roman" w:cs="Times New Roman"/>
          <w:sz w:val="24"/>
          <w:szCs w:val="24"/>
        </w:rPr>
        <w:t>Jusoh</w:t>
      </w:r>
      <w:proofErr w:type="spellEnd"/>
      <w:r>
        <w:rPr>
          <w:rFonts w:ascii="Times New Roman" w:eastAsia="Times New Roman" w:hAnsi="Times New Roman" w:cs="Times New Roman"/>
          <w:sz w:val="24"/>
          <w:szCs w:val="24"/>
        </w:rPr>
        <w:t xml:space="preserve">, H. (2020). Characteristics of tourist segments in Royal Town of Kuala </w:t>
      </w:r>
      <w:proofErr w:type="spellStart"/>
      <w:r>
        <w:rPr>
          <w:rFonts w:ascii="Times New Roman" w:eastAsia="Times New Roman" w:hAnsi="Times New Roman" w:cs="Times New Roman"/>
          <w:sz w:val="24"/>
          <w:szCs w:val="24"/>
        </w:rPr>
        <w:t>Kangsar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Journal of Advanced Science and Technology, 29</w:t>
      </w:r>
      <w:r>
        <w:rPr>
          <w:rFonts w:ascii="Times New Roman" w:eastAsia="Times New Roman" w:hAnsi="Times New Roman" w:cs="Times New Roman"/>
          <w:sz w:val="24"/>
          <w:szCs w:val="24"/>
        </w:rPr>
        <w:t>(3), 1027–1043.</w:t>
      </w:r>
    </w:p>
    <w:p w:rsidR="00A809B1" w:rsidRDefault="005F43F7">
      <w:pPr>
        <w:spacing w:after="0" w:line="240" w:lineRule="auto"/>
        <w:ind w:left="862" w:hanging="86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Samsudin</w:t>
      </w:r>
      <w:proofErr w:type="spellEnd"/>
      <w:r>
        <w:rPr>
          <w:rFonts w:ascii="Times New Roman" w:eastAsia="Times New Roman" w:hAnsi="Times New Roman" w:cs="Times New Roman"/>
          <w:sz w:val="24"/>
          <w:szCs w:val="24"/>
        </w:rPr>
        <w:t xml:space="preserve">, M., &amp; Mohamad, S. (2013). </w:t>
      </w:r>
      <w:proofErr w:type="spellStart"/>
      <w:r>
        <w:rPr>
          <w:rFonts w:ascii="Times New Roman" w:eastAsia="Times New Roman" w:hAnsi="Times New Roman" w:cs="Times New Roman"/>
          <w:sz w:val="24"/>
          <w:szCs w:val="24"/>
        </w:rPr>
        <w:t>Pengaruh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sejarah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pelancongan</w:t>
      </w:r>
      <w:proofErr w:type="spellEnd"/>
      <w:r>
        <w:rPr>
          <w:rFonts w:ascii="Times New Roman" w:eastAsia="Times New Roman" w:hAnsi="Times New Roman" w:cs="Times New Roman"/>
          <w:sz w:val="24"/>
          <w:szCs w:val="24"/>
        </w:rPr>
        <w:t xml:space="preserve"> Langkawi. </w:t>
      </w:r>
      <w:r>
        <w:rPr>
          <w:rFonts w:ascii="Times New Roman" w:eastAsia="Times New Roman" w:hAnsi="Times New Roman" w:cs="Times New Roman"/>
          <w:i/>
          <w:sz w:val="24"/>
          <w:szCs w:val="24"/>
        </w:rPr>
        <w:t>International Journal of t</w:t>
      </w:r>
      <w:r w:rsidR="00AA3DCA">
        <w:rPr>
          <w:rFonts w:ascii="Times New Roman" w:eastAsia="Times New Roman" w:hAnsi="Times New Roman" w:cs="Times New Roman"/>
          <w:i/>
          <w:sz w:val="24"/>
          <w:szCs w:val="24"/>
        </w:rPr>
        <w:t xml:space="preserve">he Malay World and </w:t>
      </w:r>
      <w:proofErr w:type="spellStart"/>
      <w:r w:rsidR="00AA3DCA">
        <w:rPr>
          <w:rFonts w:ascii="Times New Roman" w:eastAsia="Times New Roman" w:hAnsi="Times New Roman" w:cs="Times New Roman"/>
          <w:i/>
          <w:sz w:val="24"/>
          <w:szCs w:val="24"/>
        </w:rPr>
        <w:t>Civilisation</w:t>
      </w:r>
      <w:proofErr w:type="spellEnd"/>
      <w:r>
        <w:rPr>
          <w:rFonts w:ascii="Times New Roman" w:eastAsia="Times New Roman" w:hAnsi="Times New Roman" w:cs="Times New Roman"/>
          <w:i/>
          <w:sz w:val="24"/>
          <w:szCs w:val="24"/>
        </w:rPr>
        <w:t>,</w:t>
      </w:r>
      <w:r w:rsidR="00AA3DCA">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 99-109.</w:t>
      </w:r>
    </w:p>
    <w:p w:rsidR="00A809B1" w:rsidRDefault="005F43F7">
      <w:pPr>
        <w:spacing w:after="0" w:line="240" w:lineRule="auto"/>
        <w:ind w:left="862" w:hanging="864"/>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Siti</w:t>
      </w:r>
      <w:proofErr w:type="spellEnd"/>
      <w:r>
        <w:rPr>
          <w:rFonts w:ascii="Times New Roman" w:eastAsia="Times New Roman" w:hAnsi="Times New Roman" w:cs="Times New Roman"/>
          <w:sz w:val="24"/>
          <w:szCs w:val="24"/>
        </w:rPr>
        <w:t xml:space="preserve"> Salina, M. &amp; </w:t>
      </w:r>
      <w:proofErr w:type="spellStart"/>
      <w:r>
        <w:rPr>
          <w:rFonts w:ascii="Times New Roman" w:eastAsia="Times New Roman" w:hAnsi="Times New Roman" w:cs="Times New Roman"/>
          <w:sz w:val="24"/>
          <w:szCs w:val="24"/>
        </w:rPr>
        <w:t>Zuliskandar</w:t>
      </w:r>
      <w:proofErr w:type="spellEnd"/>
      <w:r>
        <w:rPr>
          <w:rFonts w:ascii="Times New Roman" w:eastAsia="Times New Roman" w:hAnsi="Times New Roman" w:cs="Times New Roman"/>
          <w:sz w:val="24"/>
          <w:szCs w:val="24"/>
        </w:rPr>
        <w:t xml:space="preserve">, R. (2018). </w:t>
      </w:r>
      <w:proofErr w:type="spellStart"/>
      <w:r>
        <w:rPr>
          <w:rFonts w:ascii="Times New Roman" w:eastAsia="Times New Roman" w:hAnsi="Times New Roman" w:cs="Times New Roman"/>
          <w:sz w:val="24"/>
          <w:szCs w:val="24"/>
        </w:rPr>
        <w:t>Potensi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pelancongan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berasaskan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warisan</w:t>
      </w:r>
      <w:proofErr w:type="spellEnd"/>
      <w:r>
        <w:rPr>
          <w:rFonts w:ascii="Times New Roman" w:eastAsia="Times New Roman" w:hAnsi="Times New Roman" w:cs="Times New Roman"/>
          <w:sz w:val="24"/>
          <w:szCs w:val="24"/>
        </w:rPr>
        <w:t xml:space="preserve"> di Bandar </w:t>
      </w:r>
      <w:proofErr w:type="spellStart"/>
      <w:r>
        <w:rPr>
          <w:rFonts w:ascii="Times New Roman" w:eastAsia="Times New Roman" w:hAnsi="Times New Roman" w:cs="Times New Roman"/>
          <w:sz w:val="24"/>
          <w:szCs w:val="24"/>
        </w:rPr>
        <w:t>Hilir</w:t>
      </w:r>
      <w:proofErr w:type="spellEnd"/>
      <w:r>
        <w:rPr>
          <w:rFonts w:ascii="Times New Roman" w:eastAsia="Times New Roman" w:hAnsi="Times New Roman" w:cs="Times New Roman"/>
          <w:sz w:val="24"/>
          <w:szCs w:val="24"/>
        </w:rPr>
        <w:t xml:space="preserve">, Melaka: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SWOT. </w:t>
      </w:r>
      <w:r>
        <w:rPr>
          <w:rFonts w:ascii="Times New Roman" w:eastAsia="Times New Roman" w:hAnsi="Times New Roman" w:cs="Times New Roman"/>
          <w:i/>
          <w:sz w:val="24"/>
          <w:szCs w:val="24"/>
        </w:rPr>
        <w:t>Asian Journal of Environment, History and Heritage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(1), 253-265.</w:t>
      </w:r>
    </w:p>
    <w:p w:rsidR="00A809B1" w:rsidRDefault="005F43F7">
      <w:pPr>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Smith, L. (2006). </w:t>
      </w:r>
      <w:r>
        <w:rPr>
          <w:rFonts w:ascii="Times New Roman" w:eastAsia="Times New Roman" w:hAnsi="Times New Roman" w:cs="Times New Roman"/>
          <w:i/>
          <w:sz w:val="24"/>
          <w:szCs w:val="24"/>
        </w:rPr>
        <w:t>Uses of Heritage</w:t>
      </w:r>
      <w:r>
        <w:rPr>
          <w:rFonts w:ascii="Times New Roman" w:eastAsia="Times New Roman" w:hAnsi="Times New Roman" w:cs="Times New Roman"/>
          <w:sz w:val="24"/>
          <w:szCs w:val="24"/>
        </w:rPr>
        <w:t>. London.</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Syed </w:t>
      </w:r>
      <w:proofErr w:type="spellStart"/>
      <w:r>
        <w:rPr>
          <w:rFonts w:ascii="Times New Roman" w:eastAsia="Times New Roman" w:hAnsi="Times New Roman" w:cs="Times New Roman"/>
          <w:color w:val="000000"/>
          <w:sz w:val="24"/>
          <w:szCs w:val="24"/>
        </w:rPr>
        <w:t>Zainol</w:t>
      </w:r>
      <w:proofErr w:type="spellEnd"/>
      <w:r>
        <w:rPr>
          <w:rFonts w:ascii="Times New Roman" w:eastAsia="Times New Roman" w:hAnsi="Times New Roman" w:cs="Times New Roman"/>
          <w:color w:val="000000"/>
          <w:sz w:val="24"/>
          <w:szCs w:val="24"/>
        </w:rPr>
        <w:t xml:space="preserve">, A. I. (1996). </w:t>
      </w:r>
      <w:proofErr w:type="spellStart"/>
      <w:r>
        <w:rPr>
          <w:rFonts w:ascii="Times New Roman" w:eastAsia="Times New Roman" w:hAnsi="Times New Roman" w:cs="Times New Roman"/>
          <w:color w:val="000000"/>
          <w:sz w:val="24"/>
          <w:szCs w:val="24"/>
        </w:rPr>
        <w:t>Pemeliharaan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Warisan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Rupa</w:t>
      </w:r>
      <w:proofErr w:type="spellEnd"/>
      <w:r>
        <w:rPr>
          <w:rFonts w:ascii="Times New Roman" w:eastAsia="Times New Roman" w:hAnsi="Times New Roman" w:cs="Times New Roman"/>
          <w:color w:val="000000"/>
          <w:sz w:val="24"/>
          <w:szCs w:val="24"/>
        </w:rPr>
        <w:t xml:space="preserve"> Bandar. </w:t>
      </w:r>
      <w:proofErr w:type="spellStart"/>
      <w:r>
        <w:rPr>
          <w:rFonts w:ascii="Times New Roman" w:eastAsia="Times New Roman" w:hAnsi="Times New Roman" w:cs="Times New Roman"/>
          <w:color w:val="000000"/>
          <w:sz w:val="24"/>
          <w:szCs w:val="24"/>
        </w:rPr>
        <w:t>Panduan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mengenali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warisan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rupa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bandar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berdasarkan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warisan</w:t>
      </w:r>
      <w:proofErr w:type="spellEnd"/>
      <w:r>
        <w:rPr>
          <w:rFonts w:ascii="Times New Roman" w:eastAsia="Times New Roman" w:hAnsi="Times New Roman" w:cs="Times New Roman"/>
          <w:color w:val="000000"/>
          <w:sz w:val="24"/>
          <w:szCs w:val="24"/>
        </w:rPr>
        <w:t xml:space="preserve"> Malaysia, </w:t>
      </w:r>
      <w:proofErr w:type="spellStart"/>
      <w:r>
        <w:rPr>
          <w:rFonts w:ascii="Times New Roman" w:eastAsia="Times New Roman" w:hAnsi="Times New Roman" w:cs="Times New Roman"/>
          <w:color w:val="000000"/>
          <w:sz w:val="24"/>
          <w:szCs w:val="24"/>
        </w:rPr>
        <w:t>Badan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Warisan</w:t>
      </w:r>
      <w:proofErr w:type="spellEnd"/>
      <w:r>
        <w:rPr>
          <w:rFonts w:ascii="Times New Roman" w:eastAsia="Times New Roman" w:hAnsi="Times New Roman" w:cs="Times New Roman"/>
          <w:color w:val="000000"/>
          <w:sz w:val="24"/>
          <w:szCs w:val="24"/>
        </w:rPr>
        <w:t xml:space="preserve"> Malaysia. Kuala Lumpur.</w:t>
      </w:r>
    </w:p>
    <w:p w:rsidR="00A809B1" w:rsidRDefault="005F43F7">
      <w:pPr>
        <w:pBdr>
          <w:top w:val="nil"/>
          <w:left w:val="nil"/>
          <w:bottom w:val="nil"/>
          <w:right w:val="nil"/>
          <w:between w:val="nil"/>
        </w:pBdr>
        <w:spacing w:after="0"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Tuah</w:t>
      </w:r>
      <w:proofErr w:type="spellEnd"/>
      <w:r>
        <w:rPr>
          <w:rFonts w:ascii="Times New Roman" w:eastAsia="Times New Roman" w:hAnsi="Times New Roman" w:cs="Times New Roman"/>
          <w:color w:val="000000"/>
          <w:sz w:val="24"/>
          <w:szCs w:val="24"/>
        </w:rPr>
        <w:t xml:space="preserve">, D. (2022). </w:t>
      </w:r>
      <w:proofErr w:type="spellStart"/>
      <w:r>
        <w:rPr>
          <w:rFonts w:ascii="Times New Roman" w:eastAsia="Times New Roman" w:hAnsi="Times New Roman" w:cs="Times New Roman"/>
          <w:color w:val="000000"/>
          <w:sz w:val="24"/>
          <w:szCs w:val="24"/>
        </w:rPr>
        <w:t>Sastera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rakyat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perspektif</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kearifan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tempatan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potensinya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kepada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pelancongan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budaya</w:t>
      </w:r>
      <w:proofErr w:type="spellEnd"/>
      <w:r>
        <w:rPr>
          <w:rFonts w:ascii="Times New Roman" w:eastAsia="Times New Roman" w:hAnsi="Times New Roman" w:cs="Times New Roman"/>
          <w:color w:val="000000"/>
          <w:sz w:val="24"/>
          <w:szCs w:val="24"/>
        </w:rPr>
        <w:t xml:space="preserve"> di Sarawak. </w:t>
      </w:r>
      <w:proofErr w:type="spellStart"/>
      <w:r>
        <w:rPr>
          <w:rFonts w:ascii="Times New Roman" w:eastAsia="Times New Roman" w:hAnsi="Times New Roman" w:cs="Times New Roman"/>
          <w:i/>
          <w:color w:val="000000"/>
          <w:sz w:val="24"/>
          <w:szCs w:val="24"/>
        </w:rPr>
        <w:t>Akademika</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92</w:t>
      </w:r>
      <w:r>
        <w:rPr>
          <w:rFonts w:ascii="Times New Roman" w:eastAsia="Times New Roman" w:hAnsi="Times New Roman" w:cs="Times New Roman"/>
          <w:color w:val="000000"/>
          <w:sz w:val="24"/>
          <w:szCs w:val="24"/>
        </w:rPr>
        <w:t xml:space="preserve">(2), 153-168. </w:t>
      </w:r>
    </w:p>
    <w:p w:rsidR="00A809B1" w:rsidRDefault="005F43F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Wiktor</w:t>
      </w:r>
      <w:proofErr w:type="spellEnd"/>
      <w:r>
        <w:rPr>
          <w:rFonts w:ascii="Times New Roman" w:eastAsia="Times New Roman" w:hAnsi="Times New Roman" w:cs="Times New Roman"/>
          <w:sz w:val="24"/>
          <w:szCs w:val="24"/>
        </w:rPr>
        <w:t xml:space="preserve">-Mach, D. (2019). Cultural heritage and development: UNESCO’s new paradigm in a changing geopolitical context. </w:t>
      </w:r>
      <w:r>
        <w:rPr>
          <w:rFonts w:ascii="Times New Roman" w:eastAsia="Times New Roman" w:hAnsi="Times New Roman" w:cs="Times New Roman"/>
          <w:i/>
          <w:sz w:val="24"/>
          <w:szCs w:val="24"/>
        </w:rPr>
        <w:t>Third World Quarterly, 40</w:t>
      </w:r>
      <w:r>
        <w:rPr>
          <w:rFonts w:ascii="Times New Roman" w:eastAsia="Times New Roman" w:hAnsi="Times New Roman" w:cs="Times New Roman"/>
          <w:sz w:val="24"/>
          <w:szCs w:val="24"/>
        </w:rPr>
        <w:t>(9), 1593–1612.</w:t>
      </w:r>
    </w:p>
    <w:p w:rsidR="00A809B1" w:rsidRDefault="005F43F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Yuszaidy</w:t>
      </w:r>
      <w:proofErr w:type="spellEnd"/>
      <w:r>
        <w:rPr>
          <w:rFonts w:ascii="Times New Roman" w:eastAsia="Times New Roman" w:hAnsi="Times New Roman" w:cs="Times New Roman"/>
          <w:sz w:val="24"/>
          <w:szCs w:val="24"/>
        </w:rPr>
        <w:t xml:space="preserve">. M.Y., </w:t>
      </w:r>
      <w:proofErr w:type="spellStart"/>
      <w:r>
        <w:rPr>
          <w:rFonts w:ascii="Times New Roman" w:eastAsia="Times New Roman" w:hAnsi="Times New Roman" w:cs="Times New Roman"/>
          <w:sz w:val="24"/>
          <w:szCs w:val="24"/>
        </w:rPr>
        <w:t>Hanapi</w:t>
      </w:r>
      <w:proofErr w:type="spellEnd"/>
      <w:r>
        <w:rPr>
          <w:rFonts w:ascii="Times New Roman" w:eastAsia="Times New Roman" w:hAnsi="Times New Roman" w:cs="Times New Roman"/>
          <w:sz w:val="24"/>
          <w:szCs w:val="24"/>
        </w:rPr>
        <w:t xml:space="preserve">, D., &amp; Ab </w:t>
      </w:r>
      <w:proofErr w:type="spellStart"/>
      <w:r>
        <w:rPr>
          <w:rFonts w:ascii="Times New Roman" w:eastAsia="Times New Roman" w:hAnsi="Times New Roman" w:cs="Times New Roman"/>
          <w:sz w:val="24"/>
          <w:szCs w:val="24"/>
        </w:rPr>
        <w:t>Samad</w:t>
      </w:r>
      <w:proofErr w:type="spellEnd"/>
      <w:r>
        <w:rPr>
          <w:rFonts w:ascii="Times New Roman" w:eastAsia="Times New Roman" w:hAnsi="Times New Roman" w:cs="Times New Roman"/>
          <w:sz w:val="24"/>
          <w:szCs w:val="24"/>
        </w:rPr>
        <w:t xml:space="preserve">, K. (2013). </w:t>
      </w:r>
      <w:proofErr w:type="spellStart"/>
      <w:r>
        <w:rPr>
          <w:rFonts w:ascii="Times New Roman" w:eastAsia="Times New Roman" w:hAnsi="Times New Roman" w:cs="Times New Roman"/>
          <w:sz w:val="24"/>
          <w:szCs w:val="24"/>
        </w:rPr>
        <w:t>Perlindungan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warisan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Keberkesanan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usaha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pemulihraan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pemeliharaan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pembangunan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Geografia</w:t>
      </w:r>
      <w:proofErr w:type="spellEnd"/>
      <w:r>
        <w:rPr>
          <w:rFonts w:ascii="Times New Roman" w:eastAsia="Times New Roman" w:hAnsi="Times New Roman" w:cs="Times New Roman"/>
          <w:i/>
          <w:sz w:val="24"/>
          <w:szCs w:val="24"/>
        </w:rPr>
        <w:t>-Malaysian Journal of Society and Space, 9</w:t>
      </w:r>
      <w:r>
        <w:rPr>
          <w:rFonts w:ascii="Times New Roman" w:eastAsia="Times New Roman" w:hAnsi="Times New Roman" w:cs="Times New Roman"/>
          <w:sz w:val="24"/>
          <w:szCs w:val="24"/>
        </w:rPr>
        <w:t>(2), 64-77.</w:t>
      </w:r>
    </w:p>
    <w:p w:rsidR="00A809B1" w:rsidRDefault="005F43F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Zakaria</w:t>
      </w:r>
      <w:proofErr w:type="spellEnd"/>
      <w:r>
        <w:rPr>
          <w:rFonts w:ascii="Times New Roman" w:eastAsia="Times New Roman" w:hAnsi="Times New Roman" w:cs="Times New Roman"/>
          <w:sz w:val="24"/>
          <w:szCs w:val="24"/>
        </w:rPr>
        <w:t xml:space="preserve">, Z., &amp; </w:t>
      </w:r>
      <w:proofErr w:type="spellStart"/>
      <w:r>
        <w:rPr>
          <w:rFonts w:ascii="Times New Roman" w:eastAsia="Times New Roman" w:hAnsi="Times New Roman" w:cs="Times New Roman"/>
          <w:sz w:val="24"/>
          <w:szCs w:val="24"/>
        </w:rPr>
        <w:t>Ang</w:t>
      </w:r>
      <w:proofErr w:type="spellEnd"/>
      <w:r>
        <w:rPr>
          <w:rFonts w:ascii="Times New Roman" w:eastAsia="Times New Roman" w:hAnsi="Times New Roman" w:cs="Times New Roman"/>
          <w:sz w:val="24"/>
          <w:szCs w:val="24"/>
        </w:rPr>
        <w:t xml:space="preserve">, K. H. (2022). Pembangunan </w:t>
      </w:r>
      <w:proofErr w:type="spellStart"/>
      <w:r>
        <w:rPr>
          <w:rFonts w:ascii="Times New Roman" w:eastAsia="Times New Roman" w:hAnsi="Times New Roman" w:cs="Times New Roman"/>
          <w:sz w:val="24"/>
          <w:szCs w:val="24"/>
        </w:rPr>
        <w:t>produk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Melayu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pelancongan</w:t>
      </w:r>
      <w:proofErr w:type="spellEnd"/>
      <w:r>
        <w:rPr>
          <w:rFonts w:ascii="Times New Roman" w:eastAsia="Times New Roman" w:hAnsi="Times New Roman" w:cs="Times New Roman"/>
          <w:sz w:val="24"/>
          <w:szCs w:val="24"/>
        </w:rPr>
        <w:t xml:space="preserve"> di Malaysia. </w:t>
      </w:r>
      <w:r>
        <w:rPr>
          <w:rFonts w:ascii="Times New Roman" w:eastAsia="Times New Roman" w:hAnsi="Times New Roman" w:cs="Times New Roman"/>
          <w:i/>
          <w:sz w:val="24"/>
          <w:szCs w:val="24"/>
        </w:rPr>
        <w:t>Malaysian Journal of Social Sciences and Humanities,</w:t>
      </w:r>
      <w:r w:rsidR="00201BA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7, 1-23</w:t>
      </w:r>
      <w:r>
        <w:rPr>
          <w:rFonts w:ascii="Times New Roman" w:eastAsia="Times New Roman" w:hAnsi="Times New Roman" w:cs="Times New Roman"/>
          <w:sz w:val="24"/>
          <w:szCs w:val="24"/>
        </w:rPr>
        <w:t>.</w:t>
      </w:r>
    </w:p>
    <w:p w:rsidR="00A809B1" w:rsidRDefault="005F43F7">
      <w:pPr>
        <w:spacing w:after="0"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Zeppel</w:t>
      </w:r>
      <w:proofErr w:type="spellEnd"/>
      <w:r>
        <w:rPr>
          <w:rFonts w:ascii="Times New Roman" w:eastAsia="Times New Roman" w:hAnsi="Times New Roman" w:cs="Times New Roman"/>
          <w:sz w:val="24"/>
          <w:szCs w:val="24"/>
        </w:rPr>
        <w:t xml:space="preserve">, H. (2002). Cultural tourism at the </w:t>
      </w:r>
      <w:proofErr w:type="spellStart"/>
      <w:r>
        <w:rPr>
          <w:rFonts w:ascii="Times New Roman" w:eastAsia="Times New Roman" w:hAnsi="Times New Roman" w:cs="Times New Roman"/>
          <w:sz w:val="24"/>
          <w:szCs w:val="24"/>
        </w:rPr>
        <w:t>Cowinchan</w:t>
      </w:r>
      <w:proofErr w:type="spellEnd"/>
      <w:r>
        <w:rPr>
          <w:rFonts w:ascii="Times New Roman" w:eastAsia="Times New Roman" w:hAnsi="Times New Roman" w:cs="Times New Roman"/>
          <w:sz w:val="24"/>
          <w:szCs w:val="24"/>
        </w:rPr>
        <w:t xml:space="preserve"> native village, British Columbia. </w:t>
      </w:r>
      <w:r>
        <w:rPr>
          <w:rFonts w:ascii="Times New Roman" w:eastAsia="Times New Roman" w:hAnsi="Times New Roman" w:cs="Times New Roman"/>
          <w:i/>
          <w:sz w:val="24"/>
          <w:szCs w:val="24"/>
        </w:rPr>
        <w:t>Journal of Travel Research, 41</w:t>
      </w:r>
      <w:r>
        <w:rPr>
          <w:rFonts w:ascii="Times New Roman" w:eastAsia="Times New Roman" w:hAnsi="Times New Roman" w:cs="Times New Roman"/>
          <w:sz w:val="24"/>
          <w:szCs w:val="24"/>
        </w:rPr>
        <w:t>(1), 92-100.</w:t>
      </w:r>
    </w:p>
    <w:sectPr w:rsidR="00A809B1" w:rsidSect="005D60F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6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C90" w:rsidRDefault="00875C90">
      <w:pPr>
        <w:spacing w:after="0" w:line="240" w:lineRule="auto"/>
      </w:pPr>
      <w:r>
        <w:separator/>
      </w:r>
    </w:p>
  </w:endnote>
  <w:endnote w:type="continuationSeparator" w:id="0">
    <w:p w:rsidR="00875C90" w:rsidRDefault="0087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NewRomanPSMT">
    <w:panose1 w:val="00000000000000000000"/>
    <w:charset w:val="00"/>
    <w:family w:val="roman"/>
    <w:notTrueType/>
    <w:pitch w:val="default"/>
  </w:font>
  <w:font w:name="Times-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B1" w:rsidRDefault="00A809B1">
    <w:pPr>
      <w:pBdr>
        <w:top w:val="nil"/>
        <w:left w:val="nil"/>
        <w:bottom w:val="nil"/>
        <w:right w:val="nil"/>
        <w:between w:val="nil"/>
      </w:pBdr>
      <w:spacing w:after="0" w:line="240" w:lineRule="auto"/>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B1" w:rsidRDefault="00A809B1">
    <w:pPr>
      <w:pBdr>
        <w:top w:val="nil"/>
        <w:left w:val="nil"/>
        <w:bottom w:val="nil"/>
        <w:right w:val="nil"/>
        <w:between w:val="nil"/>
      </w:pBdr>
      <w:spacing w:after="0" w:line="240" w:lineRule="auto"/>
      <w:ind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B1" w:rsidRDefault="00A809B1">
    <w:pPr>
      <w:pBdr>
        <w:top w:val="nil"/>
        <w:left w:val="nil"/>
        <w:bottom w:val="nil"/>
        <w:right w:val="nil"/>
        <w:between w:val="nil"/>
      </w:pBdr>
      <w:spacing w:after="0" w:line="240" w:lineRule="auto"/>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C90" w:rsidRDefault="00875C90">
      <w:pPr>
        <w:spacing w:after="0" w:line="240" w:lineRule="auto"/>
      </w:pPr>
      <w:r>
        <w:separator/>
      </w:r>
    </w:p>
  </w:footnote>
  <w:footnote w:type="continuationSeparator" w:id="0">
    <w:p w:rsidR="00875C90" w:rsidRDefault="0087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B1" w:rsidRDefault="00A809B1">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210" w:rsidRPr="007E6210" w:rsidRDefault="007E6210" w:rsidP="007E6210">
    <w:pPr>
      <w:tabs>
        <w:tab w:val="center" w:pos="4680"/>
        <w:tab w:val="right" w:pos="9360"/>
      </w:tabs>
      <w:spacing w:after="0" w:line="240" w:lineRule="auto"/>
      <w:ind w:firstLine="0"/>
      <w:rPr>
        <w:rFonts w:ascii="Times New Roman" w:hAnsi="Times New Roman" w:cs="Times New Roman"/>
        <w:sz w:val="18"/>
        <w:szCs w:val="18"/>
      </w:rPr>
    </w:pPr>
    <w:proofErr w:type="spellStart"/>
    <w:r w:rsidRPr="007E6210">
      <w:rPr>
        <w:rFonts w:ascii="Times New Roman" w:hAnsi="Times New Roman" w:cs="Times New Roman"/>
        <w:sz w:val="18"/>
        <w:szCs w:val="18"/>
      </w:rPr>
      <w:t>Geografia</w:t>
    </w:r>
    <w:proofErr w:type="spellEnd"/>
    <w:r w:rsidRPr="007E6210">
      <w:rPr>
        <w:rFonts w:ascii="Times New Roman" w:hAnsi="Times New Roman" w:cs="Times New Roman"/>
        <w:sz w:val="18"/>
        <w:szCs w:val="18"/>
      </w:rPr>
      <w:t>-Malaysian Journal of Society and Space 21 issue 3 (</w:t>
    </w:r>
    <w:r w:rsidR="005D60FC">
      <w:rPr>
        <w:rFonts w:ascii="Times New Roman" w:hAnsi="Times New Roman" w:cs="Times New Roman"/>
        <w:sz w:val="18"/>
        <w:szCs w:val="18"/>
      </w:rPr>
      <w:t>61-77</w:t>
    </w:r>
    <w:r w:rsidRPr="007E6210">
      <w:rPr>
        <w:rFonts w:ascii="Times New Roman" w:hAnsi="Times New Roman" w:cs="Times New Roman"/>
        <w:sz w:val="18"/>
        <w:szCs w:val="18"/>
      </w:rPr>
      <w:t>)</w:t>
    </w:r>
    <w:r w:rsidRPr="007E6210">
      <w:rPr>
        <w:rFonts w:ascii="Times New Roman" w:hAnsi="Times New Roman" w:cs="Times New Roman"/>
        <w:sz w:val="18"/>
        <w:szCs w:val="18"/>
      </w:rPr>
      <w:tab/>
    </w:r>
  </w:p>
  <w:p w:rsidR="007E6210" w:rsidRPr="007E6210" w:rsidRDefault="007E6210" w:rsidP="007E6210">
    <w:pPr>
      <w:pStyle w:val="Header"/>
      <w:spacing w:after="0" w:line="240" w:lineRule="auto"/>
      <w:ind w:hanging="2"/>
      <w:rPr>
        <w:rFonts w:ascii="Times New Roman" w:hAnsi="Times New Roman" w:cs="Times New Roman"/>
        <w:sz w:val="18"/>
        <w:szCs w:val="18"/>
      </w:rPr>
    </w:pPr>
    <w:r w:rsidRPr="007E6210">
      <w:rPr>
        <w:rFonts w:ascii="Times New Roman" w:hAnsi="Times New Roman" w:cs="Times New Roman"/>
        <w:sz w:val="18"/>
        <w:szCs w:val="18"/>
      </w:rPr>
      <w:t xml:space="preserve">© 2025, e-ISSN 2682-7727  </w:t>
    </w:r>
    <w:hyperlink r:id="rId1" w:history="1">
      <w:r w:rsidRPr="005D60FC">
        <w:rPr>
          <w:rStyle w:val="Hyperlink"/>
          <w:rFonts w:ascii="Times New Roman" w:hAnsi="Times New Roman" w:cs="Times New Roman"/>
          <w:color w:val="auto"/>
          <w:sz w:val="18"/>
          <w:szCs w:val="18"/>
          <w:u w:val="none"/>
        </w:rPr>
        <w:t>https://doi.org/10.17576/geo-2025-2103-0</w:t>
      </w:r>
      <w:r w:rsidR="005D60FC" w:rsidRPr="005D60FC">
        <w:rPr>
          <w:rStyle w:val="Hyperlink"/>
          <w:rFonts w:ascii="Times New Roman" w:hAnsi="Times New Roman" w:cs="Times New Roman"/>
          <w:color w:val="auto"/>
          <w:sz w:val="18"/>
          <w:szCs w:val="18"/>
          <w:u w:val="none"/>
        </w:rPr>
        <w:t>4</w:t>
      </w:r>
    </w:hyperlink>
    <w:sdt>
      <w:sdtPr>
        <w:rPr>
          <w:rFonts w:ascii="Times New Roman" w:hAnsi="Times New Roman" w:cs="Times New Roman"/>
          <w:sz w:val="18"/>
          <w:szCs w:val="18"/>
        </w:rPr>
        <w:id w:val="-227067215"/>
        <w:docPartObj>
          <w:docPartGallery w:val="Page Numbers (Top of Page)"/>
          <w:docPartUnique/>
        </w:docPartObj>
      </w:sdtPr>
      <w:sdtEndPr>
        <w:rPr>
          <w:noProof/>
        </w:rPr>
      </w:sdtEndPr>
      <w:sdtContent>
        <w:r w:rsidR="005D60FC">
          <w:rPr>
            <w:rFonts w:ascii="Times New Roman" w:hAnsi="Times New Roman" w:cs="Times New Roman"/>
            <w:sz w:val="18"/>
            <w:szCs w:val="18"/>
          </w:rPr>
          <w:tab/>
        </w:r>
        <w:r w:rsidR="005D60FC">
          <w:rPr>
            <w:rFonts w:ascii="Times New Roman" w:hAnsi="Times New Roman" w:cs="Times New Roman"/>
            <w:sz w:val="18"/>
            <w:szCs w:val="18"/>
          </w:rPr>
          <w:tab/>
        </w:r>
        <w:r w:rsidR="005D60FC">
          <w:rPr>
            <w:rFonts w:ascii="Times New Roman" w:hAnsi="Times New Roman" w:cs="Times New Roman"/>
            <w:sz w:val="18"/>
            <w:szCs w:val="18"/>
          </w:rPr>
          <w:tab/>
        </w:r>
        <w:r w:rsidR="005D60FC">
          <w:rPr>
            <w:rFonts w:ascii="Times New Roman" w:hAnsi="Times New Roman" w:cs="Times New Roman"/>
            <w:sz w:val="18"/>
            <w:szCs w:val="18"/>
          </w:rPr>
          <w:tab/>
        </w:r>
        <w:r w:rsidR="005D60FC">
          <w:rPr>
            <w:rFonts w:ascii="Times New Roman" w:hAnsi="Times New Roman" w:cs="Times New Roman"/>
            <w:sz w:val="18"/>
            <w:szCs w:val="18"/>
          </w:rPr>
          <w:tab/>
          <w:t xml:space="preserve">            </w:t>
        </w:r>
        <w:r w:rsidRPr="007E6210">
          <w:rPr>
            <w:rFonts w:ascii="Times New Roman" w:hAnsi="Times New Roman" w:cs="Times New Roman"/>
            <w:sz w:val="18"/>
            <w:szCs w:val="18"/>
          </w:rPr>
          <w:fldChar w:fldCharType="begin"/>
        </w:r>
        <w:r w:rsidRPr="007E6210">
          <w:rPr>
            <w:rFonts w:ascii="Times New Roman" w:hAnsi="Times New Roman" w:cs="Times New Roman"/>
            <w:sz w:val="18"/>
            <w:szCs w:val="18"/>
          </w:rPr>
          <w:instrText xml:space="preserve"> PAGE   \* MERGEFORMAT </w:instrText>
        </w:r>
        <w:r w:rsidRPr="007E6210">
          <w:rPr>
            <w:rFonts w:ascii="Times New Roman" w:hAnsi="Times New Roman" w:cs="Times New Roman"/>
            <w:sz w:val="18"/>
            <w:szCs w:val="18"/>
          </w:rPr>
          <w:fldChar w:fldCharType="separate"/>
        </w:r>
        <w:r w:rsidR="009E2EDB">
          <w:rPr>
            <w:rFonts w:ascii="Times New Roman" w:hAnsi="Times New Roman" w:cs="Times New Roman"/>
            <w:noProof/>
            <w:sz w:val="18"/>
            <w:szCs w:val="18"/>
          </w:rPr>
          <w:t>76</w:t>
        </w:r>
        <w:r w:rsidRPr="007E6210">
          <w:rPr>
            <w:rFonts w:ascii="Times New Roman" w:hAnsi="Times New Roman" w:cs="Times New Roman"/>
            <w:noProof/>
            <w:sz w:val="18"/>
            <w:szCs w:val="18"/>
          </w:rPr>
          <w:fldChar w:fldCharType="end"/>
        </w:r>
      </w:sdtContent>
    </w:sdt>
  </w:p>
  <w:p w:rsidR="00A809B1" w:rsidRPr="007E6210" w:rsidRDefault="00A809B1" w:rsidP="007E6210">
    <w:pPr>
      <w:tabs>
        <w:tab w:val="center" w:pos="4680"/>
        <w:tab w:val="right" w:pos="9360"/>
      </w:tabs>
      <w:spacing w:after="0" w:line="240" w:lineRule="auto"/>
      <w:ind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09B1" w:rsidRDefault="00A809B1">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6808"/>
    <w:multiLevelType w:val="multilevel"/>
    <w:tmpl w:val="94585E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7980ECF"/>
    <w:multiLevelType w:val="multilevel"/>
    <w:tmpl w:val="90E0547A"/>
    <w:lvl w:ilvl="0">
      <w:start w:val="6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B1"/>
    <w:rsid w:val="00201BA2"/>
    <w:rsid w:val="003F11C5"/>
    <w:rsid w:val="005D60FC"/>
    <w:rsid w:val="005F43F7"/>
    <w:rsid w:val="00620BE9"/>
    <w:rsid w:val="006C4122"/>
    <w:rsid w:val="007E6210"/>
    <w:rsid w:val="0084645E"/>
    <w:rsid w:val="00875C90"/>
    <w:rsid w:val="009E2EDB"/>
    <w:rsid w:val="00A809B1"/>
    <w:rsid w:val="00AA3DCA"/>
    <w:rsid w:val="00B07B67"/>
    <w:rsid w:val="00D85DFC"/>
    <w:rsid w:val="00D870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66EC"/>
  <w15:docId w15:val="{A4B5779F-40EC-4C13-A9B5-54B61169C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MY"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5F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uiPriority w:val="20"/>
    <w:qFormat/>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2">
    <w:name w:val="Unresolved Mention2"/>
    <w:qFormat/>
    <w:rPr>
      <w:color w:val="808080"/>
      <w:w w:val="100"/>
      <w:position w:val="-1"/>
      <w:effect w:val="none"/>
      <w:shd w:val="clear" w:color="auto" w:fill="E6E6E6"/>
      <w:vertAlign w:val="baseline"/>
      <w:cs w:val="0"/>
      <w:em w:val="none"/>
    </w:rPr>
  </w:style>
  <w:style w:type="table" w:customStyle="1" w:styleId="a">
    <w:basedOn w:val="TableNormal"/>
    <w:tblPr>
      <w:tblStyleRowBandSize w:val="1"/>
      <w:tblStyleColBandSize w:val="1"/>
    </w:tblPr>
  </w:style>
  <w:style w:type="paragraph" w:customStyle="1" w:styleId="11Normal02-PerengganKeduaonward">
    <w:name w:val="11 Normal02 - PerengganKedua onward"/>
    <w:qFormat/>
    <w:rsid w:val="0040641A"/>
    <w:pPr>
      <w:spacing w:after="400" w:line="360" w:lineRule="auto"/>
      <w:ind w:firstLine="720"/>
      <w:jc w:val="both"/>
    </w:pPr>
    <w:rPr>
      <w:rFonts w:ascii="Times New Roman" w:eastAsia="MS Mincho" w:hAnsi="Times New Roman" w:cs="Arial"/>
      <w:sz w:val="24"/>
      <w:szCs w:val="24"/>
      <w:lang w:val="ms-MY" w:eastAsia="en-US"/>
    </w:rPr>
  </w:style>
  <w:style w:type="paragraph" w:customStyle="1" w:styleId="15aCaption-Table-Center">
    <w:name w:val="15a Caption-Table-Center"/>
    <w:next w:val="11Normal02-PerengganKeduaonward"/>
    <w:qFormat/>
    <w:rsid w:val="0040641A"/>
    <w:pPr>
      <w:keepNext/>
      <w:tabs>
        <w:tab w:val="left" w:pos="1701"/>
      </w:tabs>
      <w:spacing w:before="360" w:after="120" w:line="240" w:lineRule="auto"/>
      <w:ind w:left="720" w:right="720"/>
      <w:jc w:val="center"/>
    </w:pPr>
    <w:rPr>
      <w:rFonts w:ascii="Times New Roman" w:eastAsia="MS Mincho" w:hAnsi="Times New Roman" w:cs="Arial"/>
      <w:bCs/>
      <w:sz w:val="20"/>
      <w:szCs w:val="18"/>
      <w:lang w:val="ms-MY" w:eastAsia="en-US"/>
    </w:rPr>
  </w:style>
  <w:style w:type="paragraph" w:customStyle="1" w:styleId="21Kotak-Isi-Kiri">
    <w:name w:val="21 Kotak-Isi-Kiri"/>
    <w:qFormat/>
    <w:rsid w:val="0040641A"/>
    <w:pPr>
      <w:spacing w:after="0" w:line="240" w:lineRule="auto"/>
    </w:pPr>
    <w:rPr>
      <w:rFonts w:ascii="Times New Roman" w:eastAsia="MS Mincho" w:hAnsi="Times New Roman" w:cs="Arial"/>
      <w:sz w:val="20"/>
      <w:szCs w:val="24"/>
      <w:lang w:val="ms-MY" w:eastAsia="en-US"/>
    </w:rPr>
  </w:style>
  <w:style w:type="paragraph" w:customStyle="1" w:styleId="20Kotak-Isi-Center">
    <w:name w:val="20 Kotak-Isi-Center"/>
    <w:qFormat/>
    <w:rsid w:val="0040641A"/>
    <w:pPr>
      <w:spacing w:after="0" w:line="240" w:lineRule="auto"/>
      <w:jc w:val="center"/>
    </w:pPr>
    <w:rPr>
      <w:rFonts w:ascii="Times New Roman" w:eastAsia="MS Mincho" w:hAnsi="Times New Roman" w:cs="Times New Roman"/>
      <w:sz w:val="20"/>
      <w:szCs w:val="24"/>
      <w:lang w:val="ms-MY" w:eastAsia="en-US"/>
    </w:rPr>
  </w:style>
  <w:style w:type="paragraph" w:customStyle="1" w:styleId="17Kotak-Tajuk-Center">
    <w:name w:val="17 Kotak-Tajuk-Center"/>
    <w:next w:val="Normal"/>
    <w:qFormat/>
    <w:rsid w:val="0040641A"/>
    <w:pPr>
      <w:spacing w:before="20" w:after="20" w:line="240" w:lineRule="auto"/>
      <w:jc w:val="center"/>
    </w:pPr>
    <w:rPr>
      <w:rFonts w:ascii="Times New Roman" w:eastAsia="MS Mincho" w:hAnsi="Times New Roman" w:cs="Arial"/>
      <w:b/>
      <w:sz w:val="20"/>
      <w:szCs w:val="24"/>
      <w:lang w:val="ms-MY" w:eastAsia="ko-KR"/>
    </w:rPr>
  </w:style>
  <w:style w:type="paragraph" w:customStyle="1" w:styleId="23Kotak-Isi-Justify">
    <w:name w:val="23 Kotak-Isi-Justify"/>
    <w:qFormat/>
    <w:rsid w:val="0040641A"/>
    <w:pPr>
      <w:spacing w:after="0" w:line="240" w:lineRule="auto"/>
      <w:jc w:val="both"/>
    </w:pPr>
    <w:rPr>
      <w:rFonts w:ascii="Times New Roman" w:eastAsia="MS Mincho" w:hAnsi="Times New Roman" w:cs="Arial"/>
      <w:sz w:val="20"/>
      <w:szCs w:val="24"/>
      <w:lang w:val="ms-MY" w:eastAsia="en-US"/>
    </w:rPr>
  </w:style>
  <w:style w:type="table" w:customStyle="1" w:styleId="01GayaUKM-Mazleha">
    <w:name w:val="01 GayaUKM-Mazleha"/>
    <w:basedOn w:val="TableNormal"/>
    <w:uiPriority w:val="99"/>
    <w:rsid w:val="0040641A"/>
    <w:pPr>
      <w:widowControl w:val="0"/>
      <w:spacing w:before="20" w:after="20" w:line="240" w:lineRule="auto"/>
    </w:pPr>
    <w:rPr>
      <w:rFonts w:ascii="Times New Roman" w:eastAsia="DengXian" w:hAnsi="Times New Roman" w:cs="Times New Roman"/>
      <w:sz w:val="20"/>
      <w:szCs w:val="20"/>
      <w:lang w:eastAsia="ko-KR"/>
    </w:rPr>
    <w:tblPr>
      <w:jc w:val="center"/>
      <w:tblBorders>
        <w:top w:val="single" w:sz="4" w:space="0" w:color="auto"/>
        <w:bottom w:val="single" w:sz="4" w:space="0" w:color="auto"/>
      </w:tblBorders>
      <w:tblCellMar>
        <w:top w:w="28" w:type="dxa"/>
        <w:bottom w:w="2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fontstyle01">
    <w:name w:val="fontstyle01"/>
    <w:basedOn w:val="DefaultParagraphFont"/>
    <w:rsid w:val="00D554B8"/>
    <w:rPr>
      <w:rFonts w:ascii="TimesNewRomanPSMT" w:hAnsi="TimesNewRomanPSMT" w:hint="default"/>
      <w:b w:val="0"/>
      <w:bCs w:val="0"/>
      <w:i w:val="0"/>
      <w:iCs w:val="0"/>
      <w:color w:val="242021"/>
      <w:sz w:val="22"/>
      <w:szCs w:val="22"/>
    </w:rPr>
  </w:style>
  <w:style w:type="character" w:customStyle="1" w:styleId="fontstyle21">
    <w:name w:val="fontstyle21"/>
    <w:basedOn w:val="DefaultParagraphFont"/>
    <w:rsid w:val="00D554B8"/>
    <w:rPr>
      <w:rFonts w:ascii="Times-Italic" w:hAnsi="Times-Italic" w:hint="default"/>
      <w:b w:val="0"/>
      <w:bCs w:val="0"/>
      <w:i/>
      <w:iCs/>
      <w:color w:val="000000"/>
      <w:sz w:val="22"/>
      <w:szCs w:val="22"/>
    </w:rPr>
  </w:style>
  <w:style w:type="paragraph" w:styleId="NormalWeb">
    <w:name w:val="Normal (Web)"/>
    <w:basedOn w:val="Normal"/>
    <w:uiPriority w:val="99"/>
    <w:semiHidden/>
    <w:unhideWhenUsed/>
    <w:rsid w:val="0060691B"/>
    <w:pPr>
      <w:spacing w:before="100" w:beforeAutospacing="1" w:after="100" w:afterAutospacing="1" w:line="240" w:lineRule="auto"/>
      <w:ind w:firstLine="0"/>
    </w:pPr>
    <w:rPr>
      <w:rFonts w:ascii="Times New Roman" w:eastAsia="Times New Roman" w:hAnsi="Times New Roman" w:cs="Times New Roman"/>
      <w:sz w:val="24"/>
      <w:szCs w:val="24"/>
      <w:lang w:val="en-MY"/>
    </w:rPr>
  </w:style>
  <w:style w:type="character" w:styleId="Strong">
    <w:name w:val="Strong"/>
    <w:basedOn w:val="DefaultParagraphFont"/>
    <w:uiPriority w:val="22"/>
    <w:qFormat/>
    <w:rsid w:val="009A600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pPr>
      <w:widowControl w:val="0"/>
      <w:spacing w:before="20" w:after="20" w:line="240" w:lineRule="auto"/>
    </w:pPr>
    <w:rPr>
      <w:rFonts w:ascii="Times New Roman" w:eastAsia="Times New Roman" w:hAnsi="Times New Roman" w:cs="Times New Roman"/>
      <w:sz w:val="20"/>
      <w:szCs w:val="20"/>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1">
    <w:basedOn w:val="TableNormal"/>
    <w:pPr>
      <w:widowControl w:val="0"/>
      <w:spacing w:before="20" w:after="20" w:line="240" w:lineRule="auto"/>
    </w:pPr>
    <w:rPr>
      <w:rFonts w:ascii="Times New Roman" w:eastAsia="Times New Roman" w:hAnsi="Times New Roman" w:cs="Times New Roman"/>
      <w:sz w:val="20"/>
      <w:szCs w:val="20"/>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2">
    <w:basedOn w:val="TableNormal"/>
    <w:pPr>
      <w:widowControl w:val="0"/>
      <w:spacing w:before="20" w:after="20" w:line="240" w:lineRule="auto"/>
    </w:pPr>
    <w:rPr>
      <w:rFonts w:ascii="Times New Roman" w:eastAsia="Times New Roman" w:hAnsi="Times New Roman" w:cs="Times New Roman"/>
      <w:sz w:val="20"/>
      <w:szCs w:val="20"/>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3">
    <w:basedOn w:val="TableNormal"/>
    <w:pPr>
      <w:widowControl w:val="0"/>
      <w:spacing w:before="20" w:after="20" w:line="240" w:lineRule="auto"/>
    </w:pPr>
    <w:rPr>
      <w:rFonts w:ascii="Times New Roman" w:eastAsia="Times New Roman" w:hAnsi="Times New Roman" w:cs="Times New Roman"/>
      <w:sz w:val="20"/>
      <w:szCs w:val="20"/>
    </w:rPr>
    <w:tblPr>
      <w:tblStyleRowBandSize w:val="1"/>
      <w:tblStyleColBandSize w:val="1"/>
      <w:tblCellMar>
        <w:top w:w="28" w:type="dxa"/>
        <w:bottom w:w="28" w:type="dxa"/>
      </w:tblCellMar>
    </w:tblPr>
    <w:tblStylePr w:type="firstRow">
      <w:pPr>
        <w:keepNext/>
        <w:widowControl/>
        <w:spacing w:before="0" w:after="0" w:line="240" w:lineRule="auto"/>
      </w:pPr>
      <w:rPr>
        <w:rFonts w:ascii="Times New Roman" w:eastAsia="Times New Roman" w:hAnsi="Times New Roman" w:cs="Times New Roman"/>
        <w:b/>
        <w:i w:val="0"/>
        <w:sz w:val="20"/>
        <w:szCs w:val="20"/>
      </w:rPr>
      <w:tblPr/>
      <w:tcPr>
        <w:tcBorders>
          <w:top w:val="single" w:sz="4" w:space="0" w:color="000000"/>
          <w:left w:val="nil"/>
          <w:bottom w:val="single" w:sz="4" w:space="0" w:color="000000"/>
          <w:right w:val="nil"/>
          <w:insideH w:val="nil"/>
          <w:insideV w:val="nil"/>
        </w:tcBorders>
      </w:tcPr>
    </w:tblStyle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531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3-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UL2u+N+Bwb1D9meb9uGrSwOGVQ==">CgMxLjAyCGguZ2pkZ3hzOAByITFRejVjblhLM3JGU0g2VU1rNEl5dzNfN3ZMQTJ2TC1tZQ==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7867</Words>
  <Characters>44844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2025-08-19T08:41:00Z</dcterms:created>
  <dcterms:modified xsi:type="dcterms:W3CDTF">2025-08-19T08:45:00Z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GrammarlyDocumentId">
    <vt:lpwstr>4e490bc5-c312-4cb6-a2d8-e0bbf49a1d25</vt:lpwstr>
  </property>
</Properties>
</file>