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962FD" w14:textId="2B43F53B" w:rsidR="00C0600B" w:rsidRPr="00522A10" w:rsidRDefault="00EB1169" w:rsidP="00522A10">
      <w:pPr>
        <w:spacing w:after="0" w:line="240" w:lineRule="auto"/>
        <w:ind w:firstLine="0"/>
        <w:jc w:val="center"/>
        <w:rPr>
          <w:rFonts w:ascii="Times New Roman" w:eastAsia="Times New Roman" w:hAnsi="Times New Roman" w:cs="Times New Roman"/>
          <w:color w:val="000000"/>
          <w:sz w:val="28"/>
          <w:szCs w:val="28"/>
        </w:rPr>
      </w:pPr>
      <w:r w:rsidRPr="00522A10">
        <w:rPr>
          <w:rFonts w:ascii="Times New Roman" w:eastAsia="Times New Roman" w:hAnsi="Times New Roman" w:cs="Times New Roman"/>
          <w:b/>
          <w:color w:val="000000"/>
          <w:sz w:val="28"/>
          <w:szCs w:val="28"/>
        </w:rPr>
        <w:t xml:space="preserve">Factors </w:t>
      </w:r>
      <w:r w:rsidR="00865C73" w:rsidRPr="00522A10">
        <w:rPr>
          <w:rFonts w:ascii="Times New Roman" w:eastAsia="Times New Roman" w:hAnsi="Times New Roman" w:cs="Times New Roman"/>
          <w:b/>
          <w:color w:val="000000"/>
          <w:sz w:val="28"/>
          <w:szCs w:val="28"/>
        </w:rPr>
        <w:t>influencing saving behaviour</w:t>
      </w:r>
      <w:r w:rsidRPr="00522A10">
        <w:rPr>
          <w:rFonts w:ascii="Times New Roman" w:eastAsia="Times New Roman" w:hAnsi="Times New Roman" w:cs="Times New Roman"/>
          <w:b/>
          <w:color w:val="000000"/>
          <w:sz w:val="28"/>
          <w:szCs w:val="28"/>
        </w:rPr>
        <w:t xml:space="preserve"> among </w:t>
      </w:r>
      <w:r w:rsidR="00865C73" w:rsidRPr="00522A10">
        <w:rPr>
          <w:rFonts w:ascii="Times New Roman" w:eastAsia="Times New Roman" w:hAnsi="Times New Roman" w:cs="Times New Roman"/>
          <w:b/>
          <w:color w:val="000000"/>
          <w:sz w:val="28"/>
          <w:szCs w:val="28"/>
        </w:rPr>
        <w:t xml:space="preserve">youth in </w:t>
      </w:r>
      <w:r w:rsidRPr="00522A10">
        <w:rPr>
          <w:rFonts w:ascii="Times New Roman" w:eastAsia="Times New Roman" w:hAnsi="Times New Roman" w:cs="Times New Roman"/>
          <w:b/>
          <w:color w:val="000000"/>
          <w:sz w:val="28"/>
          <w:szCs w:val="28"/>
        </w:rPr>
        <w:t>Malaysia</w:t>
      </w:r>
    </w:p>
    <w:p w14:paraId="0A27518A" w14:textId="77777777" w:rsidR="00C0600B" w:rsidRPr="00522A10" w:rsidRDefault="00C0600B" w:rsidP="00AF3629">
      <w:pPr>
        <w:spacing w:after="0" w:line="240" w:lineRule="auto"/>
        <w:ind w:left="2" w:hanging="2"/>
        <w:jc w:val="center"/>
        <w:rPr>
          <w:rFonts w:ascii="Times New Roman" w:eastAsia="Times New Roman" w:hAnsi="Times New Roman" w:cs="Times New Roman"/>
          <w:color w:val="000000"/>
          <w:sz w:val="24"/>
          <w:szCs w:val="24"/>
        </w:rPr>
      </w:pPr>
    </w:p>
    <w:p w14:paraId="216FD581" w14:textId="74182F91" w:rsidR="00C0600B" w:rsidRPr="00522A10" w:rsidRDefault="00EB1169" w:rsidP="00AF3629">
      <w:pPr>
        <w:spacing w:after="0" w:line="240" w:lineRule="auto"/>
        <w:ind w:left="2" w:hanging="2"/>
        <w:jc w:val="center"/>
        <w:rPr>
          <w:rFonts w:ascii="Times New Roman" w:eastAsia="Times New Roman" w:hAnsi="Times New Roman" w:cs="Times New Roman"/>
          <w:color w:val="000000"/>
          <w:sz w:val="24"/>
          <w:szCs w:val="24"/>
        </w:rPr>
      </w:pPr>
      <w:r w:rsidRPr="00522A10">
        <w:rPr>
          <w:rFonts w:ascii="Times New Roman" w:eastAsia="Times New Roman" w:hAnsi="Times New Roman" w:cs="Times New Roman"/>
          <w:color w:val="000000"/>
          <w:sz w:val="24"/>
          <w:szCs w:val="24"/>
        </w:rPr>
        <w:t xml:space="preserve">Lai Wei </w:t>
      </w:r>
      <w:proofErr w:type="spellStart"/>
      <w:r w:rsidRPr="00522A10">
        <w:rPr>
          <w:rFonts w:ascii="Times New Roman" w:eastAsia="Times New Roman" w:hAnsi="Times New Roman" w:cs="Times New Roman"/>
          <w:color w:val="000000"/>
          <w:sz w:val="24"/>
          <w:szCs w:val="24"/>
        </w:rPr>
        <w:t>Sieng</w:t>
      </w:r>
      <w:proofErr w:type="spellEnd"/>
      <w:r w:rsidRPr="00522A10">
        <w:rPr>
          <w:rFonts w:ascii="Times New Roman" w:eastAsia="Times New Roman" w:hAnsi="Times New Roman" w:cs="Times New Roman"/>
          <w:color w:val="000000"/>
          <w:sz w:val="24"/>
          <w:szCs w:val="24"/>
        </w:rPr>
        <w:t xml:space="preserve">, </w:t>
      </w:r>
      <w:proofErr w:type="spellStart"/>
      <w:r w:rsidRPr="00522A10">
        <w:rPr>
          <w:rFonts w:ascii="Times New Roman" w:eastAsia="Times New Roman" w:hAnsi="Times New Roman" w:cs="Times New Roman"/>
          <w:color w:val="000000"/>
          <w:sz w:val="24"/>
          <w:szCs w:val="24"/>
        </w:rPr>
        <w:t>Nurul</w:t>
      </w:r>
      <w:proofErr w:type="spellEnd"/>
      <w:r w:rsidRPr="00522A10">
        <w:rPr>
          <w:rFonts w:ascii="Times New Roman" w:eastAsia="Times New Roman" w:hAnsi="Times New Roman" w:cs="Times New Roman"/>
          <w:color w:val="000000"/>
          <w:sz w:val="24"/>
          <w:szCs w:val="24"/>
        </w:rPr>
        <w:t xml:space="preserve"> </w:t>
      </w:r>
      <w:proofErr w:type="spellStart"/>
      <w:r w:rsidRPr="00522A10">
        <w:rPr>
          <w:rFonts w:ascii="Times New Roman" w:eastAsia="Times New Roman" w:hAnsi="Times New Roman" w:cs="Times New Roman"/>
          <w:color w:val="000000"/>
          <w:sz w:val="24"/>
          <w:szCs w:val="24"/>
        </w:rPr>
        <w:t>Izzah</w:t>
      </w:r>
      <w:proofErr w:type="spellEnd"/>
      <w:r w:rsidRPr="00522A10">
        <w:rPr>
          <w:rFonts w:ascii="Times New Roman" w:eastAsia="Times New Roman" w:hAnsi="Times New Roman" w:cs="Times New Roman"/>
          <w:color w:val="000000"/>
          <w:sz w:val="24"/>
          <w:szCs w:val="24"/>
        </w:rPr>
        <w:t xml:space="preserve"> </w:t>
      </w:r>
      <w:proofErr w:type="spellStart"/>
      <w:r w:rsidRPr="00522A10">
        <w:rPr>
          <w:rFonts w:ascii="Times New Roman" w:eastAsia="Times New Roman" w:hAnsi="Times New Roman" w:cs="Times New Roman"/>
          <w:color w:val="000000"/>
          <w:sz w:val="24"/>
          <w:szCs w:val="24"/>
        </w:rPr>
        <w:t>Syakirah</w:t>
      </w:r>
      <w:proofErr w:type="spellEnd"/>
      <w:r w:rsidRPr="00522A10">
        <w:rPr>
          <w:rFonts w:ascii="Times New Roman" w:eastAsia="Times New Roman" w:hAnsi="Times New Roman" w:cs="Times New Roman"/>
          <w:color w:val="000000"/>
          <w:sz w:val="24"/>
          <w:szCs w:val="24"/>
        </w:rPr>
        <w:t xml:space="preserve"> </w:t>
      </w:r>
      <w:proofErr w:type="spellStart"/>
      <w:r w:rsidRPr="00522A10">
        <w:rPr>
          <w:rFonts w:ascii="Times New Roman" w:eastAsia="Times New Roman" w:hAnsi="Times New Roman" w:cs="Times New Roman"/>
          <w:color w:val="000000"/>
          <w:sz w:val="24"/>
          <w:szCs w:val="24"/>
        </w:rPr>
        <w:t>Shahirul</w:t>
      </w:r>
      <w:proofErr w:type="spellEnd"/>
      <w:r w:rsidRPr="00522A10">
        <w:rPr>
          <w:rFonts w:ascii="Times New Roman" w:eastAsia="Times New Roman" w:hAnsi="Times New Roman" w:cs="Times New Roman"/>
          <w:color w:val="000000"/>
          <w:sz w:val="24"/>
          <w:szCs w:val="24"/>
        </w:rPr>
        <w:t xml:space="preserve"> </w:t>
      </w:r>
      <w:proofErr w:type="spellStart"/>
      <w:r w:rsidRPr="00522A10">
        <w:rPr>
          <w:rFonts w:ascii="Times New Roman" w:eastAsia="Times New Roman" w:hAnsi="Times New Roman" w:cs="Times New Roman"/>
          <w:color w:val="000000"/>
          <w:sz w:val="24"/>
          <w:szCs w:val="24"/>
        </w:rPr>
        <w:t>Basir</w:t>
      </w:r>
      <w:proofErr w:type="spellEnd"/>
    </w:p>
    <w:p w14:paraId="5A5E7C72" w14:textId="77777777" w:rsidR="00C0600B" w:rsidRPr="00522A10" w:rsidRDefault="00C0600B" w:rsidP="00AF3629">
      <w:pPr>
        <w:spacing w:after="0" w:line="240" w:lineRule="auto"/>
        <w:ind w:left="2" w:hanging="2"/>
        <w:jc w:val="center"/>
        <w:rPr>
          <w:rFonts w:ascii="Times New Roman" w:eastAsia="Times New Roman" w:hAnsi="Times New Roman" w:cs="Times New Roman"/>
          <w:color w:val="000000"/>
          <w:sz w:val="24"/>
          <w:szCs w:val="24"/>
        </w:rPr>
      </w:pPr>
    </w:p>
    <w:p w14:paraId="75D8FF4C" w14:textId="5EE5BF7E" w:rsidR="00C0600B" w:rsidRPr="00522A10" w:rsidRDefault="00EB1169" w:rsidP="00AF3629">
      <w:pPr>
        <w:spacing w:after="0" w:line="240" w:lineRule="auto"/>
        <w:ind w:left="2" w:hanging="2"/>
        <w:jc w:val="center"/>
        <w:rPr>
          <w:rFonts w:ascii="Times New Roman" w:eastAsia="Times New Roman" w:hAnsi="Times New Roman" w:cs="Times New Roman"/>
          <w:color w:val="000000"/>
          <w:sz w:val="24"/>
          <w:szCs w:val="24"/>
        </w:rPr>
      </w:pPr>
      <w:proofErr w:type="spellStart"/>
      <w:r w:rsidRPr="00522A10">
        <w:rPr>
          <w:rFonts w:ascii="Times New Roman" w:eastAsia="Times New Roman" w:hAnsi="Times New Roman" w:cs="Times New Roman"/>
          <w:color w:val="000000"/>
          <w:sz w:val="24"/>
          <w:szCs w:val="24"/>
        </w:rPr>
        <w:t>Universiti</w:t>
      </w:r>
      <w:proofErr w:type="spellEnd"/>
      <w:r w:rsidRPr="00522A10">
        <w:rPr>
          <w:rFonts w:ascii="Times New Roman" w:eastAsia="Times New Roman" w:hAnsi="Times New Roman" w:cs="Times New Roman"/>
          <w:color w:val="000000"/>
          <w:sz w:val="24"/>
          <w:szCs w:val="24"/>
        </w:rPr>
        <w:t xml:space="preserve"> </w:t>
      </w:r>
      <w:proofErr w:type="spellStart"/>
      <w:r w:rsidRPr="00522A10">
        <w:rPr>
          <w:rFonts w:ascii="Times New Roman" w:eastAsia="Times New Roman" w:hAnsi="Times New Roman" w:cs="Times New Roman"/>
          <w:color w:val="000000"/>
          <w:sz w:val="24"/>
          <w:szCs w:val="24"/>
        </w:rPr>
        <w:t>Kebangsaan</w:t>
      </w:r>
      <w:proofErr w:type="spellEnd"/>
      <w:r w:rsidRPr="00522A10">
        <w:rPr>
          <w:rFonts w:ascii="Times New Roman" w:eastAsia="Times New Roman" w:hAnsi="Times New Roman" w:cs="Times New Roman"/>
          <w:color w:val="000000"/>
          <w:sz w:val="24"/>
          <w:szCs w:val="24"/>
        </w:rPr>
        <w:t xml:space="preserve"> Malaysia</w:t>
      </w:r>
    </w:p>
    <w:p w14:paraId="20C6F74E" w14:textId="77777777" w:rsidR="00C0600B" w:rsidRPr="00522A10" w:rsidRDefault="00C0600B" w:rsidP="00AF3629">
      <w:pPr>
        <w:spacing w:after="0" w:line="240" w:lineRule="auto"/>
        <w:ind w:left="2" w:hanging="2"/>
        <w:jc w:val="center"/>
        <w:rPr>
          <w:rFonts w:ascii="Times New Roman" w:eastAsia="Times New Roman" w:hAnsi="Times New Roman" w:cs="Times New Roman"/>
          <w:color w:val="000000"/>
          <w:sz w:val="24"/>
          <w:szCs w:val="24"/>
        </w:rPr>
      </w:pPr>
    </w:p>
    <w:p w14:paraId="0C0A2602" w14:textId="77777777" w:rsidR="00C0600B" w:rsidRPr="00522A10" w:rsidRDefault="00EB1169" w:rsidP="00AF3629">
      <w:pPr>
        <w:spacing w:after="0" w:line="240" w:lineRule="auto"/>
        <w:ind w:left="2" w:hanging="2"/>
        <w:jc w:val="center"/>
        <w:rPr>
          <w:rFonts w:ascii="Times New Roman" w:eastAsia="Times New Roman" w:hAnsi="Times New Roman" w:cs="Times New Roman"/>
          <w:color w:val="000000"/>
          <w:sz w:val="24"/>
          <w:szCs w:val="24"/>
        </w:rPr>
      </w:pPr>
      <w:r w:rsidRPr="00522A10">
        <w:rPr>
          <w:rFonts w:ascii="Times New Roman" w:eastAsia="Times New Roman" w:hAnsi="Times New Roman" w:cs="Times New Roman"/>
          <w:color w:val="000000"/>
          <w:sz w:val="24"/>
          <w:szCs w:val="24"/>
        </w:rPr>
        <w:t xml:space="preserve">Correspondence: Lai Wei </w:t>
      </w:r>
      <w:proofErr w:type="spellStart"/>
      <w:r w:rsidRPr="00522A10">
        <w:rPr>
          <w:rFonts w:ascii="Times New Roman" w:eastAsia="Times New Roman" w:hAnsi="Times New Roman" w:cs="Times New Roman"/>
          <w:color w:val="000000"/>
          <w:sz w:val="24"/>
          <w:szCs w:val="24"/>
        </w:rPr>
        <w:t>Sieng</w:t>
      </w:r>
      <w:proofErr w:type="spellEnd"/>
      <w:r w:rsidRPr="00522A10">
        <w:rPr>
          <w:rFonts w:ascii="Times New Roman" w:eastAsia="Times New Roman" w:hAnsi="Times New Roman" w:cs="Times New Roman"/>
          <w:color w:val="000000"/>
          <w:sz w:val="24"/>
          <w:szCs w:val="24"/>
        </w:rPr>
        <w:t xml:space="preserve"> (email: laiws@ukm.edu.my)</w:t>
      </w:r>
    </w:p>
    <w:p w14:paraId="7C60D6D1" w14:textId="77777777" w:rsidR="00C0600B" w:rsidRPr="00522A10" w:rsidRDefault="00C0600B" w:rsidP="00AF3629">
      <w:pPr>
        <w:spacing w:after="0" w:line="240" w:lineRule="auto"/>
        <w:ind w:left="2" w:hanging="2"/>
        <w:jc w:val="center"/>
        <w:rPr>
          <w:rFonts w:ascii="Times New Roman" w:eastAsia="Times New Roman" w:hAnsi="Times New Roman" w:cs="Times New Roman"/>
          <w:sz w:val="24"/>
          <w:szCs w:val="24"/>
        </w:rPr>
      </w:pPr>
    </w:p>
    <w:p w14:paraId="411DC188" w14:textId="4C96E5D8" w:rsidR="000A6D40" w:rsidRPr="00522A10" w:rsidRDefault="000A6D40" w:rsidP="00AF3629">
      <w:pPr>
        <w:spacing w:after="0" w:line="240" w:lineRule="auto"/>
        <w:ind w:left="2" w:hanging="2"/>
        <w:jc w:val="both"/>
        <w:rPr>
          <w:rFonts w:ascii="Times New Roman" w:eastAsia="Times New Roman" w:hAnsi="Times New Roman" w:cs="Times New Roman"/>
          <w:sz w:val="24"/>
          <w:szCs w:val="24"/>
          <w:lang w:val="en"/>
        </w:rPr>
      </w:pPr>
      <w:bookmarkStart w:id="0" w:name="_heading=h.6chp2w3epw0c" w:colFirst="0" w:colLast="0"/>
      <w:bookmarkEnd w:id="0"/>
      <w:r w:rsidRPr="00522A10">
        <w:rPr>
          <w:rFonts w:ascii="Times New Roman" w:eastAsia="Times New Roman" w:hAnsi="Times New Roman" w:cs="Times New Roman"/>
          <w:sz w:val="24"/>
          <w:szCs w:val="24"/>
          <w:lang w:val="en-US"/>
        </w:rPr>
        <w:t xml:space="preserve">Received: 1 </w:t>
      </w:r>
      <w:r w:rsidR="00317080" w:rsidRPr="00522A10">
        <w:rPr>
          <w:rFonts w:ascii="Times New Roman" w:eastAsia="Times New Roman" w:hAnsi="Times New Roman" w:cs="Times New Roman"/>
          <w:sz w:val="24"/>
          <w:szCs w:val="24"/>
          <w:lang w:val="en-US"/>
        </w:rPr>
        <w:t>October</w:t>
      </w:r>
      <w:r w:rsidRPr="00522A10">
        <w:rPr>
          <w:rFonts w:ascii="Times New Roman" w:eastAsia="Times New Roman" w:hAnsi="Times New Roman" w:cs="Times New Roman"/>
          <w:sz w:val="24"/>
          <w:szCs w:val="24"/>
          <w:lang w:val="en-US"/>
        </w:rPr>
        <w:t xml:space="preserve"> 202</w:t>
      </w:r>
      <w:r w:rsidR="00925745" w:rsidRPr="00522A10">
        <w:rPr>
          <w:rFonts w:ascii="Times New Roman" w:eastAsia="Times New Roman" w:hAnsi="Times New Roman" w:cs="Times New Roman"/>
          <w:sz w:val="24"/>
          <w:szCs w:val="24"/>
          <w:lang w:val="en-US"/>
        </w:rPr>
        <w:t>4</w:t>
      </w:r>
      <w:r w:rsidRPr="00522A10">
        <w:rPr>
          <w:rFonts w:ascii="Times New Roman" w:eastAsia="Times New Roman" w:hAnsi="Times New Roman" w:cs="Times New Roman"/>
          <w:sz w:val="24"/>
          <w:szCs w:val="24"/>
          <w:lang w:val="en-US"/>
        </w:rPr>
        <w:t xml:space="preserve">; Accepted: </w:t>
      </w:r>
      <w:r w:rsidR="00925745" w:rsidRPr="00522A10">
        <w:rPr>
          <w:rFonts w:ascii="Times New Roman" w:eastAsia="Times New Roman" w:hAnsi="Times New Roman" w:cs="Times New Roman"/>
          <w:sz w:val="24"/>
          <w:szCs w:val="24"/>
          <w:lang w:val="en-US"/>
        </w:rPr>
        <w:t>7 October 2025</w:t>
      </w:r>
      <w:r w:rsidRPr="00522A10">
        <w:rPr>
          <w:rFonts w:ascii="Times New Roman" w:eastAsia="Times New Roman" w:hAnsi="Times New Roman" w:cs="Times New Roman"/>
          <w:sz w:val="24"/>
          <w:szCs w:val="24"/>
          <w:lang w:val="en-US"/>
        </w:rPr>
        <w:t>; Published: 20 November 2025</w:t>
      </w:r>
    </w:p>
    <w:p w14:paraId="5C806934" w14:textId="77777777" w:rsidR="00C0600B" w:rsidRPr="00522A10" w:rsidRDefault="00C0600B" w:rsidP="00AF3629">
      <w:pPr>
        <w:spacing w:after="0" w:line="240" w:lineRule="auto"/>
        <w:ind w:left="2" w:hanging="2"/>
        <w:jc w:val="both"/>
        <w:rPr>
          <w:rFonts w:ascii="Times New Roman" w:eastAsia="Times New Roman" w:hAnsi="Times New Roman" w:cs="Times New Roman"/>
          <w:color w:val="000000"/>
          <w:sz w:val="24"/>
          <w:szCs w:val="24"/>
        </w:rPr>
      </w:pPr>
    </w:p>
    <w:p w14:paraId="4550C9CE" w14:textId="77777777" w:rsidR="00C0600B" w:rsidRPr="00522A10" w:rsidRDefault="00EB1169" w:rsidP="00AF3629">
      <w:pPr>
        <w:spacing w:after="0" w:line="240" w:lineRule="auto"/>
        <w:ind w:left="2" w:hanging="2"/>
        <w:jc w:val="both"/>
        <w:rPr>
          <w:rFonts w:ascii="Times New Roman" w:eastAsia="Times New Roman" w:hAnsi="Times New Roman" w:cs="Times New Roman"/>
          <w:color w:val="000000"/>
          <w:sz w:val="24"/>
          <w:szCs w:val="24"/>
        </w:rPr>
      </w:pPr>
      <w:r w:rsidRPr="00522A10">
        <w:rPr>
          <w:rFonts w:ascii="Times New Roman" w:eastAsia="Times New Roman" w:hAnsi="Times New Roman" w:cs="Times New Roman"/>
          <w:b/>
          <w:color w:val="000000"/>
          <w:sz w:val="24"/>
          <w:szCs w:val="24"/>
        </w:rPr>
        <w:t xml:space="preserve"> </w:t>
      </w:r>
    </w:p>
    <w:p w14:paraId="475ABC7A" w14:textId="77777777" w:rsidR="00C0600B" w:rsidRPr="00FB3F45" w:rsidRDefault="00EB1169" w:rsidP="00AF3629">
      <w:pPr>
        <w:spacing w:after="0" w:line="240" w:lineRule="auto"/>
        <w:ind w:left="2" w:hanging="2"/>
        <w:jc w:val="both"/>
        <w:rPr>
          <w:rFonts w:ascii="Times New Roman" w:eastAsia="Times New Roman" w:hAnsi="Times New Roman" w:cs="Times New Roman"/>
          <w:color w:val="000000"/>
          <w:sz w:val="24"/>
          <w:szCs w:val="24"/>
        </w:rPr>
      </w:pPr>
      <w:r w:rsidRPr="00FB3F45">
        <w:rPr>
          <w:rFonts w:ascii="Times New Roman" w:eastAsia="Times New Roman" w:hAnsi="Times New Roman" w:cs="Times New Roman"/>
          <w:b/>
          <w:color w:val="000000"/>
          <w:sz w:val="24"/>
          <w:szCs w:val="24"/>
        </w:rPr>
        <w:t>Abstract</w:t>
      </w:r>
    </w:p>
    <w:p w14:paraId="7EFD6996" w14:textId="77777777" w:rsidR="00C0600B" w:rsidRPr="00FB3F45" w:rsidRDefault="00EB1169" w:rsidP="00AF3629">
      <w:pPr>
        <w:spacing w:after="0" w:line="240" w:lineRule="auto"/>
        <w:ind w:left="2" w:hanging="2"/>
        <w:jc w:val="both"/>
        <w:rPr>
          <w:rFonts w:ascii="Times New Roman" w:eastAsia="Times New Roman" w:hAnsi="Times New Roman" w:cs="Times New Roman"/>
          <w:color w:val="000000"/>
          <w:sz w:val="24"/>
          <w:szCs w:val="24"/>
        </w:rPr>
      </w:pPr>
      <w:r w:rsidRPr="00FB3F45">
        <w:rPr>
          <w:rFonts w:ascii="Times New Roman" w:eastAsia="Times New Roman" w:hAnsi="Times New Roman" w:cs="Times New Roman"/>
          <w:b/>
          <w:color w:val="000000"/>
          <w:sz w:val="24"/>
          <w:szCs w:val="24"/>
        </w:rPr>
        <w:t xml:space="preserve"> </w:t>
      </w:r>
    </w:p>
    <w:p w14:paraId="5AC89474" w14:textId="4161825C" w:rsidR="00C0600B" w:rsidRPr="00FB3F45" w:rsidRDefault="00EB1169" w:rsidP="00AF3629">
      <w:pPr>
        <w:spacing w:after="0" w:line="240" w:lineRule="auto"/>
        <w:ind w:left="2" w:hanging="2"/>
        <w:jc w:val="both"/>
        <w:rPr>
          <w:rFonts w:ascii="Times New Roman" w:eastAsia="Times New Roman" w:hAnsi="Times New Roman" w:cs="Times New Roman"/>
          <w:b/>
          <w:color w:val="000000"/>
          <w:sz w:val="24"/>
          <w:szCs w:val="24"/>
        </w:rPr>
      </w:pPr>
      <w:r w:rsidRPr="00FB3F45">
        <w:rPr>
          <w:rFonts w:ascii="Times New Roman" w:eastAsia="Times New Roman" w:hAnsi="Times New Roman" w:cs="Times New Roman"/>
          <w:color w:val="000000"/>
          <w:sz w:val="24"/>
          <w:szCs w:val="24"/>
        </w:rPr>
        <w:t xml:space="preserve">Saving is important not only for individuals and households but also for the economic development of a country. In Malaysia, youth generally lack savings and show little interest in saving. This situation has negatively affected them, especially during and after the COVID-19 pandemic. This research paper aims to </w:t>
      </w:r>
      <w:proofErr w:type="spellStart"/>
      <w:r w:rsidRPr="00FB3F45">
        <w:rPr>
          <w:rFonts w:ascii="Times New Roman" w:eastAsia="Times New Roman" w:hAnsi="Times New Roman" w:cs="Times New Roman"/>
          <w:color w:val="000000"/>
          <w:sz w:val="24"/>
          <w:szCs w:val="24"/>
        </w:rPr>
        <w:t>analyze</w:t>
      </w:r>
      <w:proofErr w:type="spellEnd"/>
      <w:r w:rsidRPr="00FB3F45">
        <w:rPr>
          <w:rFonts w:ascii="Times New Roman" w:eastAsia="Times New Roman" w:hAnsi="Times New Roman" w:cs="Times New Roman"/>
          <w:color w:val="000000"/>
          <w:sz w:val="24"/>
          <w:szCs w:val="24"/>
        </w:rPr>
        <w:t xml:space="preserve"> the factors that influence the saving behaviour of young people in Malaysia. Data was collected from 1,200 respondents across the country. Questionnaires were used as the primary instrument and stratified sampling techniques were applied. The target sample consisted of Malaysians aged between 15 and 40 years old. Partial Least Squares Structural Equation </w:t>
      </w:r>
      <w:proofErr w:type="spellStart"/>
      <w:r w:rsidRPr="00FB3F45">
        <w:rPr>
          <w:rFonts w:ascii="Times New Roman" w:eastAsia="Times New Roman" w:hAnsi="Times New Roman" w:cs="Times New Roman"/>
          <w:color w:val="000000"/>
          <w:sz w:val="24"/>
          <w:szCs w:val="24"/>
        </w:rPr>
        <w:t>Modeling</w:t>
      </w:r>
      <w:proofErr w:type="spellEnd"/>
      <w:r w:rsidRPr="00FB3F45">
        <w:rPr>
          <w:rFonts w:ascii="Times New Roman" w:eastAsia="Times New Roman" w:hAnsi="Times New Roman" w:cs="Times New Roman"/>
          <w:color w:val="000000"/>
          <w:sz w:val="24"/>
          <w:szCs w:val="24"/>
        </w:rPr>
        <w:t xml:space="preserve"> (PLS-SEM) and binary regression were used to explore the factor structure of the variables. The questionnaire was divided into four sections: </w:t>
      </w:r>
      <w:r w:rsidR="00E27CD5" w:rsidRPr="00FB3F45">
        <w:rPr>
          <w:rFonts w:ascii="Times New Roman" w:eastAsia="Times New Roman" w:hAnsi="Times New Roman" w:cs="Times New Roman"/>
          <w:color w:val="000000"/>
          <w:sz w:val="24"/>
          <w:szCs w:val="24"/>
        </w:rPr>
        <w:t>t</w:t>
      </w:r>
      <w:r w:rsidRPr="00FB3F45">
        <w:rPr>
          <w:rFonts w:ascii="Times New Roman" w:eastAsia="Times New Roman" w:hAnsi="Times New Roman" w:cs="Times New Roman"/>
          <w:color w:val="000000"/>
          <w:sz w:val="24"/>
          <w:szCs w:val="24"/>
        </w:rPr>
        <w:t xml:space="preserve">he first covered demographic information; </w:t>
      </w:r>
      <w:r w:rsidR="00E27CD5" w:rsidRPr="00FB3F45">
        <w:rPr>
          <w:rFonts w:ascii="Times New Roman" w:eastAsia="Times New Roman" w:hAnsi="Times New Roman" w:cs="Times New Roman"/>
          <w:color w:val="000000"/>
          <w:sz w:val="24"/>
          <w:szCs w:val="24"/>
        </w:rPr>
        <w:t>t</w:t>
      </w:r>
      <w:r w:rsidRPr="00FB3F45">
        <w:rPr>
          <w:rFonts w:ascii="Times New Roman" w:eastAsia="Times New Roman" w:hAnsi="Times New Roman" w:cs="Times New Roman"/>
          <w:color w:val="000000"/>
          <w:sz w:val="24"/>
          <w:szCs w:val="24"/>
        </w:rPr>
        <w:t>he second focused on the determinants influencing saving behaviour; and the remaining sections addressed the factors that influence saving behaviour and the intention to save. The findings indicate that financial management, peer influence, self-control and demographic background significantly affect saving behaviour among young Malaysians. Overall, the results suggest that greater exposure and education about the importance of saving are needed</w:t>
      </w:r>
      <w:r w:rsidRPr="00FB3F45">
        <w:rPr>
          <w:rFonts w:ascii="Times New Roman" w:eastAsia="Times New Roman" w:hAnsi="Times New Roman" w:cs="Times New Roman"/>
          <w:color w:val="000000"/>
          <w:sz w:val="24"/>
          <w:szCs w:val="24"/>
          <w:lang w:val="en-US"/>
        </w:rPr>
        <w:t xml:space="preserve">, </w:t>
      </w:r>
      <w:r w:rsidRPr="00FB3F45">
        <w:rPr>
          <w:rFonts w:ascii="Times New Roman" w:eastAsia="Times New Roman" w:hAnsi="Times New Roman" w:cs="Times New Roman"/>
          <w:color w:val="000000"/>
          <w:sz w:val="24"/>
          <w:szCs w:val="24"/>
        </w:rPr>
        <w:t>particularly in the post-COVID-19 era</w:t>
      </w:r>
      <w:r w:rsidRPr="00FB3F45">
        <w:rPr>
          <w:rFonts w:ascii="Times New Roman" w:eastAsia="Times New Roman" w:hAnsi="Times New Roman" w:cs="Times New Roman"/>
          <w:color w:val="000000"/>
          <w:sz w:val="24"/>
          <w:szCs w:val="24"/>
          <w:lang w:val="en-US"/>
        </w:rPr>
        <w:t xml:space="preserve"> </w:t>
      </w:r>
      <w:r w:rsidRPr="00FB3F45">
        <w:rPr>
          <w:rFonts w:ascii="Times New Roman" w:eastAsia="Times New Roman" w:hAnsi="Times New Roman" w:cs="Times New Roman"/>
          <w:color w:val="000000"/>
          <w:sz w:val="24"/>
          <w:szCs w:val="24"/>
        </w:rPr>
        <w:t>to raise awareness and encourage more young people to engage in saving practices.</w:t>
      </w:r>
      <w:r w:rsidRPr="00FB3F45">
        <w:rPr>
          <w:rFonts w:ascii="Times New Roman" w:eastAsia="Times New Roman" w:hAnsi="Times New Roman" w:cs="Times New Roman"/>
          <w:b/>
          <w:color w:val="000000"/>
          <w:sz w:val="24"/>
          <w:szCs w:val="24"/>
        </w:rPr>
        <w:t xml:space="preserve"> </w:t>
      </w:r>
    </w:p>
    <w:p w14:paraId="5BF414CF" w14:textId="77777777" w:rsidR="00C0600B" w:rsidRPr="00FB3F45" w:rsidRDefault="00C0600B" w:rsidP="00AF3629">
      <w:pPr>
        <w:spacing w:after="0" w:line="240" w:lineRule="auto"/>
        <w:ind w:left="2" w:hanging="2"/>
        <w:jc w:val="both"/>
        <w:rPr>
          <w:rFonts w:ascii="Times New Roman" w:eastAsia="Times New Roman" w:hAnsi="Times New Roman" w:cs="Times New Roman"/>
          <w:color w:val="000000"/>
          <w:sz w:val="24"/>
          <w:szCs w:val="24"/>
        </w:rPr>
      </w:pPr>
    </w:p>
    <w:p w14:paraId="3DCF2DE7" w14:textId="191FF0FB" w:rsidR="00C0600B" w:rsidRPr="00FB3F45" w:rsidRDefault="00EB1169" w:rsidP="00AF3629">
      <w:pPr>
        <w:spacing w:after="0" w:line="240" w:lineRule="auto"/>
        <w:ind w:left="2" w:hanging="2"/>
        <w:jc w:val="both"/>
        <w:rPr>
          <w:rFonts w:ascii="Times New Roman" w:eastAsia="Times New Roman" w:hAnsi="Times New Roman" w:cs="Times New Roman"/>
          <w:color w:val="000000"/>
          <w:sz w:val="24"/>
          <w:szCs w:val="24"/>
        </w:rPr>
      </w:pPr>
      <w:bookmarkStart w:id="1" w:name="_heading=h.gjdgxs" w:colFirst="0" w:colLast="0"/>
      <w:bookmarkEnd w:id="1"/>
      <w:r w:rsidRPr="00FB3F45">
        <w:rPr>
          <w:rFonts w:ascii="Times New Roman" w:eastAsia="Times New Roman" w:hAnsi="Times New Roman" w:cs="Times New Roman"/>
          <w:b/>
          <w:color w:val="000000"/>
          <w:sz w:val="24"/>
          <w:szCs w:val="24"/>
        </w:rPr>
        <w:t xml:space="preserve">Keywords: </w:t>
      </w:r>
      <w:r w:rsidR="00C62CC9" w:rsidRPr="00FB3F45">
        <w:rPr>
          <w:rFonts w:ascii="Times New Roman" w:eastAsia="Times New Roman" w:hAnsi="Times New Roman" w:cs="Times New Roman"/>
          <w:color w:val="000000"/>
          <w:sz w:val="24"/>
          <w:szCs w:val="24"/>
        </w:rPr>
        <w:t>F</w:t>
      </w:r>
      <w:r w:rsidRPr="00FB3F45">
        <w:rPr>
          <w:rFonts w:ascii="Times New Roman" w:eastAsia="Times New Roman" w:hAnsi="Times New Roman" w:cs="Times New Roman"/>
          <w:color w:val="000000"/>
          <w:sz w:val="24"/>
          <w:szCs w:val="24"/>
        </w:rPr>
        <w:t>inancial literacy</w:t>
      </w:r>
      <w:r w:rsidR="00C62CC9" w:rsidRPr="00FB3F45">
        <w:rPr>
          <w:rFonts w:ascii="Times New Roman" w:eastAsia="Times New Roman" w:hAnsi="Times New Roman" w:cs="Times New Roman"/>
          <w:color w:val="000000"/>
          <w:sz w:val="24"/>
          <w:szCs w:val="24"/>
        </w:rPr>
        <w:t>,</w:t>
      </w:r>
      <w:r w:rsidRPr="00FB3F45">
        <w:rPr>
          <w:rFonts w:ascii="Times New Roman" w:eastAsia="Times New Roman" w:hAnsi="Times New Roman" w:cs="Times New Roman"/>
          <w:color w:val="000000"/>
          <w:sz w:val="24"/>
          <w:szCs w:val="24"/>
        </w:rPr>
        <w:t xml:space="preserve"> financial management</w:t>
      </w:r>
      <w:r w:rsidR="00C62CC9" w:rsidRPr="00FB3F45">
        <w:rPr>
          <w:rFonts w:ascii="Times New Roman" w:eastAsia="Times New Roman" w:hAnsi="Times New Roman" w:cs="Times New Roman"/>
          <w:color w:val="000000"/>
          <w:sz w:val="24"/>
          <w:szCs w:val="24"/>
        </w:rPr>
        <w:t>,</w:t>
      </w:r>
      <w:r w:rsidRPr="00FB3F45">
        <w:rPr>
          <w:rFonts w:ascii="Times New Roman" w:eastAsia="Times New Roman" w:hAnsi="Times New Roman" w:cs="Times New Roman"/>
          <w:color w:val="000000"/>
          <w:sz w:val="24"/>
          <w:szCs w:val="24"/>
        </w:rPr>
        <w:t xml:space="preserve"> peer influence</w:t>
      </w:r>
      <w:r w:rsidR="00C62CC9" w:rsidRPr="00FB3F45">
        <w:rPr>
          <w:rFonts w:ascii="Times New Roman" w:eastAsia="Times New Roman" w:hAnsi="Times New Roman" w:cs="Times New Roman"/>
          <w:color w:val="000000"/>
          <w:sz w:val="24"/>
          <w:szCs w:val="24"/>
        </w:rPr>
        <w:t>,</w:t>
      </w:r>
      <w:r w:rsidRPr="00FB3F45">
        <w:rPr>
          <w:rFonts w:ascii="Times New Roman" w:eastAsia="Times New Roman" w:hAnsi="Times New Roman" w:cs="Times New Roman"/>
          <w:color w:val="000000"/>
          <w:sz w:val="24"/>
          <w:szCs w:val="24"/>
        </w:rPr>
        <w:t xml:space="preserve"> saving behaviour</w:t>
      </w:r>
      <w:r w:rsidR="00C62CC9" w:rsidRPr="00FB3F45">
        <w:rPr>
          <w:rFonts w:ascii="Times New Roman" w:eastAsia="Times New Roman" w:hAnsi="Times New Roman" w:cs="Times New Roman"/>
          <w:color w:val="000000"/>
          <w:sz w:val="24"/>
          <w:szCs w:val="24"/>
        </w:rPr>
        <w:t>,</w:t>
      </w:r>
      <w:r w:rsidRPr="00FB3F45">
        <w:rPr>
          <w:rFonts w:ascii="Times New Roman" w:eastAsia="Times New Roman" w:hAnsi="Times New Roman" w:cs="Times New Roman"/>
          <w:color w:val="000000"/>
          <w:sz w:val="24"/>
          <w:szCs w:val="24"/>
        </w:rPr>
        <w:t xml:space="preserve"> self-control</w:t>
      </w:r>
      <w:r w:rsidRPr="00FB3F45">
        <w:rPr>
          <w:rFonts w:ascii="Times New Roman" w:eastAsia="Times New Roman" w:hAnsi="Times New Roman" w:cs="Times New Roman"/>
          <w:b/>
          <w:color w:val="000000"/>
          <w:sz w:val="24"/>
          <w:szCs w:val="24"/>
        </w:rPr>
        <w:t xml:space="preserve"> </w:t>
      </w:r>
    </w:p>
    <w:p w14:paraId="5020D58D" w14:textId="77777777" w:rsidR="00C0600B" w:rsidRPr="00FB3F45" w:rsidRDefault="00C0600B" w:rsidP="00AF3629">
      <w:pPr>
        <w:spacing w:after="0" w:line="240" w:lineRule="auto"/>
        <w:ind w:hanging="2"/>
        <w:jc w:val="both"/>
        <w:rPr>
          <w:rFonts w:ascii="Times New Roman" w:eastAsia="Times New Roman" w:hAnsi="Times New Roman" w:cs="Times New Roman"/>
          <w:color w:val="000000"/>
          <w:sz w:val="24"/>
          <w:szCs w:val="24"/>
        </w:rPr>
      </w:pPr>
    </w:p>
    <w:p w14:paraId="16AD6BE0" w14:textId="77777777" w:rsidR="00C0600B" w:rsidRPr="00FB3F45" w:rsidRDefault="00EB1169" w:rsidP="00AF3629">
      <w:pPr>
        <w:spacing w:after="0" w:line="240" w:lineRule="auto"/>
        <w:ind w:hanging="2"/>
        <w:jc w:val="both"/>
        <w:rPr>
          <w:rFonts w:ascii="Times New Roman" w:eastAsia="Times New Roman" w:hAnsi="Times New Roman" w:cs="Times New Roman"/>
          <w:color w:val="000000"/>
          <w:sz w:val="24"/>
          <w:szCs w:val="24"/>
        </w:rPr>
      </w:pPr>
      <w:r w:rsidRPr="00FB3F45">
        <w:rPr>
          <w:rFonts w:ascii="Times New Roman" w:eastAsia="Times New Roman" w:hAnsi="Times New Roman" w:cs="Times New Roman"/>
          <w:b/>
          <w:color w:val="000000"/>
          <w:sz w:val="24"/>
          <w:szCs w:val="24"/>
        </w:rPr>
        <w:t xml:space="preserve"> </w:t>
      </w:r>
    </w:p>
    <w:p w14:paraId="16102833" w14:textId="77777777" w:rsidR="00C0600B" w:rsidRPr="00FB3F45" w:rsidRDefault="00EB1169" w:rsidP="00AF3629">
      <w:pPr>
        <w:spacing w:after="0" w:line="240" w:lineRule="auto"/>
        <w:ind w:hanging="2"/>
        <w:jc w:val="both"/>
        <w:rPr>
          <w:rFonts w:ascii="Times New Roman" w:eastAsia="Times New Roman" w:hAnsi="Times New Roman" w:cs="Times New Roman"/>
          <w:color w:val="000000"/>
          <w:sz w:val="24"/>
          <w:szCs w:val="24"/>
        </w:rPr>
      </w:pPr>
      <w:r w:rsidRPr="00FB3F45">
        <w:rPr>
          <w:rFonts w:ascii="Times New Roman" w:eastAsia="Times New Roman" w:hAnsi="Times New Roman" w:cs="Times New Roman"/>
          <w:b/>
          <w:color w:val="000000"/>
          <w:sz w:val="24"/>
          <w:szCs w:val="24"/>
        </w:rPr>
        <w:t xml:space="preserve">Introduction  </w:t>
      </w:r>
    </w:p>
    <w:p w14:paraId="6A90D6E5" w14:textId="77777777" w:rsidR="00C62CC9" w:rsidRPr="00FB3F45" w:rsidRDefault="00C62CC9" w:rsidP="00AF3629">
      <w:pPr>
        <w:spacing w:after="0" w:line="240" w:lineRule="auto"/>
        <w:ind w:firstLine="0"/>
        <w:jc w:val="both"/>
        <w:rPr>
          <w:rFonts w:ascii="Times New Roman" w:eastAsia="Times New Roman" w:hAnsi="Times New Roman" w:cs="Times New Roman"/>
          <w:color w:val="000000"/>
          <w:sz w:val="24"/>
          <w:szCs w:val="24"/>
        </w:rPr>
      </w:pPr>
    </w:p>
    <w:p w14:paraId="04E2EC5F" w14:textId="5190FF35" w:rsidR="00C0600B" w:rsidRPr="00FB3F45" w:rsidRDefault="00EB1169" w:rsidP="00AF3629">
      <w:pPr>
        <w:spacing w:after="0" w:line="240" w:lineRule="auto"/>
        <w:ind w:firstLine="0"/>
        <w:jc w:val="both"/>
        <w:rPr>
          <w:rFonts w:ascii="Times New Roman" w:eastAsia="Times New Roman" w:hAnsi="Times New Roman" w:cs="Times New Roman"/>
          <w:color w:val="000000"/>
          <w:sz w:val="24"/>
          <w:szCs w:val="24"/>
        </w:rPr>
      </w:pPr>
      <w:r w:rsidRPr="00FB3F45">
        <w:rPr>
          <w:rFonts w:ascii="Times New Roman" w:eastAsia="Times New Roman" w:hAnsi="Times New Roman" w:cs="Times New Roman"/>
          <w:color w:val="000000"/>
          <w:sz w:val="24"/>
          <w:szCs w:val="24"/>
        </w:rPr>
        <w:t xml:space="preserve">Savings refer to the portion of income that remains after deducting expenses and other financial commitments. It is money that is not invested, consumed or otherwise utilized. According to Maps World of Finance, saving behaviour is defined as the way individuals save within a country, which reflects the broader economic conditions of that nation. Saving is a crucial component of economic development. A higher national savings rate is essential for achieving long-term economic goals. In economic theory, the amount saved is equal to the amount invested. </w:t>
      </w:r>
      <w:proofErr w:type="spellStart"/>
      <w:r w:rsidRPr="00FB3F45">
        <w:rPr>
          <w:rFonts w:ascii="Times New Roman" w:eastAsia="Times New Roman" w:hAnsi="Times New Roman" w:cs="Times New Roman"/>
          <w:color w:val="000000"/>
          <w:sz w:val="24"/>
          <w:szCs w:val="24"/>
        </w:rPr>
        <w:t>Ribaj</w:t>
      </w:r>
      <w:proofErr w:type="spellEnd"/>
      <w:r w:rsidRPr="00FB3F45">
        <w:rPr>
          <w:rFonts w:ascii="Times New Roman" w:eastAsia="Times New Roman" w:hAnsi="Times New Roman" w:cs="Times New Roman"/>
          <w:color w:val="000000"/>
          <w:sz w:val="24"/>
          <w:szCs w:val="24"/>
        </w:rPr>
        <w:t xml:space="preserve"> and </w:t>
      </w:r>
      <w:proofErr w:type="spellStart"/>
      <w:r w:rsidRPr="00FB3F45">
        <w:rPr>
          <w:rFonts w:ascii="Times New Roman" w:eastAsia="Times New Roman" w:hAnsi="Times New Roman" w:cs="Times New Roman"/>
          <w:color w:val="000000"/>
          <w:sz w:val="24"/>
          <w:szCs w:val="24"/>
        </w:rPr>
        <w:t>Mexhuani</w:t>
      </w:r>
      <w:proofErr w:type="spellEnd"/>
      <w:r w:rsidRPr="00FB3F45">
        <w:rPr>
          <w:rFonts w:ascii="Times New Roman" w:eastAsia="Times New Roman" w:hAnsi="Times New Roman" w:cs="Times New Roman"/>
          <w:color w:val="000000"/>
          <w:sz w:val="24"/>
          <w:szCs w:val="24"/>
        </w:rPr>
        <w:t xml:space="preserve"> (2021) state that economies with higher savings rates tend to grow faster than those with lower rates. Thus, savings play a vital role in stimulating economic growth across nations.</w:t>
      </w:r>
      <w:r w:rsidRPr="00FB3F45">
        <w:rPr>
          <w:rFonts w:ascii="Times New Roman" w:eastAsia="Times New Roman" w:hAnsi="Times New Roman" w:cs="Times New Roman"/>
          <w:color w:val="000000"/>
          <w:sz w:val="24"/>
          <w:szCs w:val="24"/>
        </w:rPr>
        <w:tab/>
      </w:r>
    </w:p>
    <w:p w14:paraId="1092A2B3" w14:textId="77777777" w:rsidR="00C0600B" w:rsidRPr="00FB3F45" w:rsidRDefault="00EB1169" w:rsidP="00AF3629">
      <w:pPr>
        <w:spacing w:after="0" w:line="240" w:lineRule="auto"/>
        <w:ind w:firstLine="720"/>
        <w:jc w:val="both"/>
        <w:rPr>
          <w:rFonts w:ascii="Times New Roman" w:eastAsia="Times New Roman" w:hAnsi="Times New Roman" w:cs="Times New Roman"/>
          <w:color w:val="000000"/>
          <w:sz w:val="24"/>
          <w:szCs w:val="24"/>
        </w:rPr>
      </w:pPr>
      <w:r w:rsidRPr="00FB3F45">
        <w:rPr>
          <w:rFonts w:ascii="Times New Roman" w:eastAsia="Times New Roman" w:hAnsi="Times New Roman" w:cs="Times New Roman"/>
          <w:color w:val="000000"/>
          <w:sz w:val="24"/>
          <w:szCs w:val="24"/>
        </w:rPr>
        <w:t xml:space="preserve">Savings play a crucial role in financing investments. When individuals save more, financial institutions are better positioned to provide investment loans to businesses. However, savings in </w:t>
      </w:r>
      <w:r w:rsidRPr="00FB3F45">
        <w:rPr>
          <w:rFonts w:ascii="Times New Roman" w:eastAsia="Times New Roman" w:hAnsi="Times New Roman" w:cs="Times New Roman"/>
          <w:color w:val="000000"/>
          <w:sz w:val="24"/>
          <w:szCs w:val="24"/>
        </w:rPr>
        <w:lastRenderedPageBreak/>
        <w:t xml:space="preserve">the economy remain relatively low, indicating that short-term consumption is being prioritized over long-term investment. A lack of sufficient investment can lead to future shortages and economic congestion. According to the </w:t>
      </w:r>
      <w:proofErr w:type="spellStart"/>
      <w:r w:rsidRPr="00FB3F45">
        <w:rPr>
          <w:rFonts w:ascii="Times New Roman" w:eastAsia="Times New Roman" w:hAnsi="Times New Roman" w:cs="Times New Roman"/>
          <w:color w:val="000000"/>
          <w:sz w:val="24"/>
          <w:szCs w:val="24"/>
        </w:rPr>
        <w:t>Harrod-Domar</w:t>
      </w:r>
      <w:proofErr w:type="spellEnd"/>
      <w:r w:rsidRPr="00FB3F45">
        <w:rPr>
          <w:rFonts w:ascii="Times New Roman" w:eastAsia="Times New Roman" w:hAnsi="Times New Roman" w:cs="Times New Roman"/>
          <w:color w:val="000000"/>
          <w:sz w:val="24"/>
          <w:szCs w:val="24"/>
        </w:rPr>
        <w:t xml:space="preserve"> economic growth model, one of the key determinants of a country's economic growth rate is the level of savings. Deposits in financial institutions increase the availability of credit, which in turn supports financing for commercial and productive activities. The COVID-19 pandemic, which began in March 2020, had a significant impact on Malaysians. Rising unemployment due to job losses, combined with the restrictions imposed by the Movement Control Order (MCO), led to increased household expenses and financial stress. According to data from Bank Negara Malaysia, the gross national savings rate declined from 25.1% in 2019 to 23.2% in 2021, reflecting the negative impact of the pandemic on national saving behaviour. This decline raises an important question: do Malaysians have adequate savings? An article published by Astro </w:t>
      </w:r>
      <w:proofErr w:type="spellStart"/>
      <w:r w:rsidRPr="00FB3F45">
        <w:rPr>
          <w:rFonts w:ascii="Times New Roman" w:eastAsia="Times New Roman" w:hAnsi="Times New Roman" w:cs="Times New Roman"/>
          <w:color w:val="000000"/>
          <w:sz w:val="24"/>
          <w:szCs w:val="24"/>
        </w:rPr>
        <w:t>Awani</w:t>
      </w:r>
      <w:proofErr w:type="spellEnd"/>
      <w:r w:rsidRPr="00FB3F45">
        <w:rPr>
          <w:rFonts w:ascii="Times New Roman" w:eastAsia="Times New Roman" w:hAnsi="Times New Roman" w:cs="Times New Roman"/>
          <w:color w:val="000000"/>
          <w:sz w:val="24"/>
          <w:szCs w:val="24"/>
        </w:rPr>
        <w:t xml:space="preserve"> highlights that many Malaysians face financial difficulties and lack sufficient savings to support their daily lives. Furthermore, it was reported that more than 40% of millennials spend beyond their means. According to Xu and Zia (2012), many millennials lack interest in learning how financial systems work, which contributes to a gap in essential financial knowledge needed for informed saving and investment decisions.</w:t>
      </w:r>
    </w:p>
    <w:p w14:paraId="64786A9E" w14:textId="0ACDE7B0" w:rsidR="00C0600B" w:rsidRPr="00FB3F45" w:rsidRDefault="00EB1169" w:rsidP="00AF3629">
      <w:pPr>
        <w:spacing w:after="0" w:line="240" w:lineRule="auto"/>
        <w:ind w:firstLine="720"/>
        <w:jc w:val="both"/>
        <w:rPr>
          <w:rFonts w:ascii="Times New Roman" w:eastAsia="Times New Roman" w:hAnsi="Times New Roman" w:cs="Times New Roman"/>
          <w:color w:val="000000"/>
          <w:sz w:val="24"/>
          <w:szCs w:val="24"/>
        </w:rPr>
      </w:pPr>
      <w:r w:rsidRPr="00FB3F45">
        <w:rPr>
          <w:rFonts w:ascii="Times New Roman" w:eastAsia="Times New Roman" w:hAnsi="Times New Roman" w:cs="Times New Roman"/>
          <w:color w:val="000000"/>
          <w:sz w:val="24"/>
          <w:szCs w:val="24"/>
        </w:rPr>
        <w:t>Studies and national financial reports have consistently highlighted a worrying trend: many Malaysian youths do not prioritize saving and are ill-prepared to face financial emergencies or plan for future financial needs. This behaviour not only puts their personal financial security at risk but also has broader implications for the country’s economic resilience and development. Recent surveys suggest that about 61% of Malaysians cannot raise even RM1,000 in an emergency (</w:t>
      </w:r>
      <w:proofErr w:type="spellStart"/>
      <w:r w:rsidRPr="00FB3F45">
        <w:rPr>
          <w:rFonts w:ascii="Times New Roman" w:eastAsia="Times New Roman" w:hAnsi="Times New Roman" w:cs="Times New Roman"/>
          <w:color w:val="000000"/>
          <w:sz w:val="24"/>
          <w:szCs w:val="24"/>
        </w:rPr>
        <w:t>Asiah</w:t>
      </w:r>
      <w:proofErr w:type="spellEnd"/>
      <w:r w:rsidRPr="00FB3F45">
        <w:rPr>
          <w:rFonts w:ascii="Times New Roman" w:eastAsia="Times New Roman" w:hAnsi="Times New Roman" w:cs="Times New Roman"/>
          <w:color w:val="000000"/>
          <w:sz w:val="24"/>
          <w:szCs w:val="24"/>
        </w:rPr>
        <w:t>, 2024)</w:t>
      </w:r>
      <w:r w:rsidR="00FF49B0" w:rsidRPr="00FB3F45">
        <w:rPr>
          <w:rFonts w:ascii="Times New Roman" w:eastAsia="Times New Roman" w:hAnsi="Times New Roman" w:cs="Times New Roman"/>
          <w:color w:val="000000"/>
          <w:sz w:val="24"/>
          <w:szCs w:val="24"/>
        </w:rPr>
        <w:t xml:space="preserve"> </w:t>
      </w:r>
      <w:r w:rsidRPr="00FB3F45">
        <w:rPr>
          <w:rFonts w:ascii="Times New Roman" w:eastAsia="Times New Roman" w:hAnsi="Times New Roman" w:cs="Times New Roman"/>
          <w:color w:val="000000"/>
          <w:sz w:val="24"/>
          <w:szCs w:val="24"/>
        </w:rPr>
        <w:t>and approximately 20% of respondents cannot save any money in a month (</w:t>
      </w:r>
      <w:proofErr w:type="spellStart"/>
      <w:r w:rsidRPr="00FB3F45">
        <w:rPr>
          <w:rFonts w:ascii="Times New Roman" w:eastAsia="Times New Roman" w:hAnsi="Times New Roman" w:cs="Times New Roman"/>
          <w:color w:val="000000"/>
          <w:sz w:val="24"/>
          <w:szCs w:val="24"/>
        </w:rPr>
        <w:t>RinggitPlus</w:t>
      </w:r>
      <w:proofErr w:type="spellEnd"/>
      <w:r w:rsidRPr="00FB3F45">
        <w:rPr>
          <w:rFonts w:ascii="Times New Roman" w:eastAsia="Times New Roman" w:hAnsi="Times New Roman" w:cs="Times New Roman"/>
          <w:color w:val="000000"/>
          <w:sz w:val="24"/>
          <w:szCs w:val="24"/>
        </w:rPr>
        <w:t xml:space="preserve"> Financial Literacy Survey, 2024). Among youth, only around 17% of income is set aside for savings and investment, with even less going into investment alone (8%) (SC Youth Capital Market Survey, 2022). These figures indicate a worrying lack of saving behaviour among young Malaysians, underscoring the urgency of understanding the drivers behind this trend. Besides, </w:t>
      </w:r>
      <w:r w:rsidR="00FF49B0" w:rsidRPr="00FB3F45">
        <w:rPr>
          <w:rFonts w:ascii="Times New Roman" w:eastAsia="Times New Roman" w:hAnsi="Times New Roman" w:cs="Times New Roman"/>
          <w:color w:val="000000"/>
          <w:sz w:val="24"/>
          <w:szCs w:val="24"/>
        </w:rPr>
        <w:t>y</w:t>
      </w:r>
      <w:r w:rsidRPr="00FB3F45">
        <w:rPr>
          <w:rFonts w:ascii="Times New Roman" w:eastAsia="Times New Roman" w:hAnsi="Times New Roman" w:cs="Times New Roman"/>
          <w:color w:val="000000"/>
          <w:sz w:val="24"/>
          <w:szCs w:val="24"/>
        </w:rPr>
        <w:t>outh bankruptcies are increasing: 877 cases of bankruptcy among Malaysians aged 18–40 were recorded in 2024.</w:t>
      </w:r>
    </w:p>
    <w:p w14:paraId="7A9F1513" w14:textId="4F38CC9A" w:rsidR="00C0600B" w:rsidRPr="00FB3F45" w:rsidRDefault="00EB1169" w:rsidP="00AF3629">
      <w:pPr>
        <w:spacing w:after="0" w:line="240" w:lineRule="auto"/>
        <w:ind w:firstLine="720"/>
        <w:jc w:val="both"/>
        <w:rPr>
          <w:rFonts w:ascii="Times New Roman" w:eastAsia="Times New Roman" w:hAnsi="Times New Roman" w:cs="Times New Roman"/>
          <w:color w:val="000000"/>
          <w:sz w:val="24"/>
          <w:szCs w:val="24"/>
        </w:rPr>
      </w:pPr>
      <w:r w:rsidRPr="00FB3F45">
        <w:rPr>
          <w:rFonts w:ascii="Times New Roman" w:eastAsia="Times New Roman" w:hAnsi="Times New Roman" w:cs="Times New Roman"/>
          <w:color w:val="000000"/>
          <w:sz w:val="24"/>
          <w:szCs w:val="24"/>
        </w:rPr>
        <w:t>Although various financial education initiatives have been introduced by both the government and private sectors, their impact on actual saving behaviour among youth remains unclear. There is a pressing need to investigate the underlying factors that influence the saving habits of this demographic, including psychological, social and economic determinants. Most previous studies have focused on the saving behaviour of households, workers and retirees. As Otto (2009) notes, saving behaviour among young people</w:t>
      </w:r>
      <w:r w:rsidRPr="00FB3F45">
        <w:rPr>
          <w:rFonts w:ascii="Times New Roman" w:eastAsia="Times New Roman" w:hAnsi="Times New Roman" w:cs="Times New Roman"/>
          <w:color w:val="000000"/>
          <w:sz w:val="24"/>
          <w:szCs w:val="24"/>
          <w:lang w:val="en-US"/>
        </w:rPr>
        <w:t xml:space="preserve"> </w:t>
      </w:r>
      <w:r w:rsidRPr="00FB3F45">
        <w:rPr>
          <w:rFonts w:ascii="Times New Roman" w:eastAsia="Times New Roman" w:hAnsi="Times New Roman" w:cs="Times New Roman"/>
          <w:color w:val="000000"/>
          <w:sz w:val="24"/>
          <w:szCs w:val="24"/>
        </w:rPr>
        <w:t>such as university students</w:t>
      </w:r>
      <w:r w:rsidRPr="00FB3F45">
        <w:rPr>
          <w:rFonts w:ascii="Times New Roman" w:eastAsia="Times New Roman" w:hAnsi="Times New Roman" w:cs="Times New Roman"/>
          <w:color w:val="000000"/>
          <w:sz w:val="24"/>
          <w:szCs w:val="24"/>
          <w:lang w:val="en-US"/>
        </w:rPr>
        <w:t xml:space="preserve"> </w:t>
      </w:r>
      <w:r w:rsidRPr="00FB3F45">
        <w:rPr>
          <w:rFonts w:ascii="Times New Roman" w:eastAsia="Times New Roman" w:hAnsi="Times New Roman" w:cs="Times New Roman"/>
          <w:color w:val="000000"/>
          <w:sz w:val="24"/>
          <w:szCs w:val="24"/>
        </w:rPr>
        <w:t>has received relatively little attention. This study differs by specifically examining the influence of financial literacy, financial management, peer influence and self-control on the saving behaviour of Malaysian youth during the COVID-19 pandemic. Moreover, prior research has not sufficiently explored the relationship between financial knowledge and financial attitudes. Therefore, this study aims to examine the interplay between these variables. In addition, previous studies have not addressed how to enhance financial literacy during times of crisis, such as a pandemic. As a result, this study seeks to develop a comprehensive model of saving behaviour to help improve financial practices among youth during and after the COVID-19 pandemic.</w:t>
      </w:r>
    </w:p>
    <w:p w14:paraId="43F86666" w14:textId="510E0A29" w:rsidR="00C0600B" w:rsidRPr="00FB3F45" w:rsidRDefault="00EB1169" w:rsidP="00AF3629">
      <w:pPr>
        <w:spacing w:after="0" w:line="240" w:lineRule="auto"/>
        <w:ind w:firstLine="720"/>
        <w:jc w:val="both"/>
        <w:rPr>
          <w:rFonts w:ascii="Times New Roman" w:eastAsia="Times New Roman" w:hAnsi="Times New Roman" w:cs="Times New Roman"/>
          <w:color w:val="000000"/>
          <w:sz w:val="24"/>
          <w:szCs w:val="24"/>
        </w:rPr>
      </w:pPr>
      <w:r w:rsidRPr="00FB3F45">
        <w:rPr>
          <w:rFonts w:ascii="Times New Roman" w:eastAsia="Times New Roman" w:hAnsi="Times New Roman" w:cs="Times New Roman"/>
          <w:color w:val="000000"/>
          <w:sz w:val="24"/>
          <w:szCs w:val="24"/>
        </w:rPr>
        <w:t xml:space="preserve">This study specifically examines the saving behaviour of Malaysian youth. The term youth refers to young individuals within a specific age range. In Malaysia, the definition of youth has evolved over time. Currently, youth are defined as individuals between the ages of 15 and 40, based on the Youth Societies and Youth Development Act. However, a significant change will </w:t>
      </w:r>
      <w:r w:rsidRPr="00FB3F45">
        <w:rPr>
          <w:rFonts w:ascii="Times New Roman" w:eastAsia="Times New Roman" w:hAnsi="Times New Roman" w:cs="Times New Roman"/>
          <w:color w:val="000000"/>
          <w:sz w:val="24"/>
          <w:szCs w:val="24"/>
        </w:rPr>
        <w:lastRenderedPageBreak/>
        <w:t>take effect in 2026. In 2019, Malaysia passed a legal amendment to lower the youth age limit to 30, which will be implemented on January 1, 2026. This amendment aligns with Malaysia’s national youth policy and reflects global trends. The definition of youth is important in determining eligibility for participation in youth organizations and their role in society. This study aims to fill a gap in previous research by examining the relationship between financial literacy, financial management, peer influence and self-control on the saving behaviour of youth in Malaysia. Specifically, it seeks to develop a comprehensive financial literacy model to promote positive attitudes toward saving, particularly after the COVID-19 pandemic. The significance of this study lies in its focus on understanding how these key factors influence youth saving behaviour, with the broader goal of improving financial literacy among the millennial generation. There are several reasons why research on youth saving behaviour in Malaysia is important. Firstly, it can raise awareness and provide valuable insights for youth on the importance of saving. Secondly, the study can help the community understand the various benefits of saving, especially in times of financial crisis. For example, during emergencies</w:t>
      </w:r>
      <w:r w:rsidRPr="00FB3F45">
        <w:rPr>
          <w:rFonts w:ascii="Times New Roman" w:eastAsia="Times New Roman" w:hAnsi="Times New Roman" w:cs="Times New Roman"/>
          <w:color w:val="000000"/>
          <w:sz w:val="24"/>
          <w:szCs w:val="24"/>
          <w:lang w:val="en-US"/>
        </w:rPr>
        <w:t xml:space="preserve"> </w:t>
      </w:r>
      <w:r w:rsidRPr="00FB3F45">
        <w:rPr>
          <w:rFonts w:ascii="Times New Roman" w:eastAsia="Times New Roman" w:hAnsi="Times New Roman" w:cs="Times New Roman"/>
          <w:color w:val="000000"/>
          <w:sz w:val="24"/>
          <w:szCs w:val="24"/>
        </w:rPr>
        <w:t>such as when a family member faces financial hardship</w:t>
      </w:r>
      <w:r w:rsidRPr="00FB3F45">
        <w:rPr>
          <w:rFonts w:ascii="Times New Roman" w:eastAsia="Times New Roman" w:hAnsi="Times New Roman" w:cs="Times New Roman"/>
          <w:color w:val="000000"/>
          <w:sz w:val="24"/>
          <w:szCs w:val="24"/>
          <w:lang w:val="en-US"/>
        </w:rPr>
        <w:t xml:space="preserve"> </w:t>
      </w:r>
      <w:r w:rsidRPr="00FB3F45">
        <w:rPr>
          <w:rFonts w:ascii="Times New Roman" w:eastAsia="Times New Roman" w:hAnsi="Times New Roman" w:cs="Times New Roman"/>
          <w:color w:val="000000"/>
          <w:sz w:val="24"/>
          <w:szCs w:val="24"/>
        </w:rPr>
        <w:t>savings can provide much-needed support. Additionally, in the event of a national economic downturn, such as the one caused by the COVID-19 pandemic, many individuals lost their jobs and experienced reduced income for several months. In such situations, having savings can alleviate financial stress and help individuals manage daily expenses.</w:t>
      </w:r>
    </w:p>
    <w:p w14:paraId="2B7D317F" w14:textId="77777777" w:rsidR="00C0600B" w:rsidRPr="00FB3F45" w:rsidRDefault="00EB1169" w:rsidP="00AF3629">
      <w:pPr>
        <w:spacing w:after="0" w:line="240" w:lineRule="auto"/>
        <w:ind w:firstLine="720"/>
        <w:jc w:val="both"/>
        <w:rPr>
          <w:rFonts w:ascii="Times New Roman" w:eastAsia="Times New Roman" w:hAnsi="Times New Roman" w:cs="Times New Roman"/>
          <w:color w:val="000000"/>
          <w:sz w:val="24"/>
          <w:szCs w:val="24"/>
        </w:rPr>
      </w:pPr>
      <w:r w:rsidRPr="00FB3F45">
        <w:rPr>
          <w:rFonts w:ascii="Times New Roman" w:eastAsia="Times New Roman" w:hAnsi="Times New Roman" w:cs="Times New Roman"/>
          <w:color w:val="000000"/>
          <w:sz w:val="24"/>
          <w:szCs w:val="24"/>
        </w:rPr>
        <w:t>In conclusion, savings play a vital role in ensuring financial resilience. Therefore, it is crucial to provide young people with greater exposure to financial education and the importance of saving. This study is divided into several parts, the first being an introduction to saving behaviour. The second part is a previous study on saving behaviour with factors that affect saving behaviour and some empirical studies. The third part is the methodology which explains the method used for this study. In the fourth part, explain the results and findings of the study obtained from the respondents. Finally, the conclusion and references section.</w:t>
      </w:r>
      <w:r w:rsidRPr="00FB3F45">
        <w:rPr>
          <w:rFonts w:ascii="Times New Roman" w:eastAsia="Times New Roman" w:hAnsi="Times New Roman" w:cs="Times New Roman"/>
          <w:b/>
          <w:color w:val="000000"/>
          <w:sz w:val="24"/>
          <w:szCs w:val="24"/>
        </w:rPr>
        <w:t xml:space="preserve"> </w:t>
      </w:r>
    </w:p>
    <w:p w14:paraId="7CE091D3" w14:textId="77777777" w:rsidR="00C0600B" w:rsidRPr="00FB3F45" w:rsidRDefault="00EB1169" w:rsidP="00AF3629">
      <w:pPr>
        <w:spacing w:after="0" w:line="240" w:lineRule="auto"/>
        <w:ind w:hanging="2"/>
        <w:jc w:val="both"/>
        <w:rPr>
          <w:rFonts w:ascii="Times New Roman" w:eastAsia="Times New Roman" w:hAnsi="Times New Roman" w:cs="Times New Roman"/>
          <w:b/>
          <w:color w:val="000000"/>
          <w:sz w:val="24"/>
          <w:szCs w:val="24"/>
        </w:rPr>
      </w:pPr>
      <w:r w:rsidRPr="00FB3F45">
        <w:rPr>
          <w:rFonts w:ascii="Times New Roman" w:eastAsia="Times New Roman" w:hAnsi="Times New Roman" w:cs="Times New Roman"/>
          <w:b/>
          <w:color w:val="000000"/>
          <w:sz w:val="24"/>
          <w:szCs w:val="24"/>
        </w:rPr>
        <w:t xml:space="preserve"> </w:t>
      </w:r>
    </w:p>
    <w:p w14:paraId="386AB225" w14:textId="77777777" w:rsidR="00FF49B0" w:rsidRPr="00FB3F45" w:rsidRDefault="00FF49B0" w:rsidP="00AF3629">
      <w:pPr>
        <w:spacing w:after="0" w:line="240" w:lineRule="auto"/>
        <w:ind w:hanging="2"/>
        <w:jc w:val="both"/>
        <w:rPr>
          <w:rFonts w:ascii="Times New Roman" w:eastAsia="Times New Roman" w:hAnsi="Times New Roman" w:cs="Times New Roman"/>
          <w:color w:val="000000"/>
          <w:sz w:val="24"/>
          <w:szCs w:val="24"/>
        </w:rPr>
      </w:pPr>
    </w:p>
    <w:p w14:paraId="4E4750CD" w14:textId="77777777" w:rsidR="00C0600B" w:rsidRPr="00C62CC9" w:rsidRDefault="00EB1169" w:rsidP="00AF3629">
      <w:pPr>
        <w:spacing w:after="0" w:line="240" w:lineRule="auto"/>
        <w:ind w:hanging="2"/>
        <w:jc w:val="both"/>
        <w:rPr>
          <w:rFonts w:ascii="Times New Roman" w:eastAsia="Times New Roman" w:hAnsi="Times New Roman" w:cs="Times New Roman"/>
          <w:color w:val="000000"/>
          <w:sz w:val="24"/>
          <w:szCs w:val="24"/>
        </w:rPr>
      </w:pPr>
      <w:r w:rsidRPr="00C62CC9">
        <w:rPr>
          <w:rFonts w:ascii="Times New Roman" w:eastAsia="Times New Roman" w:hAnsi="Times New Roman" w:cs="Times New Roman"/>
          <w:b/>
          <w:color w:val="000000"/>
          <w:sz w:val="24"/>
          <w:szCs w:val="24"/>
        </w:rPr>
        <w:t xml:space="preserve">Literature review  </w:t>
      </w:r>
    </w:p>
    <w:p w14:paraId="097E5FA5" w14:textId="77777777" w:rsidR="00FF49B0" w:rsidRDefault="00FF49B0" w:rsidP="00AF3629">
      <w:pPr>
        <w:spacing w:after="0" w:line="240" w:lineRule="auto"/>
        <w:ind w:firstLine="0"/>
        <w:jc w:val="both"/>
        <w:rPr>
          <w:rFonts w:ascii="Times New Roman" w:eastAsia="Times New Roman" w:hAnsi="Times New Roman" w:cs="Times New Roman"/>
          <w:color w:val="000000"/>
          <w:sz w:val="24"/>
          <w:szCs w:val="24"/>
        </w:rPr>
      </w:pPr>
    </w:p>
    <w:p w14:paraId="20F399C6" w14:textId="5027EE9E" w:rsidR="00C0600B" w:rsidRPr="00C62CC9" w:rsidRDefault="00EB1169" w:rsidP="00AF3629">
      <w:pPr>
        <w:spacing w:after="0" w:line="240" w:lineRule="auto"/>
        <w:ind w:firstLine="0"/>
        <w:jc w:val="both"/>
        <w:rPr>
          <w:rFonts w:ascii="Times New Roman" w:eastAsia="Times New Roman" w:hAnsi="Times New Roman" w:cs="Times New Roman"/>
          <w:color w:val="000000"/>
          <w:sz w:val="24"/>
          <w:szCs w:val="24"/>
        </w:rPr>
      </w:pPr>
      <w:r w:rsidRPr="00C62CC9">
        <w:rPr>
          <w:rFonts w:ascii="Times New Roman" w:eastAsia="Times New Roman" w:hAnsi="Times New Roman" w:cs="Times New Roman"/>
          <w:color w:val="000000"/>
          <w:sz w:val="24"/>
          <w:szCs w:val="24"/>
        </w:rPr>
        <w:t xml:space="preserve">Several studies have examined what drives saving behaviour among young people. The literature generally identifies a cluster of psychological, social, economic and behavioural factors. According to </w:t>
      </w:r>
      <w:proofErr w:type="spellStart"/>
      <w:r w:rsidRPr="00C62CC9">
        <w:rPr>
          <w:rFonts w:ascii="Times New Roman" w:eastAsia="Times New Roman" w:hAnsi="Times New Roman" w:cs="Times New Roman"/>
          <w:color w:val="000000"/>
          <w:sz w:val="24"/>
          <w:szCs w:val="24"/>
        </w:rPr>
        <w:t>Aghion</w:t>
      </w:r>
      <w:proofErr w:type="spellEnd"/>
      <w:r w:rsidRPr="00C62CC9">
        <w:rPr>
          <w:rFonts w:ascii="Times New Roman" w:eastAsia="Times New Roman" w:hAnsi="Times New Roman" w:cs="Times New Roman"/>
          <w:color w:val="000000"/>
          <w:sz w:val="24"/>
          <w:szCs w:val="24"/>
        </w:rPr>
        <w:t xml:space="preserve"> et al. (2009), every individual should be able to manage their finances, particularly in terms of investment and savings. The balance left after deducting expenditure from available income is what Keynesian economists refer to as savings, which is essential for promoting long-term economic growth. The </w:t>
      </w:r>
      <w:proofErr w:type="spellStart"/>
      <w:r w:rsidRPr="00C62CC9">
        <w:rPr>
          <w:rFonts w:ascii="Times New Roman" w:eastAsia="Times New Roman" w:hAnsi="Times New Roman" w:cs="Times New Roman"/>
          <w:color w:val="000000"/>
          <w:sz w:val="24"/>
          <w:szCs w:val="24"/>
        </w:rPr>
        <w:t>Duesenberry-Nurkse</w:t>
      </w:r>
      <w:proofErr w:type="spellEnd"/>
      <w:r w:rsidRPr="00C62CC9">
        <w:rPr>
          <w:rFonts w:ascii="Times New Roman" w:eastAsia="Times New Roman" w:hAnsi="Times New Roman" w:cs="Times New Roman"/>
          <w:color w:val="000000"/>
          <w:sz w:val="24"/>
          <w:szCs w:val="24"/>
        </w:rPr>
        <w:t xml:space="preserve"> hypothesis of relative income suggests that increases in personal income are primarily used to increase consumption. This helps explain the low savings rates often observed in many less developed countries. However, individuals who experience significant increases in income tend to show higher consumption intensity as well as an increase in their savings ratio.</w:t>
      </w:r>
    </w:p>
    <w:p w14:paraId="3C5EF77A" w14:textId="7DB61EEA" w:rsidR="00C0600B" w:rsidRPr="00C62CC9" w:rsidRDefault="00EB1169" w:rsidP="00AF3629">
      <w:pPr>
        <w:spacing w:after="0" w:line="240" w:lineRule="auto"/>
        <w:ind w:firstLine="720"/>
        <w:jc w:val="both"/>
        <w:rPr>
          <w:rFonts w:ascii="Times New Roman" w:eastAsia="Times New Roman" w:hAnsi="Times New Roman" w:cs="Times New Roman"/>
          <w:color w:val="000000"/>
          <w:sz w:val="24"/>
          <w:szCs w:val="24"/>
        </w:rPr>
      </w:pPr>
      <w:r w:rsidRPr="00C62CC9">
        <w:rPr>
          <w:rFonts w:ascii="Times New Roman" w:eastAsia="Times New Roman" w:hAnsi="Times New Roman" w:cs="Times New Roman"/>
          <w:color w:val="000000"/>
          <w:sz w:val="24"/>
          <w:szCs w:val="24"/>
        </w:rPr>
        <w:t>Ando and Modigliani (1963, 1967) proposed two influential theories related to saving behaviour: the life-cycle hypothesis and the permanent income hypothesis</w:t>
      </w:r>
      <w:r w:rsidRPr="00C62CC9">
        <w:rPr>
          <w:rFonts w:ascii="Times New Roman" w:eastAsia="Times New Roman" w:hAnsi="Times New Roman" w:cs="Times New Roman"/>
          <w:color w:val="000000"/>
          <w:sz w:val="24"/>
          <w:szCs w:val="24"/>
          <w:lang w:val="en-US"/>
        </w:rPr>
        <w:t xml:space="preserve"> </w:t>
      </w:r>
      <w:r w:rsidRPr="00C62CC9">
        <w:rPr>
          <w:rFonts w:ascii="Times New Roman" w:eastAsia="Times New Roman" w:hAnsi="Times New Roman" w:cs="Times New Roman"/>
          <w:color w:val="000000"/>
          <w:sz w:val="24"/>
          <w:szCs w:val="24"/>
        </w:rPr>
        <w:t xml:space="preserve">both of which are widely recognized neoclassical theories of savings. These theories are based on the assumption that individuals and households are motivated by long-term consumption goals and they explain saving and spending behaviour in terms of expected future income. In today’s fast-paced and constantly changing world, millennials face unique challenges that shape their approach to saving. According to Crown (2002), young individuals often face significant financial commitments, such </w:t>
      </w:r>
      <w:r w:rsidRPr="00C62CC9">
        <w:rPr>
          <w:rFonts w:ascii="Times New Roman" w:eastAsia="Times New Roman" w:hAnsi="Times New Roman" w:cs="Times New Roman"/>
          <w:color w:val="000000"/>
          <w:sz w:val="24"/>
          <w:szCs w:val="24"/>
        </w:rPr>
        <w:lastRenderedPageBreak/>
        <w:t xml:space="preserve">as purchasing a home or paying for tuition, which makes it more difficult for them to save during their early years. Sam (2012) also notes that many young people do not take full advantage of available financial knowledge. He adds that undergraduate students often fail to apply financial management skills in their daily lives, which further contributes to poor saving habits.  According to </w:t>
      </w:r>
      <w:proofErr w:type="spellStart"/>
      <w:r w:rsidRPr="00C62CC9">
        <w:rPr>
          <w:rFonts w:ascii="Times New Roman" w:eastAsia="Times New Roman" w:hAnsi="Times New Roman" w:cs="Times New Roman"/>
          <w:color w:val="000000"/>
          <w:sz w:val="24"/>
          <w:szCs w:val="24"/>
        </w:rPr>
        <w:t>Jin</w:t>
      </w:r>
      <w:proofErr w:type="spellEnd"/>
      <w:r w:rsidRPr="00C62CC9">
        <w:rPr>
          <w:rFonts w:ascii="Times New Roman" w:eastAsia="Times New Roman" w:hAnsi="Times New Roman" w:cs="Times New Roman"/>
          <w:color w:val="000000"/>
          <w:sz w:val="24"/>
          <w:szCs w:val="24"/>
        </w:rPr>
        <w:t xml:space="preserve"> et al. (2021), due to the global impact of COVID-19, individuals are encouraged to save and adopt stronger saving behaviours to better manage future uncertainty and financial risks. A survey conducted in China by the Survey and Research </w:t>
      </w:r>
      <w:proofErr w:type="spellStart"/>
      <w:r w:rsidRPr="00C62CC9">
        <w:rPr>
          <w:rFonts w:ascii="Times New Roman" w:eastAsia="Times New Roman" w:hAnsi="Times New Roman" w:cs="Times New Roman"/>
          <w:color w:val="000000"/>
          <w:sz w:val="24"/>
          <w:szCs w:val="24"/>
        </w:rPr>
        <w:t>Center</w:t>
      </w:r>
      <w:proofErr w:type="spellEnd"/>
      <w:r w:rsidRPr="00C62CC9">
        <w:rPr>
          <w:rFonts w:ascii="Times New Roman" w:eastAsia="Times New Roman" w:hAnsi="Times New Roman" w:cs="Times New Roman"/>
          <w:color w:val="000000"/>
          <w:sz w:val="24"/>
          <w:szCs w:val="24"/>
        </w:rPr>
        <w:t xml:space="preserve"> for China Household Finance (2020) found that, compared to the same period the previous year (before the outbreak), more than half of Chinese families increased their savings and reduced their spending. This highlights a growing awareness of the importance of saving behaviour, particularly during emergencies. </w:t>
      </w:r>
      <w:proofErr w:type="spellStart"/>
      <w:r w:rsidRPr="00C62CC9">
        <w:rPr>
          <w:rFonts w:ascii="Times New Roman" w:eastAsia="Times New Roman" w:hAnsi="Times New Roman" w:cs="Times New Roman"/>
          <w:color w:val="000000"/>
          <w:sz w:val="24"/>
          <w:szCs w:val="24"/>
        </w:rPr>
        <w:t>Kadir</w:t>
      </w:r>
      <w:proofErr w:type="spellEnd"/>
      <w:r w:rsidRPr="00C62CC9">
        <w:rPr>
          <w:rFonts w:ascii="Times New Roman" w:eastAsia="Times New Roman" w:hAnsi="Times New Roman" w:cs="Times New Roman"/>
          <w:color w:val="000000"/>
          <w:sz w:val="24"/>
          <w:szCs w:val="24"/>
        </w:rPr>
        <w:t xml:space="preserve"> et al. (2021) employed T-tests and ANOVA to examine the relationships between financial literacy, parental socialization, peer influence, self-control, financial stress and saving behaviour. Among these factors, financial literacy</w:t>
      </w:r>
      <w:r w:rsidRPr="00C62CC9">
        <w:rPr>
          <w:rFonts w:ascii="Times New Roman" w:eastAsia="Times New Roman" w:hAnsi="Times New Roman" w:cs="Times New Roman"/>
          <w:color w:val="000000"/>
          <w:sz w:val="24"/>
          <w:szCs w:val="24"/>
          <w:lang w:val="en-US"/>
        </w:rPr>
        <w:t xml:space="preserve"> </w:t>
      </w:r>
      <w:r w:rsidRPr="00C62CC9">
        <w:rPr>
          <w:rFonts w:ascii="Times New Roman" w:eastAsia="Times New Roman" w:hAnsi="Times New Roman" w:cs="Times New Roman"/>
          <w:color w:val="000000"/>
          <w:sz w:val="24"/>
          <w:szCs w:val="24"/>
        </w:rPr>
        <w:t>widely studied in existing literature</w:t>
      </w:r>
      <w:r w:rsidRPr="00C62CC9">
        <w:rPr>
          <w:rFonts w:ascii="Times New Roman" w:eastAsia="Times New Roman" w:hAnsi="Times New Roman" w:cs="Times New Roman"/>
          <w:color w:val="000000"/>
          <w:sz w:val="24"/>
          <w:szCs w:val="24"/>
          <w:lang w:val="en-US"/>
        </w:rPr>
        <w:t xml:space="preserve"> </w:t>
      </w:r>
      <w:r w:rsidRPr="00C62CC9">
        <w:rPr>
          <w:rFonts w:ascii="Times New Roman" w:eastAsia="Times New Roman" w:hAnsi="Times New Roman" w:cs="Times New Roman"/>
          <w:color w:val="000000"/>
          <w:sz w:val="24"/>
          <w:szCs w:val="24"/>
        </w:rPr>
        <w:t xml:space="preserve">emerged as a key determinant in promoting saving behaviour. This indicates that young individuals with a strong understanding of financial concepts are better equipped to manage their spending, saving and investment decisions. These findings align with the work of </w:t>
      </w:r>
      <w:proofErr w:type="spellStart"/>
      <w:r w:rsidRPr="00C62CC9">
        <w:rPr>
          <w:rFonts w:ascii="Times New Roman" w:eastAsia="Times New Roman" w:hAnsi="Times New Roman" w:cs="Times New Roman"/>
          <w:color w:val="000000"/>
          <w:sz w:val="24"/>
          <w:szCs w:val="24"/>
        </w:rPr>
        <w:t>Sundarasen</w:t>
      </w:r>
      <w:proofErr w:type="spellEnd"/>
      <w:r w:rsidRPr="00C62CC9">
        <w:rPr>
          <w:rFonts w:ascii="Times New Roman" w:eastAsia="Times New Roman" w:hAnsi="Times New Roman" w:cs="Times New Roman"/>
          <w:color w:val="000000"/>
          <w:sz w:val="24"/>
          <w:szCs w:val="24"/>
        </w:rPr>
        <w:t xml:space="preserve">, Rahman, Othman and </w:t>
      </w:r>
      <w:proofErr w:type="spellStart"/>
      <w:r w:rsidRPr="00C62CC9">
        <w:rPr>
          <w:rFonts w:ascii="Times New Roman" w:eastAsia="Times New Roman" w:hAnsi="Times New Roman" w:cs="Times New Roman"/>
          <w:color w:val="000000"/>
          <w:sz w:val="24"/>
          <w:szCs w:val="24"/>
        </w:rPr>
        <w:t>Danaraj</w:t>
      </w:r>
      <w:proofErr w:type="spellEnd"/>
      <w:r w:rsidRPr="00C62CC9">
        <w:rPr>
          <w:rFonts w:ascii="Times New Roman" w:eastAsia="Times New Roman" w:hAnsi="Times New Roman" w:cs="Times New Roman"/>
          <w:color w:val="000000"/>
          <w:sz w:val="24"/>
          <w:szCs w:val="24"/>
        </w:rPr>
        <w:t xml:space="preserve"> (2016), Shim (2010) and </w:t>
      </w:r>
      <w:proofErr w:type="spellStart"/>
      <w:r w:rsidRPr="00C62CC9">
        <w:rPr>
          <w:rFonts w:ascii="Times New Roman" w:eastAsia="Times New Roman" w:hAnsi="Times New Roman" w:cs="Times New Roman"/>
          <w:color w:val="000000"/>
          <w:sz w:val="24"/>
          <w:szCs w:val="24"/>
        </w:rPr>
        <w:t>Hilgert</w:t>
      </w:r>
      <w:proofErr w:type="spellEnd"/>
      <w:r w:rsidRPr="00C62CC9">
        <w:rPr>
          <w:rFonts w:ascii="Times New Roman" w:eastAsia="Times New Roman" w:hAnsi="Times New Roman" w:cs="Times New Roman"/>
          <w:color w:val="000000"/>
          <w:sz w:val="24"/>
          <w:szCs w:val="24"/>
        </w:rPr>
        <w:t xml:space="preserve"> et al. (2003), who also concluded that financial literacy has a positive impact on both saving and investing habits. Interestingly, </w:t>
      </w:r>
      <w:proofErr w:type="spellStart"/>
      <w:r w:rsidRPr="00C62CC9">
        <w:rPr>
          <w:rFonts w:ascii="Times New Roman" w:eastAsia="Times New Roman" w:hAnsi="Times New Roman" w:cs="Times New Roman"/>
          <w:color w:val="000000"/>
          <w:sz w:val="24"/>
          <w:szCs w:val="24"/>
        </w:rPr>
        <w:t>Kadir</w:t>
      </w:r>
      <w:proofErr w:type="spellEnd"/>
      <w:r w:rsidRPr="00C62CC9">
        <w:rPr>
          <w:rFonts w:ascii="Times New Roman" w:eastAsia="Times New Roman" w:hAnsi="Times New Roman" w:cs="Times New Roman"/>
          <w:color w:val="000000"/>
          <w:sz w:val="24"/>
          <w:szCs w:val="24"/>
        </w:rPr>
        <w:t xml:space="preserve"> et al. (2021) also found that self-control had no significant relationship with saving behaviour, suggesting that knowledge and education may play a more critical role than personal discipline in shaping financial practices. </w:t>
      </w:r>
    </w:p>
    <w:p w14:paraId="2248E627" w14:textId="4ECD04C6" w:rsidR="00C0600B" w:rsidRPr="00C62CC9" w:rsidRDefault="00EB1169" w:rsidP="00AF3629">
      <w:pPr>
        <w:spacing w:after="0" w:line="240" w:lineRule="auto"/>
        <w:ind w:firstLine="720"/>
        <w:jc w:val="both"/>
        <w:rPr>
          <w:rFonts w:ascii="Times New Roman" w:eastAsia="Times New Roman" w:hAnsi="Times New Roman" w:cs="Times New Roman"/>
          <w:color w:val="000000"/>
          <w:sz w:val="24"/>
          <w:szCs w:val="24"/>
        </w:rPr>
      </w:pPr>
      <w:proofErr w:type="spellStart"/>
      <w:r w:rsidRPr="00C62CC9">
        <w:rPr>
          <w:rFonts w:ascii="Times New Roman" w:eastAsia="Times New Roman" w:hAnsi="Times New Roman" w:cs="Times New Roman"/>
          <w:color w:val="000000"/>
          <w:sz w:val="24"/>
          <w:szCs w:val="24"/>
        </w:rPr>
        <w:t>Kassim</w:t>
      </w:r>
      <w:proofErr w:type="spellEnd"/>
      <w:r w:rsidRPr="00C62CC9">
        <w:rPr>
          <w:rFonts w:ascii="Times New Roman" w:eastAsia="Times New Roman" w:hAnsi="Times New Roman" w:cs="Times New Roman"/>
          <w:color w:val="000000"/>
          <w:sz w:val="24"/>
          <w:szCs w:val="24"/>
        </w:rPr>
        <w:t xml:space="preserve"> et al. (2020) found that students' saving behaviour is influenced by their family background, educational level and financial knowledge, as shown through multiple regression analysis. The study also highlights the important role parents play in fostering saving habits among young people. Furthermore, the results indicate that students with strong financial literacy are more likely to engage in saving behaviour. As briefly mentioned in the introduction, there is limited research on saving behaviour among youth after the COVID-19 pandemic. While some studies, such as </w:t>
      </w:r>
      <w:proofErr w:type="spellStart"/>
      <w:r w:rsidRPr="00C62CC9">
        <w:rPr>
          <w:rFonts w:ascii="Times New Roman" w:eastAsia="Times New Roman" w:hAnsi="Times New Roman" w:cs="Times New Roman"/>
          <w:color w:val="000000"/>
          <w:sz w:val="24"/>
          <w:szCs w:val="24"/>
        </w:rPr>
        <w:t>Yudha</w:t>
      </w:r>
      <w:proofErr w:type="spellEnd"/>
      <w:r w:rsidRPr="00C62CC9">
        <w:rPr>
          <w:rFonts w:ascii="Times New Roman" w:eastAsia="Times New Roman" w:hAnsi="Times New Roman" w:cs="Times New Roman"/>
          <w:color w:val="000000"/>
          <w:sz w:val="24"/>
          <w:szCs w:val="24"/>
        </w:rPr>
        <w:t xml:space="preserve"> and </w:t>
      </w:r>
      <w:proofErr w:type="spellStart"/>
      <w:r w:rsidRPr="00C62CC9">
        <w:rPr>
          <w:rFonts w:ascii="Times New Roman" w:eastAsia="Times New Roman" w:hAnsi="Times New Roman" w:cs="Times New Roman"/>
          <w:color w:val="000000"/>
          <w:sz w:val="24"/>
          <w:szCs w:val="24"/>
        </w:rPr>
        <w:t>Martanti</w:t>
      </w:r>
      <w:proofErr w:type="spellEnd"/>
      <w:r w:rsidRPr="00C62CC9">
        <w:rPr>
          <w:rFonts w:ascii="Times New Roman" w:eastAsia="Times New Roman" w:hAnsi="Times New Roman" w:cs="Times New Roman"/>
          <w:color w:val="000000"/>
          <w:sz w:val="24"/>
          <w:szCs w:val="24"/>
        </w:rPr>
        <w:t xml:space="preserve"> (2022), have been conducted on related topics, they do not specifically focus on youth’s saving behaviour after the pandemic. </w:t>
      </w:r>
      <w:proofErr w:type="spellStart"/>
      <w:r w:rsidRPr="00C62CC9">
        <w:rPr>
          <w:rFonts w:ascii="Times New Roman" w:eastAsia="Times New Roman" w:hAnsi="Times New Roman" w:cs="Times New Roman"/>
          <w:color w:val="000000"/>
          <w:sz w:val="24"/>
          <w:szCs w:val="24"/>
        </w:rPr>
        <w:t>Dewi</w:t>
      </w:r>
      <w:proofErr w:type="spellEnd"/>
      <w:r w:rsidRPr="00C62CC9">
        <w:rPr>
          <w:rFonts w:ascii="Times New Roman" w:eastAsia="Times New Roman" w:hAnsi="Times New Roman" w:cs="Times New Roman"/>
          <w:color w:val="000000"/>
          <w:sz w:val="24"/>
          <w:szCs w:val="24"/>
        </w:rPr>
        <w:t xml:space="preserve"> (2022) notes that in recent years, there has been a significant global increase in financial literacy. However, many individuals still lack awareness of how financial literacy can impact their future. Numerous studies have shown that financial literacy significantly influences financial behaviour. For instance, Lusardi and </w:t>
      </w:r>
      <w:proofErr w:type="spellStart"/>
      <w:r w:rsidRPr="00C62CC9">
        <w:rPr>
          <w:rFonts w:ascii="Times New Roman" w:eastAsia="Times New Roman" w:hAnsi="Times New Roman" w:cs="Times New Roman"/>
          <w:color w:val="000000"/>
          <w:sz w:val="24"/>
          <w:szCs w:val="24"/>
        </w:rPr>
        <w:t>Tufano</w:t>
      </w:r>
      <w:proofErr w:type="spellEnd"/>
      <w:r w:rsidRPr="00C62CC9">
        <w:rPr>
          <w:rFonts w:ascii="Times New Roman" w:eastAsia="Times New Roman" w:hAnsi="Times New Roman" w:cs="Times New Roman"/>
          <w:color w:val="000000"/>
          <w:sz w:val="24"/>
          <w:szCs w:val="24"/>
        </w:rPr>
        <w:t xml:space="preserve"> (2009) found that individuals with low financial literacy are more likely to experience debt problems. In addition, several academic studies have identified social and demographic factors as key determinants of financial literacy (</w:t>
      </w:r>
      <w:proofErr w:type="spellStart"/>
      <w:r w:rsidRPr="00C62CC9">
        <w:rPr>
          <w:rFonts w:ascii="Times New Roman" w:eastAsia="Times New Roman" w:hAnsi="Times New Roman" w:cs="Times New Roman"/>
          <w:color w:val="000000"/>
          <w:sz w:val="24"/>
          <w:szCs w:val="24"/>
        </w:rPr>
        <w:t>Bhushan</w:t>
      </w:r>
      <w:proofErr w:type="spellEnd"/>
      <w:r w:rsidRPr="00C62CC9">
        <w:rPr>
          <w:rFonts w:ascii="Times New Roman" w:eastAsia="Times New Roman" w:hAnsi="Times New Roman" w:cs="Times New Roman"/>
          <w:color w:val="000000"/>
          <w:sz w:val="24"/>
          <w:szCs w:val="24"/>
        </w:rPr>
        <w:t xml:space="preserve"> &amp; </w:t>
      </w:r>
      <w:proofErr w:type="spellStart"/>
      <w:r w:rsidRPr="00C62CC9">
        <w:rPr>
          <w:rFonts w:ascii="Times New Roman" w:eastAsia="Times New Roman" w:hAnsi="Times New Roman" w:cs="Times New Roman"/>
          <w:color w:val="000000"/>
          <w:sz w:val="24"/>
          <w:szCs w:val="24"/>
        </w:rPr>
        <w:t>Medury</w:t>
      </w:r>
      <w:proofErr w:type="spellEnd"/>
      <w:r w:rsidRPr="00C62CC9">
        <w:rPr>
          <w:rFonts w:ascii="Times New Roman" w:eastAsia="Times New Roman" w:hAnsi="Times New Roman" w:cs="Times New Roman"/>
          <w:color w:val="000000"/>
          <w:sz w:val="24"/>
          <w:szCs w:val="24"/>
        </w:rPr>
        <w:t xml:space="preserve">, 2013; Garg &amp; Singh, 2018; </w:t>
      </w:r>
      <w:proofErr w:type="spellStart"/>
      <w:r w:rsidRPr="00C62CC9">
        <w:rPr>
          <w:rFonts w:ascii="Times New Roman" w:eastAsia="Times New Roman" w:hAnsi="Times New Roman" w:cs="Times New Roman"/>
          <w:color w:val="000000"/>
          <w:sz w:val="24"/>
          <w:szCs w:val="24"/>
        </w:rPr>
        <w:t>Cucinelli</w:t>
      </w:r>
      <w:proofErr w:type="spellEnd"/>
      <w:r w:rsidRPr="00C62CC9">
        <w:rPr>
          <w:rFonts w:ascii="Times New Roman" w:eastAsia="Times New Roman" w:hAnsi="Times New Roman" w:cs="Times New Roman"/>
          <w:color w:val="000000"/>
          <w:sz w:val="24"/>
          <w:szCs w:val="24"/>
        </w:rPr>
        <w:t xml:space="preserve"> et al., 2019; </w:t>
      </w:r>
      <w:proofErr w:type="spellStart"/>
      <w:r w:rsidRPr="00C62CC9">
        <w:rPr>
          <w:rFonts w:ascii="Times New Roman" w:eastAsia="Times New Roman" w:hAnsi="Times New Roman" w:cs="Times New Roman"/>
          <w:color w:val="000000"/>
          <w:sz w:val="24"/>
          <w:szCs w:val="24"/>
        </w:rPr>
        <w:t>Kadoya</w:t>
      </w:r>
      <w:proofErr w:type="spellEnd"/>
      <w:r w:rsidRPr="00C62CC9">
        <w:rPr>
          <w:rFonts w:ascii="Times New Roman" w:eastAsia="Times New Roman" w:hAnsi="Times New Roman" w:cs="Times New Roman"/>
          <w:color w:val="000000"/>
          <w:sz w:val="24"/>
          <w:szCs w:val="24"/>
        </w:rPr>
        <w:t xml:space="preserve"> &amp; Khan, 2020). Age is one of the major contributing factors, with low levels of financial literacy observed among both young and older populations (</w:t>
      </w:r>
      <w:proofErr w:type="spellStart"/>
      <w:r w:rsidRPr="00C62CC9">
        <w:rPr>
          <w:rFonts w:ascii="Times New Roman" w:eastAsia="Times New Roman" w:hAnsi="Times New Roman" w:cs="Times New Roman"/>
          <w:color w:val="000000"/>
          <w:sz w:val="24"/>
          <w:szCs w:val="24"/>
        </w:rPr>
        <w:t>Bajo</w:t>
      </w:r>
      <w:proofErr w:type="spellEnd"/>
      <w:r w:rsidRPr="00C62CC9">
        <w:rPr>
          <w:rFonts w:ascii="Times New Roman" w:eastAsia="Times New Roman" w:hAnsi="Times New Roman" w:cs="Times New Roman"/>
          <w:color w:val="000000"/>
          <w:sz w:val="24"/>
          <w:szCs w:val="24"/>
        </w:rPr>
        <w:t xml:space="preserve"> et al., 2015; </w:t>
      </w:r>
      <w:proofErr w:type="spellStart"/>
      <w:r w:rsidRPr="00C62CC9">
        <w:rPr>
          <w:rFonts w:ascii="Times New Roman" w:eastAsia="Times New Roman" w:hAnsi="Times New Roman" w:cs="Times New Roman"/>
          <w:color w:val="000000"/>
          <w:sz w:val="24"/>
          <w:szCs w:val="24"/>
        </w:rPr>
        <w:t>Bawre</w:t>
      </w:r>
      <w:proofErr w:type="spellEnd"/>
      <w:r w:rsidRPr="00C62CC9">
        <w:rPr>
          <w:rFonts w:ascii="Times New Roman" w:eastAsia="Times New Roman" w:hAnsi="Times New Roman" w:cs="Times New Roman"/>
          <w:color w:val="000000"/>
          <w:sz w:val="24"/>
          <w:szCs w:val="24"/>
        </w:rPr>
        <w:t xml:space="preserve"> &amp; </w:t>
      </w:r>
      <w:proofErr w:type="spellStart"/>
      <w:r w:rsidRPr="00C62CC9">
        <w:rPr>
          <w:rFonts w:ascii="Times New Roman" w:eastAsia="Times New Roman" w:hAnsi="Times New Roman" w:cs="Times New Roman"/>
          <w:color w:val="000000"/>
          <w:sz w:val="24"/>
          <w:szCs w:val="24"/>
        </w:rPr>
        <w:t>Kar</w:t>
      </w:r>
      <w:proofErr w:type="spellEnd"/>
      <w:r w:rsidRPr="00C62CC9">
        <w:rPr>
          <w:rFonts w:ascii="Times New Roman" w:eastAsia="Times New Roman" w:hAnsi="Times New Roman" w:cs="Times New Roman"/>
          <w:color w:val="000000"/>
          <w:sz w:val="24"/>
          <w:szCs w:val="24"/>
        </w:rPr>
        <w:t>, 2019). Garg and Singh (2018) also found that young people globally tend to have particularly low levels of financial literacy.</w:t>
      </w:r>
    </w:p>
    <w:p w14:paraId="61B2300C" w14:textId="7E58627B" w:rsidR="00C0600B" w:rsidRPr="00C62CC9" w:rsidRDefault="00EB1169" w:rsidP="00AF3629">
      <w:pPr>
        <w:spacing w:after="0" w:line="240" w:lineRule="auto"/>
        <w:ind w:firstLine="720"/>
        <w:jc w:val="both"/>
        <w:rPr>
          <w:rFonts w:ascii="Times New Roman" w:eastAsia="Times New Roman" w:hAnsi="Times New Roman" w:cs="Times New Roman"/>
          <w:color w:val="000000"/>
          <w:sz w:val="24"/>
          <w:szCs w:val="24"/>
        </w:rPr>
      </w:pPr>
      <w:r w:rsidRPr="00C62CC9">
        <w:rPr>
          <w:rFonts w:ascii="Times New Roman" w:eastAsia="Times New Roman" w:hAnsi="Times New Roman" w:cs="Times New Roman"/>
          <w:color w:val="000000"/>
          <w:sz w:val="24"/>
          <w:szCs w:val="24"/>
        </w:rPr>
        <w:t>Financial literacy has been shown to influence saving behaviour (</w:t>
      </w:r>
      <w:proofErr w:type="spellStart"/>
      <w:r w:rsidRPr="00C62CC9">
        <w:rPr>
          <w:rFonts w:ascii="Times New Roman" w:eastAsia="Times New Roman" w:hAnsi="Times New Roman" w:cs="Times New Roman"/>
          <w:color w:val="000000"/>
          <w:sz w:val="24"/>
          <w:szCs w:val="24"/>
        </w:rPr>
        <w:t>Kadir</w:t>
      </w:r>
      <w:proofErr w:type="spellEnd"/>
      <w:r w:rsidRPr="00C62CC9">
        <w:rPr>
          <w:rFonts w:ascii="Times New Roman" w:eastAsia="Times New Roman" w:hAnsi="Times New Roman" w:cs="Times New Roman"/>
          <w:color w:val="000000"/>
          <w:sz w:val="24"/>
          <w:szCs w:val="24"/>
        </w:rPr>
        <w:t xml:space="preserve"> et al., 2021). Financial literacy has become increasingly important, especially in the context of the COVID-19 pandemic, which has had widespread economic impacts. Studies have shown that individuals with strong financial knowledge are better prepared to handle financial challenges and are less likely to face issues related to emergency expenses (</w:t>
      </w:r>
      <w:proofErr w:type="spellStart"/>
      <w:r w:rsidRPr="00C62CC9">
        <w:rPr>
          <w:rFonts w:ascii="Times New Roman" w:eastAsia="Times New Roman" w:hAnsi="Times New Roman" w:cs="Times New Roman"/>
          <w:color w:val="000000"/>
          <w:sz w:val="24"/>
          <w:szCs w:val="24"/>
        </w:rPr>
        <w:t>Chhatwani</w:t>
      </w:r>
      <w:proofErr w:type="spellEnd"/>
      <w:r w:rsidRPr="00C62CC9">
        <w:rPr>
          <w:rFonts w:ascii="Times New Roman" w:eastAsia="Times New Roman" w:hAnsi="Times New Roman" w:cs="Times New Roman"/>
          <w:color w:val="000000"/>
          <w:sz w:val="24"/>
          <w:szCs w:val="24"/>
        </w:rPr>
        <w:t xml:space="preserve"> &amp; Mishra, 2021; </w:t>
      </w:r>
      <w:proofErr w:type="spellStart"/>
      <w:r w:rsidRPr="00C62CC9">
        <w:rPr>
          <w:rFonts w:ascii="Times New Roman" w:eastAsia="Times New Roman" w:hAnsi="Times New Roman" w:cs="Times New Roman"/>
          <w:color w:val="000000"/>
          <w:sz w:val="24"/>
          <w:szCs w:val="24"/>
        </w:rPr>
        <w:t>Karakara</w:t>
      </w:r>
      <w:proofErr w:type="spellEnd"/>
      <w:r w:rsidRPr="00C62CC9">
        <w:rPr>
          <w:rFonts w:ascii="Times New Roman" w:eastAsia="Times New Roman" w:hAnsi="Times New Roman" w:cs="Times New Roman"/>
          <w:color w:val="000000"/>
          <w:sz w:val="24"/>
          <w:szCs w:val="24"/>
        </w:rPr>
        <w:t xml:space="preserve"> et al., 2021). Besides, Financial management refers to behaviours related to money management, budgeting, investment, insurance and retirement planning (Mien &amp; Thao, 2015). According to </w:t>
      </w:r>
      <w:proofErr w:type="spellStart"/>
      <w:r w:rsidRPr="00C62CC9">
        <w:rPr>
          <w:rFonts w:ascii="Times New Roman" w:eastAsia="Times New Roman" w:hAnsi="Times New Roman" w:cs="Times New Roman"/>
          <w:color w:val="000000"/>
          <w:sz w:val="24"/>
          <w:szCs w:val="24"/>
        </w:rPr>
        <w:t>Krah</w:t>
      </w:r>
      <w:proofErr w:type="spellEnd"/>
      <w:r w:rsidRPr="00C62CC9">
        <w:rPr>
          <w:rFonts w:ascii="Times New Roman" w:eastAsia="Times New Roman" w:hAnsi="Times New Roman" w:cs="Times New Roman"/>
          <w:color w:val="000000"/>
          <w:sz w:val="24"/>
          <w:szCs w:val="24"/>
        </w:rPr>
        <w:t xml:space="preserve"> et al. (2014), individuals who neglect financial management are unable to handle money wisely. He also </w:t>
      </w:r>
      <w:r w:rsidRPr="00C62CC9">
        <w:rPr>
          <w:rFonts w:ascii="Times New Roman" w:eastAsia="Times New Roman" w:hAnsi="Times New Roman" w:cs="Times New Roman"/>
          <w:color w:val="000000"/>
          <w:sz w:val="24"/>
          <w:szCs w:val="24"/>
        </w:rPr>
        <w:lastRenderedPageBreak/>
        <w:t xml:space="preserve">identified several factors that influence financial management, including setting spending limits, allocating funds within those limits, evaluating financial performance and monitoring expenditures. </w:t>
      </w:r>
      <w:proofErr w:type="spellStart"/>
      <w:r w:rsidRPr="00C62CC9">
        <w:rPr>
          <w:rFonts w:ascii="Times New Roman" w:eastAsia="Times New Roman" w:hAnsi="Times New Roman" w:cs="Times New Roman"/>
          <w:color w:val="000000"/>
          <w:sz w:val="24"/>
          <w:szCs w:val="24"/>
        </w:rPr>
        <w:t>Montandon</w:t>
      </w:r>
      <w:proofErr w:type="spellEnd"/>
      <w:r w:rsidRPr="00C62CC9">
        <w:rPr>
          <w:rFonts w:ascii="Times New Roman" w:eastAsia="Times New Roman" w:hAnsi="Times New Roman" w:cs="Times New Roman"/>
          <w:color w:val="000000"/>
          <w:sz w:val="24"/>
          <w:szCs w:val="24"/>
        </w:rPr>
        <w:t xml:space="preserve"> (2014) noted that Generation Y, or young people, are often described as being easily influenced by their peers, which supports the view that they are susceptible to social influence. He further explained that the mentality of youth is particularly vulnerable when it comes to both physical and social proximity. </w:t>
      </w:r>
    </w:p>
    <w:p w14:paraId="0BEA19F3" w14:textId="77777777" w:rsidR="00C0600B" w:rsidRPr="00C62CC9" w:rsidRDefault="00EB1169" w:rsidP="00AF3629">
      <w:pPr>
        <w:spacing w:after="0" w:line="240" w:lineRule="auto"/>
        <w:ind w:firstLine="720"/>
        <w:jc w:val="both"/>
        <w:rPr>
          <w:rFonts w:ascii="Times New Roman" w:eastAsia="Times New Roman" w:hAnsi="Times New Roman" w:cs="Times New Roman"/>
          <w:color w:val="000000"/>
          <w:sz w:val="24"/>
          <w:szCs w:val="24"/>
        </w:rPr>
      </w:pPr>
      <w:r w:rsidRPr="00C62CC9">
        <w:rPr>
          <w:rFonts w:ascii="Times New Roman" w:eastAsia="Times New Roman" w:hAnsi="Times New Roman" w:cs="Times New Roman"/>
          <w:color w:val="000000"/>
          <w:sz w:val="24"/>
          <w:szCs w:val="24"/>
        </w:rPr>
        <w:t>Individuals who are better able to exercise self-control in managing their finances tend to display more responsible financial behaviour and make better use of their financial resources. According to De Ridder et al. (2012), a high level of self-control enhances an individual's ability to achieve personal goals and increases competitiveness in various aspects of life. They also emphasized that those who manage their money wisely and demonstrate strong self-control are more likely to succeed in achieving their financial objectives. However, not all individuals are capable of exercising such discipline. According to Lindner et al. (2015), effective personal financial management requires not only discipline to follow financial guidelines but also the adaptability to respond to changing circumstances that may impact self-control.</w:t>
      </w:r>
    </w:p>
    <w:p w14:paraId="2EF22DBC" w14:textId="2E9921A6" w:rsidR="00C0600B" w:rsidRPr="00C62CC9" w:rsidRDefault="00EB1169" w:rsidP="00AF3629">
      <w:pPr>
        <w:spacing w:after="0" w:line="240" w:lineRule="auto"/>
        <w:ind w:firstLine="720"/>
        <w:jc w:val="both"/>
        <w:rPr>
          <w:rFonts w:ascii="Times New Roman" w:eastAsia="Times New Roman" w:hAnsi="Times New Roman" w:cs="Times New Roman"/>
          <w:color w:val="000000"/>
          <w:sz w:val="24"/>
          <w:szCs w:val="24"/>
        </w:rPr>
      </w:pPr>
      <w:r w:rsidRPr="00C62CC9">
        <w:rPr>
          <w:rFonts w:ascii="Times New Roman" w:eastAsia="Times New Roman" w:hAnsi="Times New Roman" w:cs="Times New Roman"/>
          <w:color w:val="000000"/>
          <w:sz w:val="24"/>
          <w:szCs w:val="24"/>
        </w:rPr>
        <w:t xml:space="preserve">Recent studies in Malaysia, including </w:t>
      </w:r>
      <w:proofErr w:type="spellStart"/>
      <w:r w:rsidRPr="00C62CC9">
        <w:rPr>
          <w:rFonts w:ascii="Times New Roman" w:eastAsia="Times New Roman" w:hAnsi="Times New Roman" w:cs="Times New Roman"/>
          <w:color w:val="000000"/>
          <w:sz w:val="24"/>
          <w:szCs w:val="24"/>
        </w:rPr>
        <w:t>Mohd</w:t>
      </w:r>
      <w:proofErr w:type="spellEnd"/>
      <w:r w:rsidRPr="00C62CC9">
        <w:rPr>
          <w:rFonts w:ascii="Times New Roman" w:eastAsia="Times New Roman" w:hAnsi="Times New Roman" w:cs="Times New Roman"/>
          <w:color w:val="000000"/>
          <w:sz w:val="24"/>
          <w:szCs w:val="24"/>
        </w:rPr>
        <w:t xml:space="preserve"> Isa and Kim (2024), have found that financial literacy has a significant positive effect on saving behaviour among youth, along with attitudes and peer influence. However, perceived behavioural control (self-efficacy) was found to have a weaker impact on the saving behaviour of Malaysian youth. Additionally, youth attitudes may be shaped by recent shocks</w:t>
      </w:r>
      <w:r w:rsidR="00FF49B0">
        <w:rPr>
          <w:rFonts w:ascii="Times New Roman" w:eastAsia="Times New Roman" w:hAnsi="Times New Roman" w:cs="Times New Roman"/>
          <w:color w:val="000000"/>
          <w:sz w:val="24"/>
          <w:szCs w:val="24"/>
        </w:rPr>
        <w:t xml:space="preserve"> </w:t>
      </w:r>
      <w:r w:rsidRPr="00C62CC9">
        <w:rPr>
          <w:rFonts w:ascii="Times New Roman" w:eastAsia="Times New Roman" w:hAnsi="Times New Roman" w:cs="Times New Roman"/>
          <w:color w:val="000000"/>
          <w:sz w:val="24"/>
          <w:szCs w:val="24"/>
        </w:rPr>
        <w:t>such as economic downturns and the COVID-19 pandemic</w:t>
      </w:r>
      <w:r w:rsidRPr="00C62CC9">
        <w:rPr>
          <w:rFonts w:ascii="Times New Roman" w:eastAsia="Times New Roman" w:hAnsi="Times New Roman" w:cs="Times New Roman"/>
          <w:color w:val="000000"/>
          <w:sz w:val="24"/>
          <w:szCs w:val="24"/>
          <w:lang w:val="en-US"/>
        </w:rPr>
        <w:t xml:space="preserve"> </w:t>
      </w:r>
      <w:r w:rsidRPr="00C62CC9">
        <w:rPr>
          <w:rFonts w:ascii="Times New Roman" w:eastAsia="Times New Roman" w:hAnsi="Times New Roman" w:cs="Times New Roman"/>
          <w:color w:val="000000"/>
          <w:sz w:val="24"/>
          <w:szCs w:val="24"/>
        </w:rPr>
        <w:t xml:space="preserve">which have made them more risk-averse and more aware of the importance of having financial buffers. A study by </w:t>
      </w:r>
      <w:proofErr w:type="spellStart"/>
      <w:r w:rsidRPr="00C62CC9">
        <w:rPr>
          <w:rFonts w:ascii="Times New Roman" w:eastAsia="Times New Roman" w:hAnsi="Times New Roman" w:cs="Times New Roman"/>
          <w:color w:val="000000"/>
          <w:sz w:val="24"/>
          <w:szCs w:val="24"/>
        </w:rPr>
        <w:t>Jemey</w:t>
      </w:r>
      <w:proofErr w:type="spellEnd"/>
      <w:r w:rsidRPr="00C62CC9">
        <w:rPr>
          <w:rFonts w:ascii="Times New Roman" w:eastAsia="Times New Roman" w:hAnsi="Times New Roman" w:cs="Times New Roman"/>
          <w:color w:val="000000"/>
          <w:sz w:val="24"/>
          <w:szCs w:val="24"/>
        </w:rPr>
        <w:t xml:space="preserve"> and </w:t>
      </w:r>
      <w:proofErr w:type="spellStart"/>
      <w:r w:rsidRPr="00C62CC9">
        <w:rPr>
          <w:rFonts w:ascii="Times New Roman" w:eastAsia="Times New Roman" w:hAnsi="Times New Roman" w:cs="Times New Roman"/>
          <w:color w:val="000000"/>
          <w:sz w:val="24"/>
          <w:szCs w:val="24"/>
        </w:rPr>
        <w:t>Kasim</w:t>
      </w:r>
      <w:proofErr w:type="spellEnd"/>
      <w:r w:rsidRPr="00C62CC9">
        <w:rPr>
          <w:rFonts w:ascii="Times New Roman" w:eastAsia="Times New Roman" w:hAnsi="Times New Roman" w:cs="Times New Roman"/>
          <w:color w:val="000000"/>
          <w:sz w:val="24"/>
          <w:szCs w:val="24"/>
        </w:rPr>
        <w:t xml:space="preserve"> (2023) on Malaysian youth’s consumption and saving habits during the COVID-19 pandemic revealed how income changes and uncertainty influenced saving behaviour. In summary, most past studies on youth saving behaviour in Malaysia have focused on those in higher education. Furthermore, there is a lack of research examining the impact of the post-COVID-19 period on youth saving behaviour. Therefore, this study aims to fill this gap in the literature.</w:t>
      </w:r>
    </w:p>
    <w:p w14:paraId="1BD15074" w14:textId="77777777" w:rsidR="00C0600B" w:rsidRDefault="00C0600B" w:rsidP="00AF3629">
      <w:pPr>
        <w:spacing w:after="0" w:line="240" w:lineRule="auto"/>
        <w:ind w:firstLine="720"/>
        <w:jc w:val="both"/>
        <w:rPr>
          <w:rFonts w:ascii="Times New Roman" w:eastAsia="Times New Roman" w:hAnsi="Times New Roman" w:cs="Times New Roman"/>
          <w:color w:val="000000"/>
          <w:sz w:val="24"/>
          <w:szCs w:val="24"/>
        </w:rPr>
      </w:pPr>
    </w:p>
    <w:p w14:paraId="3FA364C3" w14:textId="77777777" w:rsidR="00AB43B6" w:rsidRPr="00C62CC9" w:rsidRDefault="00AB43B6" w:rsidP="00AF3629">
      <w:pPr>
        <w:spacing w:after="0" w:line="240" w:lineRule="auto"/>
        <w:ind w:firstLine="720"/>
        <w:jc w:val="both"/>
        <w:rPr>
          <w:rFonts w:ascii="Times New Roman" w:eastAsia="Times New Roman" w:hAnsi="Times New Roman" w:cs="Times New Roman"/>
          <w:color w:val="000000"/>
          <w:sz w:val="24"/>
          <w:szCs w:val="24"/>
        </w:rPr>
      </w:pPr>
    </w:p>
    <w:p w14:paraId="48082CBC" w14:textId="77777777" w:rsidR="00C0600B" w:rsidRDefault="00EB1169" w:rsidP="00AF3629">
      <w:pP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Method and study area  </w:t>
      </w:r>
    </w:p>
    <w:p w14:paraId="6AEB81E2" w14:textId="77777777" w:rsidR="00AB43B6" w:rsidRDefault="00AB43B6" w:rsidP="00AF3629">
      <w:pPr>
        <w:spacing w:after="0" w:line="240" w:lineRule="auto"/>
        <w:ind w:firstLine="0"/>
        <w:jc w:val="both"/>
        <w:rPr>
          <w:rFonts w:ascii="Times New Roman" w:eastAsia="Times New Roman" w:hAnsi="Times New Roman" w:cs="Times New Roman"/>
          <w:color w:val="000000"/>
          <w:sz w:val="24"/>
          <w:szCs w:val="24"/>
        </w:rPr>
      </w:pPr>
    </w:p>
    <w:p w14:paraId="7CA903C8" w14:textId="7D13954A" w:rsidR="00C0600B" w:rsidRDefault="00EB1169" w:rsidP="00AF3629">
      <w:pPr>
        <w:spacing w:after="0" w:line="240"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research employs quantitative analysis techniques, specifically using survey and a stratified sampling method. The stratified sampling technique divides the population into subgroups (strata) based on a characteristic (e.g., age, gender) and random samples are drawn from each subgroup. In this study, the subgroups consist of Malaysians aged between 15 and 40 years, defined as young people in Malaysia according to the Ministry of Youth and Sports. Data for the study were collected through an online questionnaire using Google Forms. Respondents were asked to answer questions using a 5-point Likert scale, ranging from 1 (strongly disagree) to 5 (strongly agree). The questionnaire was divided into several sections: the first section covered demographic variables, the second focused on saving behaviour, the third examined factors influencing savings, and the final section addressed respondents' savings intentions. The forms were distributed by enumerators to ensure the sample represented the entire population of Malaysia. The data collection process was conducted via the online questionnaire survey. A total of 1,200 respondents agreed to participate in the study and completed the questionnaire. The questions addressed saving-related factors such as financial knowledge, financial management, peer influence and self-control. </w:t>
      </w:r>
    </w:p>
    <w:p w14:paraId="7B03078A" w14:textId="73534199" w:rsidR="00C0600B" w:rsidRDefault="00EB1169" w:rsidP="00AF3629">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After all respondents completed the form, the data were exported into a Microsoft Excel spreadsheet. The responses were then coded for analysis using the Statistical Package for the Social Sciences (SPSS). The data were transferred to SPSS and appropriately coded. Cronbach's alpha was used to assess the reliability of the responses within a group and ensure the absence of sample bias. According to Hair et al. (2007), a value of 0.60 or higher is considered adequate, 0.9 or above is considered excellent, 0.8 to 0.9 is considered very good, 0.7 to 0.8 is considered acceptable and a value between 0.6 and 0.7 is considered moderate. The results of this study show a Cronbach's alpha value of 0.94. For the demographic profile of the respondents, descriptive analysis was performed, and the results are presented in terms of frequency, percentage, and mean.</w:t>
      </w:r>
    </w:p>
    <w:p w14:paraId="3E452AF3" w14:textId="5C088563" w:rsidR="00C0600B" w:rsidRDefault="00EB1169" w:rsidP="00AF3629">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Next, this study follows a two-step approach for </w:t>
      </w:r>
      <w:proofErr w:type="spellStart"/>
      <w:r>
        <w:rPr>
          <w:rFonts w:ascii="Times New Roman" w:eastAsia="Times New Roman" w:hAnsi="Times New Roman" w:cs="Times New Roman"/>
          <w:color w:val="000000"/>
          <w:sz w:val="24"/>
          <w:szCs w:val="24"/>
        </w:rPr>
        <w:t>analyzing</w:t>
      </w:r>
      <w:proofErr w:type="spellEnd"/>
      <w:r>
        <w:rPr>
          <w:rFonts w:ascii="Times New Roman" w:eastAsia="Times New Roman" w:hAnsi="Times New Roman" w:cs="Times New Roman"/>
          <w:color w:val="000000"/>
          <w:sz w:val="24"/>
          <w:szCs w:val="24"/>
        </w:rPr>
        <w:t xml:space="preserve"> the collected data to identify the impact of financial management, peer influence and self-control on saving behaviours. This approach includes the assessment of both the measurement and structural models using Partial Least Squares-Structural Equation </w:t>
      </w:r>
      <w:proofErr w:type="spellStart"/>
      <w:r>
        <w:rPr>
          <w:rFonts w:ascii="Times New Roman" w:eastAsia="Times New Roman" w:hAnsi="Times New Roman" w:cs="Times New Roman"/>
          <w:color w:val="000000"/>
          <w:sz w:val="24"/>
          <w:szCs w:val="24"/>
        </w:rPr>
        <w:t>Modeling</w:t>
      </w:r>
      <w:proofErr w:type="spellEnd"/>
      <w:r>
        <w:rPr>
          <w:rFonts w:ascii="Times New Roman" w:eastAsia="Times New Roman" w:hAnsi="Times New Roman" w:cs="Times New Roman"/>
          <w:color w:val="000000"/>
          <w:sz w:val="24"/>
          <w:szCs w:val="24"/>
        </w:rPr>
        <w:t xml:space="preserve"> (PLS-SEM) through </w:t>
      </w:r>
      <w:proofErr w:type="spellStart"/>
      <w:r>
        <w:rPr>
          <w:rFonts w:ascii="Times New Roman" w:eastAsia="Times New Roman" w:hAnsi="Times New Roman" w:cs="Times New Roman"/>
          <w:color w:val="000000"/>
          <w:sz w:val="24"/>
          <w:szCs w:val="24"/>
        </w:rPr>
        <w:t>SmartPLS</w:t>
      </w:r>
      <w:proofErr w:type="spellEnd"/>
      <w:r>
        <w:rPr>
          <w:rFonts w:ascii="Times New Roman" w:eastAsia="Times New Roman" w:hAnsi="Times New Roman" w:cs="Times New Roman"/>
          <w:color w:val="000000"/>
          <w:sz w:val="24"/>
          <w:szCs w:val="24"/>
        </w:rPr>
        <w:t xml:space="preserve"> 4. PLS-SEM is a widely used statistical technique in social sciences and business research for </w:t>
      </w:r>
      <w:proofErr w:type="spellStart"/>
      <w:r>
        <w:rPr>
          <w:rFonts w:ascii="Times New Roman" w:eastAsia="Times New Roman" w:hAnsi="Times New Roman" w:cs="Times New Roman"/>
          <w:color w:val="000000"/>
          <w:sz w:val="24"/>
          <w:szCs w:val="24"/>
        </w:rPr>
        <w:t>analyzing</w:t>
      </w:r>
      <w:proofErr w:type="spellEnd"/>
      <w:r>
        <w:rPr>
          <w:rFonts w:ascii="Times New Roman" w:eastAsia="Times New Roman" w:hAnsi="Times New Roman" w:cs="Times New Roman"/>
          <w:color w:val="000000"/>
          <w:sz w:val="24"/>
          <w:szCs w:val="24"/>
        </w:rPr>
        <w:t xml:space="preserve"> complex relationships between observed and latent variables. One major advantage of PLS-SEM is its ability to handle small to medium sample sizes, which is beneficial when data availability is limited (Hair et al., 2021). Based on the literature and research framework, hypotheses are proposed as follows:</w:t>
      </w:r>
    </w:p>
    <w:p w14:paraId="7E8D82D1" w14:textId="77777777" w:rsidR="00C0600B" w:rsidRDefault="00C0600B" w:rsidP="00AF3629">
      <w:pPr>
        <w:spacing w:after="0" w:line="240" w:lineRule="auto"/>
        <w:ind w:hanging="2"/>
        <w:jc w:val="both"/>
        <w:rPr>
          <w:rFonts w:ascii="Times New Roman" w:eastAsia="Times New Roman" w:hAnsi="Times New Roman" w:cs="Times New Roman"/>
          <w:color w:val="000000"/>
          <w:sz w:val="24"/>
          <w:szCs w:val="24"/>
        </w:rPr>
      </w:pPr>
    </w:p>
    <w:p w14:paraId="15E08443" w14:textId="77777777" w:rsidR="00C0600B" w:rsidRDefault="00EB1169" w:rsidP="00AF3629">
      <w:pP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H1: Financial management affects savings</w:t>
      </w:r>
    </w:p>
    <w:p w14:paraId="613ECD63" w14:textId="77777777" w:rsidR="00C0600B" w:rsidRDefault="00EB1169" w:rsidP="00AF3629">
      <w:pP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H2: Peer influence affects savings</w:t>
      </w:r>
    </w:p>
    <w:p w14:paraId="415A4102" w14:textId="77777777" w:rsidR="00C0600B" w:rsidRDefault="00EB1169" w:rsidP="00AF3629">
      <w:pP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H3: Self-control affects savings</w:t>
      </w:r>
    </w:p>
    <w:p w14:paraId="3E7CAEBC" w14:textId="77777777" w:rsidR="00C0600B" w:rsidRDefault="00C0600B" w:rsidP="00AF3629">
      <w:pPr>
        <w:spacing w:after="0" w:line="240" w:lineRule="auto"/>
        <w:ind w:firstLine="720"/>
        <w:jc w:val="both"/>
        <w:rPr>
          <w:rFonts w:ascii="Times New Roman" w:eastAsia="Times New Roman" w:hAnsi="Times New Roman" w:cs="Times New Roman"/>
          <w:color w:val="000000"/>
          <w:sz w:val="24"/>
          <w:szCs w:val="24"/>
        </w:rPr>
      </w:pPr>
    </w:p>
    <w:p w14:paraId="5048474D" w14:textId="77777777" w:rsidR="00C0600B" w:rsidRDefault="00EB1169" w:rsidP="00AF3629">
      <w:pPr>
        <w:pStyle w:val="NormalWeb"/>
        <w:spacing w:after="0" w:line="240" w:lineRule="auto"/>
        <w:ind w:firstLine="720"/>
        <w:jc w:val="both"/>
        <w:rPr>
          <w:rFonts w:eastAsia="Times New Roman"/>
        </w:rPr>
      </w:pPr>
      <w:r>
        <w:rPr>
          <w:rFonts w:eastAsia="Times New Roman"/>
          <w:color w:val="000000"/>
        </w:rPr>
        <w:t>Then, binary logistic regression test used to examine the effect of demographic on saving behaviour among Malaysian.</w:t>
      </w:r>
      <w:r>
        <w:t xml:space="preserve"> </w:t>
      </w:r>
      <w:r>
        <w:rPr>
          <w:rFonts w:eastAsia="Times New Roman"/>
          <w:color w:val="000000"/>
        </w:rPr>
        <w:t xml:space="preserve">Binary logistic regression is a statistical method used to model the relationship between a binary dependent variable and one or more independent (predictor) variables. The binary outcome variable typically takes values coded as 0 and 1, representing two categories such as “no savings” (0) and “has savings” (1), making it particularly relevant for research on saving behaviour among youth. Unlike linear regression, which models a continuous outcome, binary logistic regression uses the logit transformation to estimate the probability that an event occurs. This method is particularly well-suited for cases where the goal is to diagnose or classify the presence or absence of an outcome based on observed characteristics (Hosmer et al., 2013). </w:t>
      </w:r>
      <w:r>
        <w:t xml:space="preserve"> </w:t>
      </w:r>
      <w:r>
        <w:rPr>
          <w:rFonts w:eastAsia="Times New Roman"/>
        </w:rPr>
        <w:t>The logistic regression model is based on the following equation:</w:t>
      </w:r>
    </w:p>
    <w:p w14:paraId="2CA56FC0" w14:textId="77777777" w:rsidR="00B316CA" w:rsidRDefault="00B316CA" w:rsidP="00B316CA">
      <w:pPr>
        <w:pStyle w:val="NormalWeb"/>
        <w:spacing w:after="0" w:line="240" w:lineRule="auto"/>
        <w:ind w:firstLine="720"/>
        <w:jc w:val="both"/>
        <w:rPr>
          <w:rFonts w:eastAsia="Times New Roman"/>
        </w:rPr>
      </w:pPr>
    </w:p>
    <w:p w14:paraId="7FE4291D" w14:textId="77777777" w:rsidR="00C0600B" w:rsidRDefault="00EB1169">
      <w:pPr>
        <w:pStyle w:val="NormalWeb"/>
        <w:rPr>
          <w:rFonts w:eastAsia="Times New Roman"/>
        </w:rPr>
      </w:pPr>
      <m:oMathPara>
        <m:oMath>
          <m:r>
            <w:rPr>
              <w:rFonts w:ascii="Cambria Math" w:eastAsia="Times New Roman" w:hAnsi="Cambria Math"/>
            </w:rPr>
            <m:t xml:space="preserve">log </m:t>
          </m:r>
          <m:d>
            <m:dPr>
              <m:ctrlPr>
                <w:rPr>
                  <w:rFonts w:ascii="Cambria Math" w:eastAsia="Times New Roman" w:hAnsi="Cambria Math"/>
                  <w:i/>
                </w:rPr>
              </m:ctrlPr>
            </m:dPr>
            <m:e>
              <m:f>
                <m:fPr>
                  <m:ctrlPr>
                    <w:rPr>
                      <w:rFonts w:ascii="Cambria Math" w:eastAsia="Times New Roman" w:hAnsi="Cambria Math"/>
                      <w:i/>
                    </w:rPr>
                  </m:ctrlPr>
                </m:fPr>
                <m:num>
                  <m:r>
                    <w:rPr>
                      <w:rFonts w:ascii="Cambria Math" w:eastAsia="Times New Roman" w:hAnsi="Cambria Math"/>
                    </w:rPr>
                    <m:t>P</m:t>
                  </m:r>
                </m:num>
                <m:den>
                  <m:r>
                    <w:rPr>
                      <w:rFonts w:ascii="Cambria Math" w:eastAsia="Times New Roman" w:hAnsi="Cambria Math"/>
                    </w:rPr>
                    <m:t>1-P</m:t>
                  </m:r>
                </m:den>
              </m:f>
            </m:e>
          </m:d>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β</m:t>
              </m:r>
            </m:e>
            <m:sub>
              <m:r>
                <w:rPr>
                  <w:rFonts w:ascii="Cambria Math" w:eastAsia="Times New Roman" w:hAnsi="Cambria Math"/>
                </w:rPr>
                <m:t>0</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β</m:t>
              </m:r>
            </m:e>
            <m:sub>
              <m:r>
                <w:rPr>
                  <w:rFonts w:ascii="Cambria Math" w:eastAsia="Times New Roman" w:hAnsi="Cambria Math"/>
                </w:rPr>
                <m:t>1</m:t>
              </m:r>
            </m:sub>
          </m:sSub>
          <m:sSub>
            <m:sSubPr>
              <m:ctrlPr>
                <w:rPr>
                  <w:rFonts w:ascii="Cambria Math" w:eastAsia="Times New Roman" w:hAnsi="Cambria Math"/>
                  <w:i/>
                </w:rPr>
              </m:ctrlPr>
            </m:sSubPr>
            <m:e>
              <m:r>
                <w:rPr>
                  <w:rFonts w:ascii="Cambria Math" w:eastAsia="Times New Roman" w:hAnsi="Cambria Math"/>
                </w:rPr>
                <m:t>X</m:t>
              </m:r>
            </m:e>
            <m:sub>
              <m:r>
                <w:rPr>
                  <w:rFonts w:ascii="Cambria Math" w:eastAsia="Times New Roman" w:hAnsi="Cambria Math"/>
                </w:rPr>
                <m:t>1</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β</m:t>
              </m:r>
            </m:e>
            <m:sub>
              <m:r>
                <w:rPr>
                  <w:rFonts w:ascii="Cambria Math" w:eastAsia="Times New Roman" w:hAnsi="Cambria Math"/>
                </w:rPr>
                <m:t>2</m:t>
              </m:r>
            </m:sub>
          </m:sSub>
          <m:sSub>
            <m:sSubPr>
              <m:ctrlPr>
                <w:rPr>
                  <w:rFonts w:ascii="Cambria Math" w:eastAsia="Times New Roman" w:hAnsi="Cambria Math"/>
                  <w:i/>
                </w:rPr>
              </m:ctrlPr>
            </m:sSubPr>
            <m:e>
              <m:r>
                <w:rPr>
                  <w:rFonts w:ascii="Cambria Math" w:eastAsia="Times New Roman" w:hAnsi="Cambria Math"/>
                </w:rPr>
                <m:t>X</m:t>
              </m:r>
            </m:e>
            <m:sub>
              <m:r>
                <w:rPr>
                  <w:rFonts w:ascii="Cambria Math" w:eastAsia="Times New Roman" w:hAnsi="Cambria Math"/>
                </w:rPr>
                <m:t>2</m:t>
              </m:r>
            </m:sub>
          </m:sSub>
          <m:r>
            <w:rPr>
              <w:rFonts w:ascii="Cambria Math" w:eastAsia="Times New Roman" w:hAnsi="Cambria Math"/>
            </w:rPr>
            <m:t xml:space="preserve">+...+ </m:t>
          </m:r>
          <m:sSub>
            <m:sSubPr>
              <m:ctrlPr>
                <w:rPr>
                  <w:rFonts w:ascii="Cambria Math" w:eastAsia="Times New Roman" w:hAnsi="Cambria Math"/>
                  <w:i/>
                </w:rPr>
              </m:ctrlPr>
            </m:sSubPr>
            <m:e>
              <m:r>
                <w:rPr>
                  <w:rFonts w:ascii="Cambria Math" w:eastAsia="Times New Roman" w:hAnsi="Cambria Math"/>
                </w:rPr>
                <m:t>β</m:t>
              </m:r>
            </m:e>
            <m:sub>
              <m:r>
                <w:rPr>
                  <w:rFonts w:ascii="Cambria Math" w:eastAsia="Times New Roman" w:hAnsi="Cambria Math"/>
                </w:rPr>
                <m:t>k</m:t>
              </m:r>
            </m:sub>
          </m:sSub>
          <m:sSub>
            <m:sSubPr>
              <m:ctrlPr>
                <w:rPr>
                  <w:rFonts w:ascii="Cambria Math" w:eastAsia="Times New Roman" w:hAnsi="Cambria Math"/>
                  <w:i/>
                </w:rPr>
              </m:ctrlPr>
            </m:sSubPr>
            <m:e>
              <m:r>
                <w:rPr>
                  <w:rFonts w:ascii="Cambria Math" w:eastAsia="Times New Roman" w:hAnsi="Cambria Math"/>
                </w:rPr>
                <m:t>X</m:t>
              </m:r>
            </m:e>
            <m:sub>
              <m:r>
                <w:rPr>
                  <w:rFonts w:ascii="Cambria Math" w:eastAsia="Times New Roman" w:hAnsi="Cambria Math"/>
                </w:rPr>
                <m:t>k</m:t>
              </m:r>
            </m:sub>
          </m:sSub>
        </m:oMath>
      </m:oMathPara>
    </w:p>
    <w:p w14:paraId="49D491A1" w14:textId="7AE3A706" w:rsidR="00B316CA" w:rsidRDefault="00EB1169" w:rsidP="00B316CA">
      <w:pPr>
        <w:spacing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p>
    <w:p w14:paraId="76D56EA5" w14:textId="77777777" w:rsidR="00C0600B" w:rsidRDefault="00EB1169" w:rsidP="00B316CA">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 is the probability of the event occurring (e.g., having savings),</w:t>
      </w:r>
    </w:p>
    <w:p w14:paraId="75029611" w14:textId="77777777" w:rsidR="00C0600B" w:rsidRDefault="00CA34D4" w:rsidP="00B316CA">
      <w:pPr>
        <w:numPr>
          <w:ilvl w:val="0"/>
          <w:numId w:val="1"/>
        </w:numPr>
        <w:spacing w:after="0" w:line="240" w:lineRule="auto"/>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rPr>
              <m:t>β</m:t>
            </m:r>
          </m:e>
          <m:sub>
            <m:r>
              <w:rPr>
                <w:rFonts w:ascii="Cambria Math" w:eastAsia="Times New Roman" w:hAnsi="Cambria Math"/>
              </w:rPr>
              <m:t>0</m:t>
            </m:r>
          </m:sub>
        </m:sSub>
      </m:oMath>
      <w:r w:rsidR="00EB1169">
        <w:rPr>
          <w:rFonts w:ascii="Times New Roman" w:eastAsia="Times New Roman" w:hAnsi="Times New Roman" w:cs="Times New Roman"/>
          <w:sz w:val="24"/>
          <w:szCs w:val="24"/>
        </w:rPr>
        <w:t>​ is the intercept,</w:t>
      </w:r>
    </w:p>
    <w:p w14:paraId="7F43FA31" w14:textId="77777777" w:rsidR="00C0600B" w:rsidRDefault="00CA34D4" w:rsidP="00B316CA">
      <w:pPr>
        <w:numPr>
          <w:ilvl w:val="0"/>
          <w:numId w:val="1"/>
        </w:numPr>
        <w:spacing w:after="0" w:line="240" w:lineRule="auto"/>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rPr>
              <m:t>β</m:t>
            </m:r>
          </m:e>
          <m:sub>
            <m:r>
              <w:rPr>
                <w:rFonts w:ascii="Cambria Math" w:eastAsia="Times New Roman" w:hAnsi="Cambria Math"/>
              </w:rPr>
              <m:t>1</m:t>
            </m:r>
          </m:sub>
        </m:sSub>
      </m:oMath>
      <w:r w:rsidR="00EB1169">
        <w:rPr>
          <w:rFonts w:ascii="Times New Roman" w:eastAsia="Times New Roman" w:hAnsi="Times New Roman" w:cs="Times New Roman"/>
          <w:sz w:val="24"/>
          <w:szCs w:val="24"/>
        </w:rPr>
        <w:t>,</w:t>
      </w:r>
      <w:r w:rsidR="00EB1169">
        <w:rPr>
          <w:rFonts w:ascii="Cambria Math" w:eastAsia="Times New Roman" w:hAnsi="Cambria Math" w:cs="Times New Roman"/>
          <w:i/>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rPr>
              <m:t>β</m:t>
            </m:r>
          </m:e>
          <m:sub>
            <m:r>
              <w:rPr>
                <w:rFonts w:ascii="Cambria Math" w:eastAsia="Times New Roman" w:hAnsi="Cambria Math"/>
              </w:rPr>
              <m:t>2</m:t>
            </m:r>
          </m:sub>
        </m:sSub>
      </m:oMath>
      <w:r w:rsidR="00EB1169">
        <w:rPr>
          <w:rFonts w:ascii="Times New Roman" w:eastAsia="Times New Roman" w:hAnsi="Times New Roman" w:cs="Times New Roman"/>
          <w:sz w:val="24"/>
          <w:szCs w:val="24"/>
        </w:rPr>
        <w:t>,…,</w:t>
      </w:r>
      <w:r w:rsidR="00EB1169">
        <w:rPr>
          <w:rFonts w:ascii="Cambria Math" w:eastAsia="Times New Roman" w:hAnsi="Cambria Math" w:cs="Times New Roman"/>
          <w:i/>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rPr>
              <m:t>β</m:t>
            </m:r>
          </m:e>
          <m:sub>
            <m:r>
              <w:rPr>
                <w:rFonts w:ascii="Cambria Math" w:eastAsia="Times New Roman" w:hAnsi="Cambria Math"/>
              </w:rPr>
              <m:t>k</m:t>
            </m:r>
          </m:sub>
        </m:sSub>
      </m:oMath>
      <w:r w:rsidR="00EB1169">
        <w:rPr>
          <w:rFonts w:ascii="Times New Roman" w:eastAsia="Times New Roman" w:hAnsi="Times New Roman" w:cs="Times New Roman"/>
          <w:sz w:val="24"/>
          <w:szCs w:val="24"/>
        </w:rPr>
        <w:t xml:space="preserve"> ​ are coefficients for the independent variables X</w:t>
      </w:r>
      <w:r w:rsidR="00EB1169">
        <w:rPr>
          <w:rFonts w:ascii="Times New Roman" w:eastAsia="Times New Roman" w:hAnsi="Times New Roman" w:cs="Times New Roman"/>
          <w:sz w:val="24"/>
          <w:szCs w:val="24"/>
          <w:vertAlign w:val="subscript"/>
        </w:rPr>
        <w:t>1</w:t>
      </w:r>
      <w:r w:rsidR="00EB1169">
        <w:rPr>
          <w:rFonts w:ascii="Times New Roman" w:eastAsia="Times New Roman" w:hAnsi="Times New Roman" w:cs="Times New Roman"/>
          <w:sz w:val="24"/>
          <w:szCs w:val="24"/>
        </w:rPr>
        <w:t>, X</w:t>
      </w:r>
      <w:r w:rsidR="00EB1169">
        <w:rPr>
          <w:rFonts w:ascii="Times New Roman" w:eastAsia="Times New Roman" w:hAnsi="Times New Roman" w:cs="Times New Roman"/>
          <w:sz w:val="24"/>
          <w:szCs w:val="24"/>
          <w:vertAlign w:val="subscript"/>
        </w:rPr>
        <w:t>2</w:t>
      </w:r>
      <w:r w:rsidR="00EB1169">
        <w:rPr>
          <w:rFonts w:ascii="Times New Roman" w:eastAsia="Times New Roman" w:hAnsi="Times New Roman" w:cs="Times New Roman"/>
          <w:sz w:val="24"/>
          <w:szCs w:val="24"/>
        </w:rPr>
        <w:t xml:space="preserve">, …, </w:t>
      </w:r>
      <w:proofErr w:type="spellStart"/>
      <w:r w:rsidR="00EB1169">
        <w:rPr>
          <w:rFonts w:ascii="Times New Roman" w:eastAsia="Times New Roman" w:hAnsi="Times New Roman" w:cs="Times New Roman"/>
          <w:sz w:val="24"/>
          <w:szCs w:val="24"/>
        </w:rPr>
        <w:t>X</w:t>
      </w:r>
      <w:r w:rsidR="00EB1169">
        <w:rPr>
          <w:rFonts w:ascii="Times New Roman" w:eastAsia="Times New Roman" w:hAnsi="Times New Roman" w:cs="Times New Roman"/>
          <w:sz w:val="24"/>
          <w:szCs w:val="24"/>
          <w:vertAlign w:val="subscript"/>
        </w:rPr>
        <w:t>k</w:t>
      </w:r>
      <w:proofErr w:type="spellEnd"/>
      <w:r w:rsidR="00EB1169">
        <w:rPr>
          <w:rFonts w:ascii="Times New Roman" w:eastAsia="Times New Roman" w:hAnsi="Times New Roman" w:cs="Times New Roman"/>
          <w:sz w:val="24"/>
          <w:szCs w:val="24"/>
          <w:vertAlign w:val="subscript"/>
        </w:rPr>
        <w:t xml:space="preserve">. </w:t>
      </w:r>
    </w:p>
    <w:p w14:paraId="0DFAA854" w14:textId="77777777" w:rsidR="009A3DE1" w:rsidRDefault="009A3DE1" w:rsidP="009A3DE1">
      <w:pPr>
        <w:spacing w:after="0" w:line="240" w:lineRule="auto"/>
        <w:ind w:firstLine="0"/>
        <w:rPr>
          <w:rFonts w:ascii="Times New Roman" w:eastAsia="Times New Roman" w:hAnsi="Times New Roman" w:cs="Times New Roman"/>
          <w:sz w:val="24"/>
          <w:szCs w:val="24"/>
        </w:rPr>
      </w:pPr>
    </w:p>
    <w:p w14:paraId="6DE218EB" w14:textId="151CD3EB" w:rsidR="00C0600B" w:rsidRDefault="00EB1169" w:rsidP="00B618E1">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independent in this study are gender; ethnic; residence area; marital status; income; level of education; occupation and number of dependents. The output of the model provides odds ratios that help interpret how each independent variable affects the likelihood of the outcome.</w:t>
      </w:r>
    </w:p>
    <w:p w14:paraId="15E2D799" w14:textId="77777777" w:rsidR="00C0600B" w:rsidRDefault="00C0600B" w:rsidP="009A3DE1">
      <w:pPr>
        <w:spacing w:after="0" w:line="240" w:lineRule="auto"/>
        <w:ind w:firstLine="0"/>
        <w:rPr>
          <w:rFonts w:ascii="Times New Roman" w:eastAsia="Times New Roman" w:hAnsi="Times New Roman" w:cs="Times New Roman"/>
          <w:sz w:val="24"/>
          <w:szCs w:val="24"/>
        </w:rPr>
      </w:pPr>
    </w:p>
    <w:p w14:paraId="3A75D589" w14:textId="77777777" w:rsidR="00C0600B" w:rsidRDefault="00EB1169" w:rsidP="00B618E1">
      <w:pPr>
        <w:spacing w:after="0" w:line="240" w:lineRule="auto"/>
        <w:ind w:left="2" w:hanging="2"/>
        <w:jc w:val="both"/>
        <w:rPr>
          <w:rFonts w:ascii="Times New Roman" w:eastAsia="Times New Roman" w:hAnsi="Times New Roman" w:cs="Times New Roman"/>
          <w:b/>
          <w:color w:val="000000"/>
          <w:sz w:val="24"/>
          <w:szCs w:val="24"/>
        </w:rPr>
      </w:pPr>
      <w:r w:rsidRPr="00B618E1">
        <w:rPr>
          <w:rFonts w:ascii="Times New Roman" w:eastAsia="Times New Roman" w:hAnsi="Times New Roman" w:cs="Times New Roman"/>
          <w:b/>
          <w:color w:val="000000"/>
          <w:sz w:val="24"/>
          <w:szCs w:val="24"/>
        </w:rPr>
        <w:lastRenderedPageBreak/>
        <w:t xml:space="preserve">Results and discussion </w:t>
      </w:r>
    </w:p>
    <w:p w14:paraId="64C5B96E" w14:textId="77777777" w:rsidR="00B618E1" w:rsidRPr="00B618E1" w:rsidRDefault="00B618E1" w:rsidP="00B618E1">
      <w:pPr>
        <w:spacing w:after="0" w:line="240" w:lineRule="auto"/>
        <w:ind w:left="2" w:hanging="2"/>
        <w:jc w:val="both"/>
        <w:rPr>
          <w:rFonts w:ascii="Times New Roman" w:eastAsia="Times New Roman" w:hAnsi="Times New Roman" w:cs="Times New Roman"/>
          <w:color w:val="000000"/>
          <w:sz w:val="24"/>
          <w:szCs w:val="24"/>
        </w:rPr>
      </w:pPr>
    </w:p>
    <w:p w14:paraId="0B1D24D6" w14:textId="38D44EAF" w:rsidR="00C0600B" w:rsidRPr="00B618E1" w:rsidRDefault="00EB1169" w:rsidP="00B618E1">
      <w:pPr>
        <w:spacing w:after="0" w:line="240" w:lineRule="auto"/>
        <w:ind w:left="2" w:hanging="2"/>
        <w:jc w:val="center"/>
        <w:rPr>
          <w:rFonts w:ascii="Times New Roman" w:eastAsia="Times New Roman" w:hAnsi="Times New Roman" w:cs="Times New Roman"/>
          <w:color w:val="000000"/>
          <w:sz w:val="24"/>
          <w:szCs w:val="24"/>
        </w:rPr>
      </w:pPr>
      <w:r w:rsidRPr="00B618E1">
        <w:rPr>
          <w:rFonts w:ascii="Times New Roman" w:eastAsia="Times New Roman" w:hAnsi="Times New Roman" w:cs="Times New Roman"/>
          <w:b/>
          <w:color w:val="000000"/>
          <w:sz w:val="24"/>
          <w:szCs w:val="24"/>
        </w:rPr>
        <w:t xml:space="preserve">Table 1. </w:t>
      </w:r>
      <w:r w:rsidR="000277E7" w:rsidRPr="000277E7">
        <w:rPr>
          <w:rFonts w:ascii="Times New Roman" w:eastAsia="Times New Roman" w:hAnsi="Times New Roman" w:cs="Times New Roman"/>
          <w:bCs/>
          <w:color w:val="000000"/>
          <w:sz w:val="24"/>
          <w:szCs w:val="24"/>
        </w:rPr>
        <w:t>Demographic information</w:t>
      </w:r>
    </w:p>
    <w:p w14:paraId="781AE966" w14:textId="77777777" w:rsidR="00C0600B" w:rsidRPr="00B618E1" w:rsidRDefault="00C0600B" w:rsidP="00B618E1">
      <w:pPr>
        <w:spacing w:after="0" w:line="240" w:lineRule="auto"/>
        <w:ind w:left="2" w:hanging="2"/>
        <w:jc w:val="center"/>
        <w:rPr>
          <w:rFonts w:ascii="Times New Roman" w:eastAsia="Times New Roman" w:hAnsi="Times New Roman" w:cs="Times New Roman"/>
          <w:b/>
          <w:color w:val="000000"/>
          <w:sz w:val="24"/>
          <w:szCs w:val="24"/>
        </w:rPr>
      </w:pPr>
    </w:p>
    <w:tbl>
      <w:tblPr>
        <w:tblW w:w="9175" w:type="dxa"/>
        <w:tblLayout w:type="fixed"/>
        <w:tblLook w:val="04A0" w:firstRow="1" w:lastRow="0" w:firstColumn="1" w:lastColumn="0" w:noHBand="0" w:noVBand="1"/>
      </w:tblPr>
      <w:tblGrid>
        <w:gridCol w:w="2410"/>
        <w:gridCol w:w="3260"/>
        <w:gridCol w:w="1560"/>
        <w:gridCol w:w="1945"/>
      </w:tblGrid>
      <w:tr w:rsidR="00C0600B" w:rsidRPr="000277E7" w14:paraId="3EAD420C" w14:textId="77777777" w:rsidTr="000277E7">
        <w:tc>
          <w:tcPr>
            <w:tcW w:w="2410" w:type="dxa"/>
            <w:tcBorders>
              <w:top w:val="single" w:sz="4" w:space="0" w:color="auto"/>
              <w:bottom w:val="single" w:sz="4" w:space="0" w:color="auto"/>
            </w:tcBorders>
            <w:shd w:val="clear" w:color="auto" w:fill="8DB3E2" w:themeFill="text2" w:themeFillTint="66"/>
          </w:tcPr>
          <w:p w14:paraId="3B78EF15" w14:textId="77777777" w:rsidR="00C0600B" w:rsidRPr="000277E7" w:rsidRDefault="00C0600B" w:rsidP="000277E7">
            <w:pPr>
              <w:spacing w:after="0" w:line="240" w:lineRule="auto"/>
              <w:ind w:firstLine="0"/>
              <w:jc w:val="center"/>
              <w:rPr>
                <w:rFonts w:ascii="Times New Roman" w:eastAsia="Times New Roman" w:hAnsi="Times New Roman" w:cs="Times New Roman"/>
                <w:b/>
                <w:bCs/>
                <w:color w:val="000000"/>
                <w:sz w:val="24"/>
                <w:szCs w:val="24"/>
              </w:rPr>
            </w:pPr>
          </w:p>
        </w:tc>
        <w:tc>
          <w:tcPr>
            <w:tcW w:w="3260" w:type="dxa"/>
            <w:tcBorders>
              <w:top w:val="single" w:sz="4" w:space="0" w:color="auto"/>
              <w:bottom w:val="single" w:sz="4" w:space="0" w:color="auto"/>
            </w:tcBorders>
            <w:shd w:val="clear" w:color="auto" w:fill="8DB3E2" w:themeFill="text2" w:themeFillTint="66"/>
          </w:tcPr>
          <w:p w14:paraId="2978CA61" w14:textId="77777777" w:rsidR="00C0600B" w:rsidRPr="000277E7" w:rsidRDefault="00EB1169" w:rsidP="000277E7">
            <w:pPr>
              <w:spacing w:after="0" w:line="240" w:lineRule="auto"/>
              <w:ind w:firstLine="0"/>
              <w:jc w:val="center"/>
              <w:rPr>
                <w:rFonts w:ascii="Times New Roman" w:eastAsia="Times New Roman" w:hAnsi="Times New Roman" w:cs="Times New Roman"/>
                <w:b/>
                <w:bCs/>
                <w:color w:val="000000"/>
                <w:sz w:val="24"/>
                <w:szCs w:val="24"/>
              </w:rPr>
            </w:pPr>
            <w:r w:rsidRPr="000277E7">
              <w:rPr>
                <w:rFonts w:ascii="Times New Roman" w:eastAsia="Times New Roman" w:hAnsi="Times New Roman" w:cs="Times New Roman"/>
                <w:b/>
                <w:bCs/>
                <w:color w:val="000000"/>
                <w:sz w:val="24"/>
                <w:szCs w:val="24"/>
              </w:rPr>
              <w:t>Information</w:t>
            </w:r>
          </w:p>
        </w:tc>
        <w:tc>
          <w:tcPr>
            <w:tcW w:w="1560" w:type="dxa"/>
            <w:tcBorders>
              <w:top w:val="single" w:sz="4" w:space="0" w:color="auto"/>
              <w:bottom w:val="single" w:sz="4" w:space="0" w:color="auto"/>
            </w:tcBorders>
            <w:shd w:val="clear" w:color="auto" w:fill="8DB3E2" w:themeFill="text2" w:themeFillTint="66"/>
          </w:tcPr>
          <w:p w14:paraId="19F8A53C" w14:textId="77777777" w:rsidR="00C0600B" w:rsidRPr="000277E7" w:rsidRDefault="00EB1169" w:rsidP="000277E7">
            <w:pPr>
              <w:spacing w:after="0" w:line="240" w:lineRule="auto"/>
              <w:ind w:firstLine="0"/>
              <w:jc w:val="center"/>
              <w:rPr>
                <w:rFonts w:ascii="Times New Roman" w:eastAsia="Times New Roman" w:hAnsi="Times New Roman" w:cs="Times New Roman"/>
                <w:b/>
                <w:bCs/>
                <w:color w:val="000000"/>
                <w:sz w:val="24"/>
                <w:szCs w:val="24"/>
              </w:rPr>
            </w:pPr>
            <w:r w:rsidRPr="000277E7">
              <w:rPr>
                <w:rFonts w:ascii="Times New Roman" w:eastAsia="Times New Roman" w:hAnsi="Times New Roman" w:cs="Times New Roman"/>
                <w:b/>
                <w:bCs/>
                <w:color w:val="000000"/>
                <w:sz w:val="24"/>
                <w:szCs w:val="24"/>
              </w:rPr>
              <w:t>Frequency</w:t>
            </w:r>
          </w:p>
        </w:tc>
        <w:tc>
          <w:tcPr>
            <w:tcW w:w="1945" w:type="dxa"/>
            <w:tcBorders>
              <w:top w:val="single" w:sz="4" w:space="0" w:color="auto"/>
              <w:bottom w:val="single" w:sz="4" w:space="0" w:color="auto"/>
            </w:tcBorders>
            <w:shd w:val="clear" w:color="auto" w:fill="8DB3E2" w:themeFill="text2" w:themeFillTint="66"/>
          </w:tcPr>
          <w:p w14:paraId="72E7B8E6" w14:textId="77777777" w:rsidR="00C0600B" w:rsidRPr="000277E7" w:rsidRDefault="00EB1169" w:rsidP="000277E7">
            <w:pPr>
              <w:spacing w:after="0" w:line="240" w:lineRule="auto"/>
              <w:ind w:firstLine="0"/>
              <w:jc w:val="center"/>
              <w:rPr>
                <w:rFonts w:ascii="Times New Roman" w:eastAsia="Times New Roman" w:hAnsi="Times New Roman" w:cs="Times New Roman"/>
                <w:b/>
                <w:bCs/>
                <w:color w:val="000000"/>
                <w:sz w:val="24"/>
                <w:szCs w:val="24"/>
              </w:rPr>
            </w:pPr>
            <w:r w:rsidRPr="000277E7">
              <w:rPr>
                <w:rFonts w:ascii="Times New Roman" w:eastAsia="Times New Roman" w:hAnsi="Times New Roman" w:cs="Times New Roman"/>
                <w:b/>
                <w:bCs/>
                <w:color w:val="000000"/>
                <w:sz w:val="24"/>
                <w:szCs w:val="24"/>
              </w:rPr>
              <w:t>Percentage (%)</w:t>
            </w:r>
          </w:p>
        </w:tc>
      </w:tr>
      <w:tr w:rsidR="00C0600B" w:rsidRPr="000277E7" w14:paraId="61264FAC" w14:textId="77777777" w:rsidTr="000277E7">
        <w:trPr>
          <w:trHeight w:val="191"/>
        </w:trPr>
        <w:tc>
          <w:tcPr>
            <w:tcW w:w="2410" w:type="dxa"/>
            <w:tcBorders>
              <w:top w:val="single" w:sz="4" w:space="0" w:color="auto"/>
            </w:tcBorders>
          </w:tcPr>
          <w:p w14:paraId="17CB8ED1"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Gender</w:t>
            </w:r>
          </w:p>
        </w:tc>
        <w:tc>
          <w:tcPr>
            <w:tcW w:w="3260" w:type="dxa"/>
            <w:tcBorders>
              <w:top w:val="single" w:sz="4" w:space="0" w:color="auto"/>
            </w:tcBorders>
          </w:tcPr>
          <w:p w14:paraId="7732B433" w14:textId="77777777" w:rsidR="00C0600B" w:rsidRPr="000277E7" w:rsidRDefault="00EB1169" w:rsidP="000277E7">
            <w:pPr>
              <w:spacing w:after="0" w:line="240" w:lineRule="auto"/>
              <w:ind w:firstLine="0"/>
              <w:jc w:val="both"/>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Female</w:t>
            </w:r>
          </w:p>
        </w:tc>
        <w:tc>
          <w:tcPr>
            <w:tcW w:w="1560" w:type="dxa"/>
            <w:tcBorders>
              <w:top w:val="single" w:sz="4" w:space="0" w:color="auto"/>
            </w:tcBorders>
          </w:tcPr>
          <w:p w14:paraId="6F380548"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580</w:t>
            </w:r>
          </w:p>
        </w:tc>
        <w:tc>
          <w:tcPr>
            <w:tcW w:w="1945" w:type="dxa"/>
            <w:tcBorders>
              <w:top w:val="single" w:sz="4" w:space="0" w:color="auto"/>
            </w:tcBorders>
          </w:tcPr>
          <w:p w14:paraId="532F85A1"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48.3</w:t>
            </w:r>
          </w:p>
        </w:tc>
      </w:tr>
      <w:tr w:rsidR="00C0600B" w:rsidRPr="000277E7" w14:paraId="5B648A6B" w14:textId="77777777" w:rsidTr="000277E7">
        <w:tc>
          <w:tcPr>
            <w:tcW w:w="2410" w:type="dxa"/>
          </w:tcPr>
          <w:p w14:paraId="15CB5FB1" w14:textId="77777777" w:rsidR="00C0600B" w:rsidRPr="000277E7" w:rsidRDefault="00C0600B" w:rsidP="000277E7">
            <w:pPr>
              <w:spacing w:after="0" w:line="240" w:lineRule="auto"/>
              <w:ind w:firstLine="0"/>
              <w:jc w:val="center"/>
              <w:rPr>
                <w:rFonts w:ascii="Times New Roman" w:eastAsia="Times New Roman" w:hAnsi="Times New Roman" w:cs="Times New Roman"/>
                <w:color w:val="000000"/>
                <w:sz w:val="24"/>
                <w:szCs w:val="24"/>
              </w:rPr>
            </w:pPr>
          </w:p>
        </w:tc>
        <w:tc>
          <w:tcPr>
            <w:tcW w:w="3260" w:type="dxa"/>
          </w:tcPr>
          <w:p w14:paraId="3622B37D" w14:textId="77777777" w:rsidR="00C0600B" w:rsidRPr="000277E7" w:rsidRDefault="00EB1169" w:rsidP="000277E7">
            <w:pPr>
              <w:spacing w:after="0" w:line="240" w:lineRule="auto"/>
              <w:ind w:firstLine="0"/>
              <w:jc w:val="both"/>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Male</w:t>
            </w:r>
          </w:p>
        </w:tc>
        <w:tc>
          <w:tcPr>
            <w:tcW w:w="1560" w:type="dxa"/>
          </w:tcPr>
          <w:p w14:paraId="6C4C8000"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620</w:t>
            </w:r>
          </w:p>
        </w:tc>
        <w:tc>
          <w:tcPr>
            <w:tcW w:w="1945" w:type="dxa"/>
          </w:tcPr>
          <w:p w14:paraId="4DD765AD"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51.7</w:t>
            </w:r>
          </w:p>
        </w:tc>
      </w:tr>
      <w:tr w:rsidR="00C0600B" w:rsidRPr="000277E7" w14:paraId="7EC1598C" w14:textId="77777777" w:rsidTr="000277E7">
        <w:tc>
          <w:tcPr>
            <w:tcW w:w="2410" w:type="dxa"/>
          </w:tcPr>
          <w:p w14:paraId="3B1F0C47"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Ethnicity</w:t>
            </w:r>
          </w:p>
        </w:tc>
        <w:tc>
          <w:tcPr>
            <w:tcW w:w="3260" w:type="dxa"/>
          </w:tcPr>
          <w:p w14:paraId="3126DEBA" w14:textId="77777777" w:rsidR="00C0600B" w:rsidRPr="000277E7" w:rsidRDefault="00EB1169" w:rsidP="000277E7">
            <w:pPr>
              <w:spacing w:after="0" w:line="240" w:lineRule="auto"/>
              <w:ind w:firstLine="0"/>
              <w:jc w:val="both"/>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Malay</w:t>
            </w:r>
          </w:p>
        </w:tc>
        <w:tc>
          <w:tcPr>
            <w:tcW w:w="1560" w:type="dxa"/>
          </w:tcPr>
          <w:p w14:paraId="3B3B64BB"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915</w:t>
            </w:r>
          </w:p>
        </w:tc>
        <w:tc>
          <w:tcPr>
            <w:tcW w:w="1945" w:type="dxa"/>
          </w:tcPr>
          <w:p w14:paraId="709427A2"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76.3</w:t>
            </w:r>
          </w:p>
        </w:tc>
      </w:tr>
      <w:tr w:rsidR="00C0600B" w:rsidRPr="000277E7" w14:paraId="6265ADC3" w14:textId="77777777" w:rsidTr="000277E7">
        <w:tc>
          <w:tcPr>
            <w:tcW w:w="2410" w:type="dxa"/>
          </w:tcPr>
          <w:p w14:paraId="5A955F0C" w14:textId="77777777" w:rsidR="00C0600B" w:rsidRPr="000277E7" w:rsidRDefault="00C0600B" w:rsidP="000277E7">
            <w:pPr>
              <w:spacing w:after="0" w:line="240" w:lineRule="auto"/>
              <w:ind w:firstLine="0"/>
              <w:jc w:val="center"/>
              <w:rPr>
                <w:rFonts w:ascii="Times New Roman" w:eastAsia="Times New Roman" w:hAnsi="Times New Roman" w:cs="Times New Roman"/>
                <w:color w:val="000000"/>
                <w:sz w:val="24"/>
                <w:szCs w:val="24"/>
              </w:rPr>
            </w:pPr>
          </w:p>
        </w:tc>
        <w:tc>
          <w:tcPr>
            <w:tcW w:w="3260" w:type="dxa"/>
          </w:tcPr>
          <w:p w14:paraId="2F6C2DB2" w14:textId="77777777" w:rsidR="00C0600B" w:rsidRPr="000277E7" w:rsidRDefault="00EB1169" w:rsidP="000277E7">
            <w:pPr>
              <w:spacing w:after="0" w:line="240" w:lineRule="auto"/>
              <w:ind w:firstLine="0"/>
              <w:jc w:val="both"/>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Indian</w:t>
            </w:r>
          </w:p>
        </w:tc>
        <w:tc>
          <w:tcPr>
            <w:tcW w:w="1560" w:type="dxa"/>
          </w:tcPr>
          <w:p w14:paraId="6421D370"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152</w:t>
            </w:r>
          </w:p>
        </w:tc>
        <w:tc>
          <w:tcPr>
            <w:tcW w:w="1945" w:type="dxa"/>
          </w:tcPr>
          <w:p w14:paraId="00B95E5C"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12.7</w:t>
            </w:r>
          </w:p>
        </w:tc>
      </w:tr>
      <w:tr w:rsidR="00C0600B" w:rsidRPr="000277E7" w14:paraId="2036EA49" w14:textId="77777777" w:rsidTr="000277E7">
        <w:tc>
          <w:tcPr>
            <w:tcW w:w="2410" w:type="dxa"/>
          </w:tcPr>
          <w:p w14:paraId="71C7F079" w14:textId="77777777" w:rsidR="00C0600B" w:rsidRPr="000277E7" w:rsidRDefault="00C0600B" w:rsidP="000277E7">
            <w:pPr>
              <w:spacing w:after="0" w:line="240" w:lineRule="auto"/>
              <w:ind w:firstLine="0"/>
              <w:jc w:val="center"/>
              <w:rPr>
                <w:rFonts w:ascii="Times New Roman" w:eastAsia="Times New Roman" w:hAnsi="Times New Roman" w:cs="Times New Roman"/>
                <w:color w:val="000000"/>
                <w:sz w:val="24"/>
                <w:szCs w:val="24"/>
              </w:rPr>
            </w:pPr>
          </w:p>
        </w:tc>
        <w:tc>
          <w:tcPr>
            <w:tcW w:w="3260" w:type="dxa"/>
          </w:tcPr>
          <w:p w14:paraId="1E614713" w14:textId="77777777" w:rsidR="00C0600B" w:rsidRPr="000277E7" w:rsidRDefault="00EB1169" w:rsidP="000277E7">
            <w:pPr>
              <w:spacing w:after="0" w:line="240" w:lineRule="auto"/>
              <w:ind w:firstLine="0"/>
              <w:jc w:val="both"/>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Chinese</w:t>
            </w:r>
          </w:p>
        </w:tc>
        <w:tc>
          <w:tcPr>
            <w:tcW w:w="1560" w:type="dxa"/>
          </w:tcPr>
          <w:p w14:paraId="14F053C9"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106</w:t>
            </w:r>
          </w:p>
        </w:tc>
        <w:tc>
          <w:tcPr>
            <w:tcW w:w="1945" w:type="dxa"/>
          </w:tcPr>
          <w:p w14:paraId="62CAFC1E"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8.8</w:t>
            </w:r>
          </w:p>
        </w:tc>
      </w:tr>
      <w:tr w:rsidR="00C0600B" w:rsidRPr="000277E7" w14:paraId="517444F2" w14:textId="77777777" w:rsidTr="000277E7">
        <w:tc>
          <w:tcPr>
            <w:tcW w:w="2410" w:type="dxa"/>
          </w:tcPr>
          <w:p w14:paraId="75C6AEC2" w14:textId="77777777" w:rsidR="00C0600B" w:rsidRPr="000277E7" w:rsidRDefault="00C0600B" w:rsidP="000277E7">
            <w:pPr>
              <w:spacing w:after="0" w:line="240" w:lineRule="auto"/>
              <w:ind w:firstLine="0"/>
              <w:jc w:val="center"/>
              <w:rPr>
                <w:rFonts w:ascii="Times New Roman" w:eastAsia="Times New Roman" w:hAnsi="Times New Roman" w:cs="Times New Roman"/>
                <w:color w:val="000000"/>
                <w:sz w:val="24"/>
                <w:szCs w:val="24"/>
              </w:rPr>
            </w:pPr>
          </w:p>
        </w:tc>
        <w:tc>
          <w:tcPr>
            <w:tcW w:w="3260" w:type="dxa"/>
          </w:tcPr>
          <w:p w14:paraId="622B4A2D" w14:textId="77777777" w:rsidR="00C0600B" w:rsidRPr="000277E7" w:rsidRDefault="00EB1169" w:rsidP="000277E7">
            <w:pPr>
              <w:spacing w:after="0" w:line="240" w:lineRule="auto"/>
              <w:ind w:firstLine="0"/>
              <w:jc w:val="both"/>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Others</w:t>
            </w:r>
          </w:p>
        </w:tc>
        <w:tc>
          <w:tcPr>
            <w:tcW w:w="1560" w:type="dxa"/>
          </w:tcPr>
          <w:p w14:paraId="31C98A5F"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27</w:t>
            </w:r>
          </w:p>
        </w:tc>
        <w:tc>
          <w:tcPr>
            <w:tcW w:w="1945" w:type="dxa"/>
          </w:tcPr>
          <w:p w14:paraId="1BCE392D"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2.3</w:t>
            </w:r>
          </w:p>
        </w:tc>
      </w:tr>
      <w:tr w:rsidR="00C0600B" w:rsidRPr="000277E7" w14:paraId="27AC54A0" w14:textId="77777777" w:rsidTr="000277E7">
        <w:tc>
          <w:tcPr>
            <w:tcW w:w="2410" w:type="dxa"/>
          </w:tcPr>
          <w:p w14:paraId="7485CA55"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Residence</w:t>
            </w:r>
          </w:p>
        </w:tc>
        <w:tc>
          <w:tcPr>
            <w:tcW w:w="3260" w:type="dxa"/>
          </w:tcPr>
          <w:p w14:paraId="4BB01797" w14:textId="77777777" w:rsidR="00C0600B" w:rsidRPr="000277E7" w:rsidRDefault="00EB1169" w:rsidP="000277E7">
            <w:pPr>
              <w:spacing w:after="0" w:line="240" w:lineRule="auto"/>
              <w:ind w:firstLine="0"/>
              <w:jc w:val="both"/>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City</w:t>
            </w:r>
          </w:p>
        </w:tc>
        <w:tc>
          <w:tcPr>
            <w:tcW w:w="1560" w:type="dxa"/>
          </w:tcPr>
          <w:p w14:paraId="3D85C74F"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941</w:t>
            </w:r>
          </w:p>
        </w:tc>
        <w:tc>
          <w:tcPr>
            <w:tcW w:w="1945" w:type="dxa"/>
          </w:tcPr>
          <w:p w14:paraId="503BF82A"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78.4</w:t>
            </w:r>
          </w:p>
        </w:tc>
      </w:tr>
      <w:tr w:rsidR="00C0600B" w:rsidRPr="000277E7" w14:paraId="4220B183" w14:textId="77777777" w:rsidTr="000277E7">
        <w:tc>
          <w:tcPr>
            <w:tcW w:w="2410" w:type="dxa"/>
          </w:tcPr>
          <w:p w14:paraId="19375126" w14:textId="77777777" w:rsidR="00C0600B" w:rsidRPr="000277E7" w:rsidRDefault="00C0600B" w:rsidP="000277E7">
            <w:pPr>
              <w:spacing w:after="0" w:line="240" w:lineRule="auto"/>
              <w:ind w:firstLine="0"/>
              <w:jc w:val="center"/>
              <w:rPr>
                <w:rFonts w:ascii="Times New Roman" w:eastAsia="Times New Roman" w:hAnsi="Times New Roman" w:cs="Times New Roman"/>
                <w:color w:val="000000"/>
                <w:sz w:val="24"/>
                <w:szCs w:val="24"/>
              </w:rPr>
            </w:pPr>
          </w:p>
        </w:tc>
        <w:tc>
          <w:tcPr>
            <w:tcW w:w="3260" w:type="dxa"/>
          </w:tcPr>
          <w:p w14:paraId="7A30DC2B" w14:textId="77777777" w:rsidR="00C0600B" w:rsidRPr="000277E7" w:rsidRDefault="00EB1169" w:rsidP="000277E7">
            <w:pPr>
              <w:spacing w:after="0" w:line="240" w:lineRule="auto"/>
              <w:ind w:firstLine="0"/>
              <w:jc w:val="both"/>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Countryside</w:t>
            </w:r>
          </w:p>
        </w:tc>
        <w:tc>
          <w:tcPr>
            <w:tcW w:w="1560" w:type="dxa"/>
          </w:tcPr>
          <w:p w14:paraId="3F7B54C2"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259</w:t>
            </w:r>
          </w:p>
        </w:tc>
        <w:tc>
          <w:tcPr>
            <w:tcW w:w="1945" w:type="dxa"/>
          </w:tcPr>
          <w:p w14:paraId="796F691F"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21.6</w:t>
            </w:r>
          </w:p>
        </w:tc>
      </w:tr>
      <w:tr w:rsidR="00C0600B" w:rsidRPr="000277E7" w14:paraId="3B1243D9" w14:textId="77777777" w:rsidTr="000277E7">
        <w:tc>
          <w:tcPr>
            <w:tcW w:w="2410" w:type="dxa"/>
            <w:vMerge w:val="restart"/>
          </w:tcPr>
          <w:p w14:paraId="7B46D41D" w14:textId="43F28334"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 xml:space="preserve">Highest </w:t>
            </w:r>
            <w:r w:rsidR="000277E7" w:rsidRPr="000277E7">
              <w:rPr>
                <w:rFonts w:ascii="Times New Roman" w:eastAsia="Times New Roman" w:hAnsi="Times New Roman" w:cs="Times New Roman"/>
                <w:color w:val="000000"/>
                <w:sz w:val="24"/>
                <w:szCs w:val="24"/>
              </w:rPr>
              <w:t>level of education</w:t>
            </w:r>
          </w:p>
        </w:tc>
        <w:tc>
          <w:tcPr>
            <w:tcW w:w="3260" w:type="dxa"/>
          </w:tcPr>
          <w:p w14:paraId="67446175" w14:textId="77777777" w:rsidR="00C0600B" w:rsidRPr="000277E7" w:rsidRDefault="00EB1169" w:rsidP="000277E7">
            <w:pPr>
              <w:spacing w:after="0" w:line="240" w:lineRule="auto"/>
              <w:ind w:firstLine="0"/>
              <w:jc w:val="both"/>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SPM</w:t>
            </w:r>
          </w:p>
        </w:tc>
        <w:tc>
          <w:tcPr>
            <w:tcW w:w="1560" w:type="dxa"/>
          </w:tcPr>
          <w:p w14:paraId="455BA856"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119</w:t>
            </w:r>
          </w:p>
        </w:tc>
        <w:tc>
          <w:tcPr>
            <w:tcW w:w="1945" w:type="dxa"/>
          </w:tcPr>
          <w:p w14:paraId="6855B51F"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9.9</w:t>
            </w:r>
          </w:p>
        </w:tc>
      </w:tr>
      <w:tr w:rsidR="00C0600B" w:rsidRPr="000277E7" w14:paraId="43F97679" w14:textId="77777777" w:rsidTr="000277E7">
        <w:tc>
          <w:tcPr>
            <w:tcW w:w="2410" w:type="dxa"/>
            <w:vMerge/>
          </w:tcPr>
          <w:p w14:paraId="46C1B0A7" w14:textId="77777777" w:rsidR="00C0600B" w:rsidRPr="000277E7" w:rsidRDefault="00C0600B" w:rsidP="000277E7">
            <w:pPr>
              <w:spacing w:after="0" w:line="240" w:lineRule="auto"/>
              <w:ind w:firstLine="0"/>
              <w:jc w:val="center"/>
              <w:rPr>
                <w:rFonts w:ascii="Times New Roman" w:eastAsia="Times New Roman" w:hAnsi="Times New Roman" w:cs="Times New Roman"/>
                <w:color w:val="000000"/>
                <w:sz w:val="24"/>
                <w:szCs w:val="24"/>
              </w:rPr>
            </w:pPr>
          </w:p>
        </w:tc>
        <w:tc>
          <w:tcPr>
            <w:tcW w:w="3260" w:type="dxa"/>
          </w:tcPr>
          <w:p w14:paraId="0FA2C1D3" w14:textId="77777777" w:rsidR="00C0600B" w:rsidRPr="000277E7" w:rsidRDefault="00EB1169" w:rsidP="000277E7">
            <w:pPr>
              <w:spacing w:after="0" w:line="240" w:lineRule="auto"/>
              <w:ind w:firstLine="0"/>
              <w:jc w:val="both"/>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STPM or equivalent</w:t>
            </w:r>
          </w:p>
        </w:tc>
        <w:tc>
          <w:tcPr>
            <w:tcW w:w="1560" w:type="dxa"/>
          </w:tcPr>
          <w:p w14:paraId="71F2763E"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285</w:t>
            </w:r>
          </w:p>
        </w:tc>
        <w:tc>
          <w:tcPr>
            <w:tcW w:w="1945" w:type="dxa"/>
          </w:tcPr>
          <w:p w14:paraId="7DAF2A5F"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23.8</w:t>
            </w:r>
          </w:p>
        </w:tc>
      </w:tr>
      <w:tr w:rsidR="00C0600B" w:rsidRPr="000277E7" w14:paraId="0676C016" w14:textId="77777777" w:rsidTr="000277E7">
        <w:tc>
          <w:tcPr>
            <w:tcW w:w="2410" w:type="dxa"/>
            <w:vMerge/>
          </w:tcPr>
          <w:p w14:paraId="5442D274" w14:textId="77777777" w:rsidR="00C0600B" w:rsidRPr="000277E7" w:rsidRDefault="00C0600B" w:rsidP="000277E7">
            <w:pPr>
              <w:spacing w:after="0" w:line="240" w:lineRule="auto"/>
              <w:ind w:firstLine="0"/>
              <w:jc w:val="center"/>
              <w:rPr>
                <w:rFonts w:ascii="Times New Roman" w:eastAsia="Times New Roman" w:hAnsi="Times New Roman" w:cs="Times New Roman"/>
                <w:color w:val="000000"/>
                <w:sz w:val="24"/>
                <w:szCs w:val="24"/>
              </w:rPr>
            </w:pPr>
          </w:p>
        </w:tc>
        <w:tc>
          <w:tcPr>
            <w:tcW w:w="3260" w:type="dxa"/>
          </w:tcPr>
          <w:p w14:paraId="22908575" w14:textId="77777777" w:rsidR="00C0600B" w:rsidRPr="000277E7" w:rsidRDefault="00EB1169" w:rsidP="000277E7">
            <w:pPr>
              <w:spacing w:after="0" w:line="240" w:lineRule="auto"/>
              <w:ind w:firstLine="0"/>
              <w:jc w:val="both"/>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Bachelor Degree</w:t>
            </w:r>
          </w:p>
        </w:tc>
        <w:tc>
          <w:tcPr>
            <w:tcW w:w="1560" w:type="dxa"/>
          </w:tcPr>
          <w:p w14:paraId="1D5CA0C3"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678</w:t>
            </w:r>
          </w:p>
        </w:tc>
        <w:tc>
          <w:tcPr>
            <w:tcW w:w="1945" w:type="dxa"/>
          </w:tcPr>
          <w:p w14:paraId="059028B8"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56.5</w:t>
            </w:r>
          </w:p>
        </w:tc>
      </w:tr>
      <w:tr w:rsidR="00C0600B" w:rsidRPr="000277E7" w14:paraId="6AB386B1" w14:textId="77777777" w:rsidTr="000277E7">
        <w:tc>
          <w:tcPr>
            <w:tcW w:w="2410" w:type="dxa"/>
            <w:vMerge/>
          </w:tcPr>
          <w:p w14:paraId="14B3CA09" w14:textId="77777777" w:rsidR="00C0600B" w:rsidRPr="000277E7" w:rsidRDefault="00C0600B" w:rsidP="000277E7">
            <w:pPr>
              <w:spacing w:after="0" w:line="240" w:lineRule="auto"/>
              <w:ind w:firstLine="0"/>
              <w:jc w:val="center"/>
              <w:rPr>
                <w:rFonts w:ascii="Times New Roman" w:eastAsia="Times New Roman" w:hAnsi="Times New Roman" w:cs="Times New Roman"/>
                <w:color w:val="000000"/>
                <w:sz w:val="24"/>
                <w:szCs w:val="24"/>
              </w:rPr>
            </w:pPr>
          </w:p>
        </w:tc>
        <w:tc>
          <w:tcPr>
            <w:tcW w:w="3260" w:type="dxa"/>
          </w:tcPr>
          <w:p w14:paraId="505A7E08" w14:textId="77777777" w:rsidR="00C0600B" w:rsidRPr="000277E7" w:rsidRDefault="00EB1169" w:rsidP="000277E7">
            <w:pPr>
              <w:spacing w:after="0" w:line="240" w:lineRule="auto"/>
              <w:ind w:firstLine="0"/>
              <w:jc w:val="both"/>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Master Degree</w:t>
            </w:r>
          </w:p>
        </w:tc>
        <w:tc>
          <w:tcPr>
            <w:tcW w:w="1560" w:type="dxa"/>
          </w:tcPr>
          <w:p w14:paraId="3AA1CCAD"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93</w:t>
            </w:r>
          </w:p>
        </w:tc>
        <w:tc>
          <w:tcPr>
            <w:tcW w:w="1945" w:type="dxa"/>
          </w:tcPr>
          <w:p w14:paraId="6C35E588"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7.8</w:t>
            </w:r>
          </w:p>
        </w:tc>
      </w:tr>
      <w:tr w:rsidR="00C0600B" w:rsidRPr="000277E7" w14:paraId="4FC9B14D" w14:textId="77777777" w:rsidTr="000277E7">
        <w:tc>
          <w:tcPr>
            <w:tcW w:w="2410" w:type="dxa"/>
            <w:vMerge/>
          </w:tcPr>
          <w:p w14:paraId="044330E9" w14:textId="77777777" w:rsidR="00C0600B" w:rsidRPr="000277E7" w:rsidRDefault="00C0600B" w:rsidP="000277E7">
            <w:pPr>
              <w:spacing w:after="0" w:line="240" w:lineRule="auto"/>
              <w:ind w:firstLine="0"/>
              <w:jc w:val="center"/>
              <w:rPr>
                <w:rFonts w:ascii="Times New Roman" w:eastAsia="Times New Roman" w:hAnsi="Times New Roman" w:cs="Times New Roman"/>
                <w:color w:val="000000"/>
                <w:sz w:val="24"/>
                <w:szCs w:val="24"/>
              </w:rPr>
            </w:pPr>
          </w:p>
        </w:tc>
        <w:tc>
          <w:tcPr>
            <w:tcW w:w="3260" w:type="dxa"/>
          </w:tcPr>
          <w:p w14:paraId="20B810BF" w14:textId="77777777" w:rsidR="00C0600B" w:rsidRPr="000277E7" w:rsidRDefault="00EB1169" w:rsidP="000277E7">
            <w:pPr>
              <w:spacing w:after="0" w:line="240" w:lineRule="auto"/>
              <w:ind w:firstLine="0"/>
              <w:jc w:val="both"/>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Doctor of Philosophy (PHD)</w:t>
            </w:r>
          </w:p>
        </w:tc>
        <w:tc>
          <w:tcPr>
            <w:tcW w:w="1560" w:type="dxa"/>
          </w:tcPr>
          <w:p w14:paraId="50672868"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25</w:t>
            </w:r>
          </w:p>
        </w:tc>
        <w:tc>
          <w:tcPr>
            <w:tcW w:w="1945" w:type="dxa"/>
          </w:tcPr>
          <w:p w14:paraId="20860064"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2.1</w:t>
            </w:r>
          </w:p>
        </w:tc>
      </w:tr>
      <w:tr w:rsidR="00C0600B" w:rsidRPr="000277E7" w14:paraId="4C3038D8" w14:textId="77777777" w:rsidTr="000277E7">
        <w:tc>
          <w:tcPr>
            <w:tcW w:w="2410" w:type="dxa"/>
          </w:tcPr>
          <w:p w14:paraId="07A3C0ED"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Occupation sector</w:t>
            </w:r>
          </w:p>
        </w:tc>
        <w:tc>
          <w:tcPr>
            <w:tcW w:w="3260" w:type="dxa"/>
          </w:tcPr>
          <w:p w14:paraId="302CF16E" w14:textId="77777777" w:rsidR="00C0600B" w:rsidRPr="000277E7" w:rsidRDefault="00EB1169" w:rsidP="000277E7">
            <w:pPr>
              <w:spacing w:after="0" w:line="240" w:lineRule="auto"/>
              <w:ind w:firstLine="0"/>
              <w:jc w:val="both"/>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Government</w:t>
            </w:r>
          </w:p>
        </w:tc>
        <w:tc>
          <w:tcPr>
            <w:tcW w:w="1560" w:type="dxa"/>
          </w:tcPr>
          <w:p w14:paraId="4736DEAE"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194</w:t>
            </w:r>
          </w:p>
        </w:tc>
        <w:tc>
          <w:tcPr>
            <w:tcW w:w="1945" w:type="dxa"/>
          </w:tcPr>
          <w:p w14:paraId="1F098B42"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16.2</w:t>
            </w:r>
          </w:p>
        </w:tc>
      </w:tr>
      <w:tr w:rsidR="00C0600B" w:rsidRPr="000277E7" w14:paraId="3C8FE474" w14:textId="77777777" w:rsidTr="000277E7">
        <w:tc>
          <w:tcPr>
            <w:tcW w:w="2410" w:type="dxa"/>
          </w:tcPr>
          <w:p w14:paraId="71019673" w14:textId="77777777" w:rsidR="00C0600B" w:rsidRPr="000277E7" w:rsidRDefault="00C0600B" w:rsidP="000277E7">
            <w:pPr>
              <w:spacing w:after="0" w:line="240" w:lineRule="auto"/>
              <w:ind w:firstLine="0"/>
              <w:jc w:val="center"/>
              <w:rPr>
                <w:rFonts w:ascii="Times New Roman" w:eastAsia="Times New Roman" w:hAnsi="Times New Roman" w:cs="Times New Roman"/>
                <w:color w:val="000000"/>
                <w:sz w:val="24"/>
                <w:szCs w:val="24"/>
              </w:rPr>
            </w:pPr>
          </w:p>
        </w:tc>
        <w:tc>
          <w:tcPr>
            <w:tcW w:w="3260" w:type="dxa"/>
          </w:tcPr>
          <w:p w14:paraId="64F5ADC4" w14:textId="77777777" w:rsidR="00C0600B" w:rsidRPr="000277E7" w:rsidRDefault="00EB1169" w:rsidP="000277E7">
            <w:pPr>
              <w:spacing w:after="0" w:line="240" w:lineRule="auto"/>
              <w:ind w:firstLine="0"/>
              <w:jc w:val="both"/>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Private</w:t>
            </w:r>
          </w:p>
        </w:tc>
        <w:tc>
          <w:tcPr>
            <w:tcW w:w="1560" w:type="dxa"/>
          </w:tcPr>
          <w:p w14:paraId="401818F0"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459</w:t>
            </w:r>
          </w:p>
        </w:tc>
        <w:tc>
          <w:tcPr>
            <w:tcW w:w="1945" w:type="dxa"/>
          </w:tcPr>
          <w:p w14:paraId="778175C4"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38.3</w:t>
            </w:r>
          </w:p>
        </w:tc>
      </w:tr>
      <w:tr w:rsidR="00C0600B" w:rsidRPr="000277E7" w14:paraId="523E099A" w14:textId="77777777" w:rsidTr="000277E7">
        <w:tc>
          <w:tcPr>
            <w:tcW w:w="2410" w:type="dxa"/>
          </w:tcPr>
          <w:p w14:paraId="773C008B" w14:textId="77777777" w:rsidR="00C0600B" w:rsidRPr="000277E7" w:rsidRDefault="00C0600B" w:rsidP="000277E7">
            <w:pPr>
              <w:spacing w:after="0" w:line="240" w:lineRule="auto"/>
              <w:ind w:firstLine="0"/>
              <w:jc w:val="center"/>
              <w:rPr>
                <w:rFonts w:ascii="Times New Roman" w:eastAsia="Times New Roman" w:hAnsi="Times New Roman" w:cs="Times New Roman"/>
                <w:color w:val="000000"/>
                <w:sz w:val="24"/>
                <w:szCs w:val="24"/>
              </w:rPr>
            </w:pPr>
          </w:p>
        </w:tc>
        <w:tc>
          <w:tcPr>
            <w:tcW w:w="3260" w:type="dxa"/>
          </w:tcPr>
          <w:p w14:paraId="53EDBC7F" w14:textId="77777777" w:rsidR="00C0600B" w:rsidRPr="000277E7" w:rsidRDefault="00EB1169" w:rsidP="000277E7">
            <w:pPr>
              <w:spacing w:after="0" w:line="240" w:lineRule="auto"/>
              <w:ind w:firstLine="0"/>
              <w:jc w:val="both"/>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Self Employed</w:t>
            </w:r>
          </w:p>
        </w:tc>
        <w:tc>
          <w:tcPr>
            <w:tcW w:w="1560" w:type="dxa"/>
          </w:tcPr>
          <w:p w14:paraId="62653278"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126</w:t>
            </w:r>
          </w:p>
        </w:tc>
        <w:tc>
          <w:tcPr>
            <w:tcW w:w="1945" w:type="dxa"/>
          </w:tcPr>
          <w:p w14:paraId="5F4E19BB"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10.5</w:t>
            </w:r>
          </w:p>
        </w:tc>
      </w:tr>
      <w:tr w:rsidR="00C0600B" w:rsidRPr="000277E7" w14:paraId="4419A060" w14:textId="77777777" w:rsidTr="000277E7">
        <w:tc>
          <w:tcPr>
            <w:tcW w:w="2410" w:type="dxa"/>
          </w:tcPr>
          <w:p w14:paraId="31033DA6" w14:textId="77777777" w:rsidR="00C0600B" w:rsidRPr="000277E7" w:rsidRDefault="00C0600B" w:rsidP="000277E7">
            <w:pPr>
              <w:spacing w:after="0" w:line="240" w:lineRule="auto"/>
              <w:ind w:firstLine="0"/>
              <w:jc w:val="center"/>
              <w:rPr>
                <w:rFonts w:ascii="Times New Roman" w:eastAsia="Times New Roman" w:hAnsi="Times New Roman" w:cs="Times New Roman"/>
                <w:color w:val="000000"/>
                <w:sz w:val="24"/>
                <w:szCs w:val="24"/>
              </w:rPr>
            </w:pPr>
          </w:p>
        </w:tc>
        <w:tc>
          <w:tcPr>
            <w:tcW w:w="3260" w:type="dxa"/>
          </w:tcPr>
          <w:p w14:paraId="6460E7F0" w14:textId="77777777" w:rsidR="00C0600B" w:rsidRPr="000277E7" w:rsidRDefault="00EB1169" w:rsidP="000277E7">
            <w:pPr>
              <w:spacing w:after="0" w:line="240" w:lineRule="auto"/>
              <w:ind w:firstLine="0"/>
              <w:jc w:val="both"/>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Not working/Not working yet</w:t>
            </w:r>
          </w:p>
        </w:tc>
        <w:tc>
          <w:tcPr>
            <w:tcW w:w="1560" w:type="dxa"/>
          </w:tcPr>
          <w:p w14:paraId="74AECBD5"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421</w:t>
            </w:r>
          </w:p>
        </w:tc>
        <w:tc>
          <w:tcPr>
            <w:tcW w:w="1945" w:type="dxa"/>
          </w:tcPr>
          <w:p w14:paraId="70CEAEED"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35.1</w:t>
            </w:r>
          </w:p>
        </w:tc>
      </w:tr>
      <w:tr w:rsidR="00C0600B" w:rsidRPr="000277E7" w14:paraId="27BE6408" w14:textId="77777777" w:rsidTr="000277E7">
        <w:tc>
          <w:tcPr>
            <w:tcW w:w="2410" w:type="dxa"/>
            <w:vMerge w:val="restart"/>
          </w:tcPr>
          <w:p w14:paraId="262A5A78" w14:textId="24B2B480"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 xml:space="preserve">Total </w:t>
            </w:r>
            <w:r w:rsidR="000277E7" w:rsidRPr="000277E7">
              <w:rPr>
                <w:rFonts w:ascii="Times New Roman" w:eastAsia="Times New Roman" w:hAnsi="Times New Roman" w:cs="Times New Roman"/>
                <w:color w:val="000000"/>
                <w:sz w:val="24"/>
                <w:szCs w:val="24"/>
              </w:rPr>
              <w:t>monthly income</w:t>
            </w:r>
          </w:p>
        </w:tc>
        <w:tc>
          <w:tcPr>
            <w:tcW w:w="3260" w:type="dxa"/>
          </w:tcPr>
          <w:p w14:paraId="41DD6E08" w14:textId="77777777" w:rsidR="00C0600B" w:rsidRPr="000277E7" w:rsidRDefault="00EB1169" w:rsidP="000277E7">
            <w:pPr>
              <w:spacing w:after="0" w:line="240" w:lineRule="auto"/>
              <w:ind w:firstLine="0"/>
              <w:jc w:val="both"/>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Less than RM2500</w:t>
            </w:r>
          </w:p>
        </w:tc>
        <w:tc>
          <w:tcPr>
            <w:tcW w:w="1560" w:type="dxa"/>
          </w:tcPr>
          <w:p w14:paraId="66D30AD6"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616</w:t>
            </w:r>
          </w:p>
        </w:tc>
        <w:tc>
          <w:tcPr>
            <w:tcW w:w="1945" w:type="dxa"/>
          </w:tcPr>
          <w:p w14:paraId="49539D17"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51.3</w:t>
            </w:r>
          </w:p>
        </w:tc>
      </w:tr>
      <w:tr w:rsidR="00C0600B" w:rsidRPr="000277E7" w14:paraId="08354BD9" w14:textId="77777777" w:rsidTr="000277E7">
        <w:tc>
          <w:tcPr>
            <w:tcW w:w="2410" w:type="dxa"/>
            <w:vMerge/>
          </w:tcPr>
          <w:p w14:paraId="4E10573B" w14:textId="77777777" w:rsidR="00C0600B" w:rsidRPr="000277E7" w:rsidRDefault="00C0600B" w:rsidP="000277E7">
            <w:pPr>
              <w:spacing w:after="0" w:line="240" w:lineRule="auto"/>
              <w:ind w:firstLine="0"/>
              <w:jc w:val="center"/>
              <w:rPr>
                <w:rFonts w:ascii="Times New Roman" w:eastAsia="Times New Roman" w:hAnsi="Times New Roman" w:cs="Times New Roman"/>
                <w:color w:val="000000"/>
                <w:sz w:val="24"/>
                <w:szCs w:val="24"/>
              </w:rPr>
            </w:pPr>
          </w:p>
        </w:tc>
        <w:tc>
          <w:tcPr>
            <w:tcW w:w="3260" w:type="dxa"/>
          </w:tcPr>
          <w:p w14:paraId="63EF417B" w14:textId="7EE773D6" w:rsidR="00C0600B" w:rsidRPr="000277E7" w:rsidRDefault="006276EA" w:rsidP="000277E7">
            <w:pPr>
              <w:spacing w:after="0" w:line="240"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RM</w:t>
            </w:r>
            <w:r w:rsidR="00EB1169" w:rsidRPr="000277E7">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,501- RM</w:t>
            </w:r>
            <w:r w:rsidR="00EB1169" w:rsidRPr="000277E7">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w:t>
            </w:r>
            <w:r w:rsidR="00EB1169" w:rsidRPr="000277E7">
              <w:rPr>
                <w:rFonts w:ascii="Times New Roman" w:eastAsia="Times New Roman" w:hAnsi="Times New Roman" w:cs="Times New Roman"/>
                <w:color w:val="000000"/>
                <w:sz w:val="24"/>
                <w:szCs w:val="24"/>
              </w:rPr>
              <w:t>170</w:t>
            </w:r>
          </w:p>
        </w:tc>
        <w:tc>
          <w:tcPr>
            <w:tcW w:w="1560" w:type="dxa"/>
          </w:tcPr>
          <w:p w14:paraId="6CAFFDB9"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163</w:t>
            </w:r>
          </w:p>
        </w:tc>
        <w:tc>
          <w:tcPr>
            <w:tcW w:w="1945" w:type="dxa"/>
          </w:tcPr>
          <w:p w14:paraId="36A58D95"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13.6</w:t>
            </w:r>
          </w:p>
        </w:tc>
      </w:tr>
      <w:tr w:rsidR="00C0600B" w:rsidRPr="000277E7" w14:paraId="30A9163B" w14:textId="77777777" w:rsidTr="000277E7">
        <w:tc>
          <w:tcPr>
            <w:tcW w:w="2410" w:type="dxa"/>
            <w:vMerge/>
          </w:tcPr>
          <w:p w14:paraId="7FAB7894" w14:textId="77777777" w:rsidR="00C0600B" w:rsidRPr="000277E7" w:rsidRDefault="00C0600B" w:rsidP="000277E7">
            <w:pPr>
              <w:spacing w:after="0" w:line="240" w:lineRule="auto"/>
              <w:ind w:firstLine="0"/>
              <w:jc w:val="center"/>
              <w:rPr>
                <w:rFonts w:ascii="Times New Roman" w:eastAsia="Times New Roman" w:hAnsi="Times New Roman" w:cs="Times New Roman"/>
                <w:color w:val="000000"/>
                <w:sz w:val="24"/>
                <w:szCs w:val="24"/>
              </w:rPr>
            </w:pPr>
          </w:p>
        </w:tc>
        <w:tc>
          <w:tcPr>
            <w:tcW w:w="3260" w:type="dxa"/>
          </w:tcPr>
          <w:p w14:paraId="703DC12B" w14:textId="1D2CE5B0" w:rsidR="00C0600B" w:rsidRPr="000277E7" w:rsidRDefault="006276EA" w:rsidP="000277E7">
            <w:pPr>
              <w:spacing w:after="0" w:line="240"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RM3,171- RM</w:t>
            </w:r>
            <w:r w:rsidR="00EB1169" w:rsidRPr="000277E7">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w:t>
            </w:r>
            <w:r w:rsidR="00EB1169" w:rsidRPr="000277E7">
              <w:rPr>
                <w:rFonts w:ascii="Times New Roman" w:eastAsia="Times New Roman" w:hAnsi="Times New Roman" w:cs="Times New Roman"/>
                <w:color w:val="000000"/>
                <w:sz w:val="24"/>
                <w:szCs w:val="24"/>
              </w:rPr>
              <w:t>850</w:t>
            </w:r>
          </w:p>
        </w:tc>
        <w:tc>
          <w:tcPr>
            <w:tcW w:w="1560" w:type="dxa"/>
          </w:tcPr>
          <w:p w14:paraId="0C28951F"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154</w:t>
            </w:r>
          </w:p>
        </w:tc>
        <w:tc>
          <w:tcPr>
            <w:tcW w:w="1945" w:type="dxa"/>
          </w:tcPr>
          <w:p w14:paraId="0BED7B8A"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12.8</w:t>
            </w:r>
          </w:p>
        </w:tc>
      </w:tr>
      <w:tr w:rsidR="00C0600B" w:rsidRPr="000277E7" w14:paraId="2E107F69" w14:textId="77777777" w:rsidTr="000277E7">
        <w:tc>
          <w:tcPr>
            <w:tcW w:w="2410" w:type="dxa"/>
            <w:vMerge/>
          </w:tcPr>
          <w:p w14:paraId="61C698A4" w14:textId="77777777" w:rsidR="00C0600B" w:rsidRPr="000277E7" w:rsidRDefault="00C0600B" w:rsidP="000277E7">
            <w:pPr>
              <w:spacing w:after="0" w:line="240" w:lineRule="auto"/>
              <w:ind w:firstLine="0"/>
              <w:jc w:val="center"/>
              <w:rPr>
                <w:rFonts w:ascii="Times New Roman" w:eastAsia="Times New Roman" w:hAnsi="Times New Roman" w:cs="Times New Roman"/>
                <w:color w:val="000000"/>
                <w:sz w:val="24"/>
                <w:szCs w:val="24"/>
              </w:rPr>
            </w:pPr>
          </w:p>
        </w:tc>
        <w:tc>
          <w:tcPr>
            <w:tcW w:w="3260" w:type="dxa"/>
          </w:tcPr>
          <w:p w14:paraId="1ADAC929" w14:textId="7352B412" w:rsidR="00C0600B" w:rsidRPr="000277E7" w:rsidRDefault="006276EA" w:rsidP="000277E7">
            <w:pPr>
              <w:spacing w:after="0" w:line="240"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RM</w:t>
            </w:r>
            <w:r w:rsidR="00EB1169" w:rsidRPr="000277E7">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,851- RM</w:t>
            </w:r>
            <w:r w:rsidR="00EB1169" w:rsidRPr="000277E7">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w:t>
            </w:r>
            <w:r w:rsidR="00EB1169" w:rsidRPr="000277E7">
              <w:rPr>
                <w:rFonts w:ascii="Times New Roman" w:eastAsia="Times New Roman" w:hAnsi="Times New Roman" w:cs="Times New Roman"/>
                <w:color w:val="000000"/>
                <w:sz w:val="24"/>
                <w:szCs w:val="24"/>
              </w:rPr>
              <w:t>880</w:t>
            </w:r>
          </w:p>
        </w:tc>
        <w:tc>
          <w:tcPr>
            <w:tcW w:w="1560" w:type="dxa"/>
          </w:tcPr>
          <w:p w14:paraId="5663EDDA"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52</w:t>
            </w:r>
          </w:p>
        </w:tc>
        <w:tc>
          <w:tcPr>
            <w:tcW w:w="1945" w:type="dxa"/>
          </w:tcPr>
          <w:p w14:paraId="52A8BABB"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4.3</w:t>
            </w:r>
          </w:p>
        </w:tc>
      </w:tr>
      <w:tr w:rsidR="00C0600B" w:rsidRPr="000277E7" w14:paraId="296A425C" w14:textId="77777777" w:rsidTr="000277E7">
        <w:tc>
          <w:tcPr>
            <w:tcW w:w="2410" w:type="dxa"/>
            <w:vMerge/>
          </w:tcPr>
          <w:p w14:paraId="49F4B310" w14:textId="77777777" w:rsidR="00C0600B" w:rsidRPr="000277E7" w:rsidRDefault="00C0600B" w:rsidP="000277E7">
            <w:pPr>
              <w:spacing w:after="0" w:line="240" w:lineRule="auto"/>
              <w:ind w:firstLine="0"/>
              <w:jc w:val="center"/>
              <w:rPr>
                <w:rFonts w:ascii="Times New Roman" w:eastAsia="Times New Roman" w:hAnsi="Times New Roman" w:cs="Times New Roman"/>
                <w:color w:val="000000"/>
                <w:sz w:val="24"/>
                <w:szCs w:val="24"/>
              </w:rPr>
            </w:pPr>
          </w:p>
        </w:tc>
        <w:tc>
          <w:tcPr>
            <w:tcW w:w="3260" w:type="dxa"/>
          </w:tcPr>
          <w:p w14:paraId="4B86576F" w14:textId="1C7DA987" w:rsidR="00C0600B" w:rsidRPr="000277E7" w:rsidRDefault="006276EA" w:rsidP="000277E7">
            <w:pPr>
              <w:spacing w:after="0" w:line="240"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RM</w:t>
            </w:r>
            <w:r w:rsidR="00EB1169" w:rsidRPr="000277E7">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w:t>
            </w:r>
            <w:r w:rsidR="00EB1169" w:rsidRPr="000277E7">
              <w:rPr>
                <w:rFonts w:ascii="Times New Roman" w:eastAsia="Times New Roman" w:hAnsi="Times New Roman" w:cs="Times New Roman"/>
                <w:color w:val="000000"/>
                <w:sz w:val="24"/>
                <w:szCs w:val="24"/>
              </w:rPr>
              <w:t>881- RM7</w:t>
            </w:r>
            <w:r>
              <w:rPr>
                <w:rFonts w:ascii="Times New Roman" w:eastAsia="Times New Roman" w:hAnsi="Times New Roman" w:cs="Times New Roman"/>
                <w:color w:val="000000"/>
                <w:sz w:val="24"/>
                <w:szCs w:val="24"/>
              </w:rPr>
              <w:t>,</w:t>
            </w:r>
            <w:r w:rsidR="00EB1169" w:rsidRPr="000277E7">
              <w:rPr>
                <w:rFonts w:ascii="Times New Roman" w:eastAsia="Times New Roman" w:hAnsi="Times New Roman" w:cs="Times New Roman"/>
                <w:color w:val="000000"/>
                <w:sz w:val="24"/>
                <w:szCs w:val="24"/>
              </w:rPr>
              <w:t>100</w:t>
            </w:r>
          </w:p>
        </w:tc>
        <w:tc>
          <w:tcPr>
            <w:tcW w:w="1560" w:type="dxa"/>
          </w:tcPr>
          <w:p w14:paraId="7BD5295E"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68</w:t>
            </w:r>
          </w:p>
        </w:tc>
        <w:tc>
          <w:tcPr>
            <w:tcW w:w="1945" w:type="dxa"/>
          </w:tcPr>
          <w:p w14:paraId="3BA0F881"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5.7</w:t>
            </w:r>
          </w:p>
        </w:tc>
      </w:tr>
      <w:tr w:rsidR="00C0600B" w:rsidRPr="000277E7" w14:paraId="0A1EDAF7" w14:textId="77777777" w:rsidTr="000277E7">
        <w:tc>
          <w:tcPr>
            <w:tcW w:w="2410" w:type="dxa"/>
            <w:vMerge/>
          </w:tcPr>
          <w:p w14:paraId="6C808090" w14:textId="77777777" w:rsidR="00C0600B" w:rsidRPr="000277E7" w:rsidRDefault="00C0600B" w:rsidP="000277E7">
            <w:pPr>
              <w:spacing w:after="0" w:line="240" w:lineRule="auto"/>
              <w:ind w:firstLine="0"/>
              <w:jc w:val="center"/>
              <w:rPr>
                <w:rFonts w:ascii="Times New Roman" w:eastAsia="Times New Roman" w:hAnsi="Times New Roman" w:cs="Times New Roman"/>
                <w:color w:val="000000"/>
                <w:sz w:val="24"/>
                <w:szCs w:val="24"/>
              </w:rPr>
            </w:pPr>
          </w:p>
        </w:tc>
        <w:tc>
          <w:tcPr>
            <w:tcW w:w="3260" w:type="dxa"/>
          </w:tcPr>
          <w:p w14:paraId="18D0F68C" w14:textId="6D00ED33" w:rsidR="00C0600B" w:rsidRPr="000277E7" w:rsidRDefault="00EB1169" w:rsidP="000277E7">
            <w:pPr>
              <w:spacing w:after="0" w:line="240" w:lineRule="auto"/>
              <w:ind w:firstLine="0"/>
              <w:jc w:val="both"/>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RM7</w:t>
            </w:r>
            <w:r w:rsidR="006276EA">
              <w:rPr>
                <w:rFonts w:ascii="Times New Roman" w:eastAsia="Times New Roman" w:hAnsi="Times New Roman" w:cs="Times New Roman"/>
                <w:color w:val="000000"/>
                <w:sz w:val="24"/>
                <w:szCs w:val="24"/>
              </w:rPr>
              <w:t>,</w:t>
            </w:r>
            <w:r w:rsidRPr="000277E7">
              <w:rPr>
                <w:rFonts w:ascii="Times New Roman" w:eastAsia="Times New Roman" w:hAnsi="Times New Roman" w:cs="Times New Roman"/>
                <w:color w:val="000000"/>
                <w:sz w:val="24"/>
                <w:szCs w:val="24"/>
              </w:rPr>
              <w:t>101- RM 8</w:t>
            </w:r>
            <w:r w:rsidR="006276EA">
              <w:rPr>
                <w:rFonts w:ascii="Times New Roman" w:eastAsia="Times New Roman" w:hAnsi="Times New Roman" w:cs="Times New Roman"/>
                <w:color w:val="000000"/>
                <w:sz w:val="24"/>
                <w:szCs w:val="24"/>
              </w:rPr>
              <w:t>,</w:t>
            </w:r>
            <w:r w:rsidRPr="000277E7">
              <w:rPr>
                <w:rFonts w:ascii="Times New Roman" w:eastAsia="Times New Roman" w:hAnsi="Times New Roman" w:cs="Times New Roman"/>
                <w:color w:val="000000"/>
                <w:sz w:val="24"/>
                <w:szCs w:val="24"/>
              </w:rPr>
              <w:t>700</w:t>
            </w:r>
          </w:p>
        </w:tc>
        <w:tc>
          <w:tcPr>
            <w:tcW w:w="1560" w:type="dxa"/>
          </w:tcPr>
          <w:p w14:paraId="238F116F"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31</w:t>
            </w:r>
          </w:p>
        </w:tc>
        <w:tc>
          <w:tcPr>
            <w:tcW w:w="1945" w:type="dxa"/>
          </w:tcPr>
          <w:p w14:paraId="429C881F"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2.6</w:t>
            </w:r>
          </w:p>
        </w:tc>
      </w:tr>
      <w:tr w:rsidR="00C0600B" w:rsidRPr="000277E7" w14:paraId="4AA4A93B" w14:textId="77777777" w:rsidTr="000277E7">
        <w:tc>
          <w:tcPr>
            <w:tcW w:w="2410" w:type="dxa"/>
            <w:vMerge/>
          </w:tcPr>
          <w:p w14:paraId="5CC2F711" w14:textId="77777777" w:rsidR="00C0600B" w:rsidRPr="000277E7" w:rsidRDefault="00C0600B" w:rsidP="000277E7">
            <w:pPr>
              <w:spacing w:after="0" w:line="240" w:lineRule="auto"/>
              <w:ind w:firstLine="0"/>
              <w:jc w:val="center"/>
              <w:rPr>
                <w:rFonts w:ascii="Times New Roman" w:eastAsia="Times New Roman" w:hAnsi="Times New Roman" w:cs="Times New Roman"/>
                <w:color w:val="000000"/>
                <w:sz w:val="24"/>
                <w:szCs w:val="24"/>
              </w:rPr>
            </w:pPr>
          </w:p>
        </w:tc>
        <w:tc>
          <w:tcPr>
            <w:tcW w:w="3260" w:type="dxa"/>
          </w:tcPr>
          <w:p w14:paraId="3E8D3000" w14:textId="4A1AF872" w:rsidR="00C0600B" w:rsidRPr="000277E7" w:rsidRDefault="00EB1169" w:rsidP="000277E7">
            <w:pPr>
              <w:spacing w:after="0" w:line="240" w:lineRule="auto"/>
              <w:ind w:firstLine="0"/>
              <w:jc w:val="both"/>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RM8</w:t>
            </w:r>
            <w:r w:rsidR="006276EA">
              <w:rPr>
                <w:rFonts w:ascii="Times New Roman" w:eastAsia="Times New Roman" w:hAnsi="Times New Roman" w:cs="Times New Roman"/>
                <w:color w:val="000000"/>
                <w:sz w:val="24"/>
                <w:szCs w:val="24"/>
              </w:rPr>
              <w:t>,</w:t>
            </w:r>
            <w:r w:rsidRPr="000277E7">
              <w:rPr>
                <w:rFonts w:ascii="Times New Roman" w:eastAsia="Times New Roman" w:hAnsi="Times New Roman" w:cs="Times New Roman"/>
                <w:color w:val="000000"/>
                <w:sz w:val="24"/>
                <w:szCs w:val="24"/>
              </w:rPr>
              <w:t>701- RM 10</w:t>
            </w:r>
            <w:r w:rsidR="006276EA">
              <w:rPr>
                <w:rFonts w:ascii="Times New Roman" w:eastAsia="Times New Roman" w:hAnsi="Times New Roman" w:cs="Times New Roman"/>
                <w:color w:val="000000"/>
                <w:sz w:val="24"/>
                <w:szCs w:val="24"/>
              </w:rPr>
              <w:t>,</w:t>
            </w:r>
            <w:r w:rsidRPr="000277E7">
              <w:rPr>
                <w:rFonts w:ascii="Times New Roman" w:eastAsia="Times New Roman" w:hAnsi="Times New Roman" w:cs="Times New Roman"/>
                <w:color w:val="000000"/>
                <w:sz w:val="24"/>
                <w:szCs w:val="24"/>
              </w:rPr>
              <w:t>970</w:t>
            </w:r>
          </w:p>
        </w:tc>
        <w:tc>
          <w:tcPr>
            <w:tcW w:w="1560" w:type="dxa"/>
          </w:tcPr>
          <w:p w14:paraId="49774E42"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49</w:t>
            </w:r>
          </w:p>
        </w:tc>
        <w:tc>
          <w:tcPr>
            <w:tcW w:w="1945" w:type="dxa"/>
          </w:tcPr>
          <w:p w14:paraId="01022727"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4.1</w:t>
            </w:r>
          </w:p>
        </w:tc>
      </w:tr>
      <w:tr w:rsidR="00C0600B" w:rsidRPr="000277E7" w14:paraId="50411E58" w14:textId="77777777" w:rsidTr="000277E7">
        <w:tc>
          <w:tcPr>
            <w:tcW w:w="2410" w:type="dxa"/>
            <w:vMerge/>
          </w:tcPr>
          <w:p w14:paraId="29FD20C4" w14:textId="77777777" w:rsidR="00C0600B" w:rsidRPr="000277E7" w:rsidRDefault="00C0600B" w:rsidP="000277E7">
            <w:pPr>
              <w:spacing w:after="0" w:line="240" w:lineRule="auto"/>
              <w:ind w:firstLine="0"/>
              <w:jc w:val="center"/>
              <w:rPr>
                <w:rFonts w:ascii="Times New Roman" w:eastAsia="Times New Roman" w:hAnsi="Times New Roman" w:cs="Times New Roman"/>
                <w:color w:val="000000"/>
                <w:sz w:val="24"/>
                <w:szCs w:val="24"/>
              </w:rPr>
            </w:pPr>
          </w:p>
        </w:tc>
        <w:tc>
          <w:tcPr>
            <w:tcW w:w="3260" w:type="dxa"/>
          </w:tcPr>
          <w:p w14:paraId="6EDEC675" w14:textId="7009070F" w:rsidR="00C0600B" w:rsidRPr="000277E7" w:rsidRDefault="006276EA" w:rsidP="000277E7">
            <w:pPr>
              <w:spacing w:after="0" w:line="240"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RM</w:t>
            </w:r>
            <w:r w:rsidR="00EB1169" w:rsidRPr="000277E7">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,971- RM</w:t>
            </w:r>
            <w:r w:rsidR="00EB1169" w:rsidRPr="000277E7">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rPr>
              <w:t>,</w:t>
            </w:r>
            <w:r w:rsidR="00EB1169" w:rsidRPr="000277E7">
              <w:rPr>
                <w:rFonts w:ascii="Times New Roman" w:eastAsia="Times New Roman" w:hAnsi="Times New Roman" w:cs="Times New Roman"/>
                <w:color w:val="000000"/>
                <w:sz w:val="24"/>
                <w:szCs w:val="24"/>
              </w:rPr>
              <w:t>040</w:t>
            </w:r>
          </w:p>
        </w:tc>
        <w:tc>
          <w:tcPr>
            <w:tcW w:w="1560" w:type="dxa"/>
          </w:tcPr>
          <w:p w14:paraId="73706CBD"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31</w:t>
            </w:r>
          </w:p>
        </w:tc>
        <w:tc>
          <w:tcPr>
            <w:tcW w:w="1945" w:type="dxa"/>
          </w:tcPr>
          <w:p w14:paraId="3B0880C7"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2.6</w:t>
            </w:r>
          </w:p>
        </w:tc>
      </w:tr>
      <w:tr w:rsidR="00C0600B" w:rsidRPr="000277E7" w14:paraId="0BFD1B97" w14:textId="77777777" w:rsidTr="000277E7">
        <w:tc>
          <w:tcPr>
            <w:tcW w:w="2410" w:type="dxa"/>
            <w:vMerge/>
          </w:tcPr>
          <w:p w14:paraId="6D35FDD1" w14:textId="77777777" w:rsidR="00C0600B" w:rsidRPr="000277E7" w:rsidRDefault="00C0600B" w:rsidP="000277E7">
            <w:pPr>
              <w:spacing w:after="0" w:line="240" w:lineRule="auto"/>
              <w:ind w:firstLine="0"/>
              <w:jc w:val="center"/>
              <w:rPr>
                <w:rFonts w:ascii="Times New Roman" w:eastAsia="Times New Roman" w:hAnsi="Times New Roman" w:cs="Times New Roman"/>
                <w:color w:val="000000"/>
                <w:sz w:val="24"/>
                <w:szCs w:val="24"/>
              </w:rPr>
            </w:pPr>
          </w:p>
        </w:tc>
        <w:tc>
          <w:tcPr>
            <w:tcW w:w="3260" w:type="dxa"/>
          </w:tcPr>
          <w:p w14:paraId="4B5731B0" w14:textId="79A39985" w:rsidR="00C0600B" w:rsidRPr="000277E7" w:rsidRDefault="006276EA" w:rsidP="000277E7">
            <w:pPr>
              <w:spacing w:after="0" w:line="240"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RM</w:t>
            </w:r>
            <w:r w:rsidR="00EB1169" w:rsidRPr="000277E7">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rPr>
              <w:t>,</w:t>
            </w:r>
            <w:r w:rsidR="00EB1169" w:rsidRPr="000277E7">
              <w:rPr>
                <w:rFonts w:ascii="Times New Roman" w:eastAsia="Times New Roman" w:hAnsi="Times New Roman" w:cs="Times New Roman"/>
                <w:color w:val="000000"/>
                <w:sz w:val="24"/>
                <w:szCs w:val="24"/>
              </w:rPr>
              <w:t>041 and above</w:t>
            </w:r>
          </w:p>
        </w:tc>
        <w:tc>
          <w:tcPr>
            <w:tcW w:w="1560" w:type="dxa"/>
          </w:tcPr>
          <w:p w14:paraId="6B1A0307"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36</w:t>
            </w:r>
          </w:p>
        </w:tc>
        <w:tc>
          <w:tcPr>
            <w:tcW w:w="1945" w:type="dxa"/>
          </w:tcPr>
          <w:p w14:paraId="5FF3186E"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3.0</w:t>
            </w:r>
          </w:p>
        </w:tc>
      </w:tr>
      <w:tr w:rsidR="00C0600B" w:rsidRPr="000277E7" w14:paraId="449A5E93" w14:textId="77777777" w:rsidTr="000277E7">
        <w:tc>
          <w:tcPr>
            <w:tcW w:w="2410" w:type="dxa"/>
          </w:tcPr>
          <w:p w14:paraId="08182B5A" w14:textId="41D55AA4"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 xml:space="preserve">Marital </w:t>
            </w:r>
            <w:r w:rsidR="000277E7">
              <w:rPr>
                <w:rFonts w:ascii="Times New Roman" w:eastAsia="Times New Roman" w:hAnsi="Times New Roman" w:cs="Times New Roman"/>
                <w:color w:val="000000"/>
                <w:sz w:val="24"/>
                <w:szCs w:val="24"/>
              </w:rPr>
              <w:t>s</w:t>
            </w:r>
            <w:r w:rsidRPr="000277E7">
              <w:rPr>
                <w:rFonts w:ascii="Times New Roman" w:eastAsia="Times New Roman" w:hAnsi="Times New Roman" w:cs="Times New Roman"/>
                <w:color w:val="000000"/>
                <w:sz w:val="24"/>
                <w:szCs w:val="24"/>
              </w:rPr>
              <w:t>tatus</w:t>
            </w:r>
          </w:p>
        </w:tc>
        <w:tc>
          <w:tcPr>
            <w:tcW w:w="3260" w:type="dxa"/>
          </w:tcPr>
          <w:p w14:paraId="2243D7B7" w14:textId="77777777" w:rsidR="00C0600B" w:rsidRPr="000277E7" w:rsidRDefault="00EB1169" w:rsidP="000277E7">
            <w:pPr>
              <w:spacing w:after="0" w:line="240" w:lineRule="auto"/>
              <w:ind w:firstLine="0"/>
              <w:jc w:val="both"/>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Single</w:t>
            </w:r>
          </w:p>
        </w:tc>
        <w:tc>
          <w:tcPr>
            <w:tcW w:w="1560" w:type="dxa"/>
          </w:tcPr>
          <w:p w14:paraId="1FB74DEA"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814</w:t>
            </w:r>
          </w:p>
        </w:tc>
        <w:tc>
          <w:tcPr>
            <w:tcW w:w="1945" w:type="dxa"/>
          </w:tcPr>
          <w:p w14:paraId="5634D9F5"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67.8</w:t>
            </w:r>
          </w:p>
        </w:tc>
      </w:tr>
      <w:tr w:rsidR="00C0600B" w:rsidRPr="000277E7" w14:paraId="6527840C" w14:textId="77777777" w:rsidTr="000277E7">
        <w:tc>
          <w:tcPr>
            <w:tcW w:w="2410" w:type="dxa"/>
          </w:tcPr>
          <w:p w14:paraId="712B0DAF" w14:textId="77777777" w:rsidR="00C0600B" w:rsidRPr="000277E7" w:rsidRDefault="00C0600B" w:rsidP="000277E7">
            <w:pPr>
              <w:spacing w:after="0" w:line="240" w:lineRule="auto"/>
              <w:ind w:firstLine="0"/>
              <w:jc w:val="center"/>
              <w:rPr>
                <w:rFonts w:ascii="Times New Roman" w:eastAsia="Times New Roman" w:hAnsi="Times New Roman" w:cs="Times New Roman"/>
                <w:color w:val="000000"/>
                <w:sz w:val="24"/>
                <w:szCs w:val="24"/>
              </w:rPr>
            </w:pPr>
          </w:p>
        </w:tc>
        <w:tc>
          <w:tcPr>
            <w:tcW w:w="3260" w:type="dxa"/>
          </w:tcPr>
          <w:p w14:paraId="1BB8DC13" w14:textId="77777777" w:rsidR="00C0600B" w:rsidRPr="000277E7" w:rsidRDefault="00EB1169" w:rsidP="000277E7">
            <w:pPr>
              <w:spacing w:after="0" w:line="240" w:lineRule="auto"/>
              <w:ind w:firstLine="0"/>
              <w:jc w:val="both"/>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Married</w:t>
            </w:r>
          </w:p>
        </w:tc>
        <w:tc>
          <w:tcPr>
            <w:tcW w:w="1560" w:type="dxa"/>
          </w:tcPr>
          <w:p w14:paraId="1DDF9527"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352</w:t>
            </w:r>
          </w:p>
        </w:tc>
        <w:tc>
          <w:tcPr>
            <w:tcW w:w="1945" w:type="dxa"/>
          </w:tcPr>
          <w:p w14:paraId="2569C140"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29.3</w:t>
            </w:r>
          </w:p>
        </w:tc>
      </w:tr>
      <w:tr w:rsidR="00C0600B" w:rsidRPr="000277E7" w14:paraId="146E5ED6" w14:textId="77777777" w:rsidTr="000277E7">
        <w:tc>
          <w:tcPr>
            <w:tcW w:w="2410" w:type="dxa"/>
          </w:tcPr>
          <w:p w14:paraId="3801AB5C" w14:textId="77777777" w:rsidR="00C0600B" w:rsidRPr="000277E7" w:rsidRDefault="00C0600B" w:rsidP="000277E7">
            <w:pPr>
              <w:spacing w:after="0" w:line="240" w:lineRule="auto"/>
              <w:ind w:firstLine="0"/>
              <w:jc w:val="center"/>
              <w:rPr>
                <w:rFonts w:ascii="Times New Roman" w:eastAsia="Times New Roman" w:hAnsi="Times New Roman" w:cs="Times New Roman"/>
                <w:color w:val="000000"/>
                <w:sz w:val="24"/>
                <w:szCs w:val="24"/>
              </w:rPr>
            </w:pPr>
          </w:p>
        </w:tc>
        <w:tc>
          <w:tcPr>
            <w:tcW w:w="3260" w:type="dxa"/>
          </w:tcPr>
          <w:p w14:paraId="3317AA96" w14:textId="77777777" w:rsidR="00C0600B" w:rsidRPr="000277E7" w:rsidRDefault="00EB1169" w:rsidP="000277E7">
            <w:pPr>
              <w:spacing w:after="0" w:line="240" w:lineRule="auto"/>
              <w:ind w:firstLine="0"/>
              <w:jc w:val="both"/>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Widows/widowers</w:t>
            </w:r>
          </w:p>
        </w:tc>
        <w:tc>
          <w:tcPr>
            <w:tcW w:w="1560" w:type="dxa"/>
          </w:tcPr>
          <w:p w14:paraId="2DF7FEE1"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34</w:t>
            </w:r>
          </w:p>
        </w:tc>
        <w:tc>
          <w:tcPr>
            <w:tcW w:w="1945" w:type="dxa"/>
          </w:tcPr>
          <w:p w14:paraId="1DF9D508"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2.8</w:t>
            </w:r>
          </w:p>
        </w:tc>
      </w:tr>
      <w:tr w:rsidR="00C0600B" w:rsidRPr="000277E7" w14:paraId="2F83D073" w14:textId="77777777" w:rsidTr="00116B68">
        <w:trPr>
          <w:trHeight w:val="92"/>
        </w:trPr>
        <w:tc>
          <w:tcPr>
            <w:tcW w:w="2410" w:type="dxa"/>
            <w:vMerge w:val="restart"/>
          </w:tcPr>
          <w:p w14:paraId="693903CB" w14:textId="5E972C0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 xml:space="preserve">Number of </w:t>
            </w:r>
            <w:r w:rsidR="000277E7" w:rsidRPr="000277E7">
              <w:rPr>
                <w:rFonts w:ascii="Times New Roman" w:eastAsia="Times New Roman" w:hAnsi="Times New Roman" w:cs="Times New Roman"/>
                <w:color w:val="000000"/>
                <w:sz w:val="24"/>
                <w:szCs w:val="24"/>
              </w:rPr>
              <w:t>dependents</w:t>
            </w:r>
          </w:p>
        </w:tc>
        <w:tc>
          <w:tcPr>
            <w:tcW w:w="3260" w:type="dxa"/>
          </w:tcPr>
          <w:p w14:paraId="4B536A99" w14:textId="77777777" w:rsidR="00C0600B" w:rsidRPr="000277E7" w:rsidRDefault="00EB1169" w:rsidP="000277E7">
            <w:pPr>
              <w:spacing w:after="0" w:line="240" w:lineRule="auto"/>
              <w:ind w:firstLine="0"/>
              <w:jc w:val="both"/>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1-3 people</w:t>
            </w:r>
          </w:p>
        </w:tc>
        <w:tc>
          <w:tcPr>
            <w:tcW w:w="1560" w:type="dxa"/>
          </w:tcPr>
          <w:p w14:paraId="5A2D3FFB"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277</w:t>
            </w:r>
          </w:p>
        </w:tc>
        <w:tc>
          <w:tcPr>
            <w:tcW w:w="1945" w:type="dxa"/>
          </w:tcPr>
          <w:p w14:paraId="14FC5634"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23.1</w:t>
            </w:r>
          </w:p>
        </w:tc>
      </w:tr>
      <w:tr w:rsidR="00C0600B" w:rsidRPr="000277E7" w14:paraId="37DED4D8" w14:textId="77777777" w:rsidTr="000277E7">
        <w:tc>
          <w:tcPr>
            <w:tcW w:w="2410" w:type="dxa"/>
            <w:vMerge/>
          </w:tcPr>
          <w:p w14:paraId="6EE09129" w14:textId="77777777" w:rsidR="00C0600B" w:rsidRPr="000277E7" w:rsidRDefault="00C0600B" w:rsidP="000277E7">
            <w:pPr>
              <w:spacing w:after="0" w:line="240" w:lineRule="auto"/>
              <w:ind w:firstLine="0"/>
              <w:jc w:val="center"/>
              <w:rPr>
                <w:rFonts w:ascii="Times New Roman" w:eastAsia="Times New Roman" w:hAnsi="Times New Roman" w:cs="Times New Roman"/>
                <w:color w:val="000000"/>
                <w:sz w:val="24"/>
                <w:szCs w:val="24"/>
              </w:rPr>
            </w:pPr>
          </w:p>
        </w:tc>
        <w:tc>
          <w:tcPr>
            <w:tcW w:w="3260" w:type="dxa"/>
          </w:tcPr>
          <w:p w14:paraId="382DB361" w14:textId="77777777" w:rsidR="00C0600B" w:rsidRPr="000277E7" w:rsidRDefault="00EB1169" w:rsidP="000277E7">
            <w:pPr>
              <w:spacing w:after="0" w:line="240" w:lineRule="auto"/>
              <w:ind w:firstLine="0"/>
              <w:jc w:val="both"/>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4-6 people</w:t>
            </w:r>
          </w:p>
        </w:tc>
        <w:tc>
          <w:tcPr>
            <w:tcW w:w="1560" w:type="dxa"/>
          </w:tcPr>
          <w:p w14:paraId="4C474FDA"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143</w:t>
            </w:r>
          </w:p>
        </w:tc>
        <w:tc>
          <w:tcPr>
            <w:tcW w:w="1945" w:type="dxa"/>
          </w:tcPr>
          <w:p w14:paraId="66CF4033"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11.9</w:t>
            </w:r>
          </w:p>
        </w:tc>
      </w:tr>
      <w:tr w:rsidR="00C0600B" w:rsidRPr="000277E7" w14:paraId="32600BDA" w14:textId="77777777" w:rsidTr="000277E7">
        <w:tc>
          <w:tcPr>
            <w:tcW w:w="2410" w:type="dxa"/>
            <w:vMerge/>
          </w:tcPr>
          <w:p w14:paraId="7A984705" w14:textId="77777777" w:rsidR="00C0600B" w:rsidRPr="000277E7" w:rsidRDefault="00C0600B" w:rsidP="000277E7">
            <w:pPr>
              <w:spacing w:after="0" w:line="240" w:lineRule="auto"/>
              <w:ind w:firstLine="0"/>
              <w:jc w:val="center"/>
              <w:rPr>
                <w:rFonts w:ascii="Times New Roman" w:eastAsia="Times New Roman" w:hAnsi="Times New Roman" w:cs="Times New Roman"/>
                <w:color w:val="000000"/>
                <w:sz w:val="24"/>
                <w:szCs w:val="24"/>
              </w:rPr>
            </w:pPr>
          </w:p>
        </w:tc>
        <w:tc>
          <w:tcPr>
            <w:tcW w:w="3260" w:type="dxa"/>
          </w:tcPr>
          <w:p w14:paraId="3EE981E1" w14:textId="77777777" w:rsidR="00C0600B" w:rsidRPr="000277E7" w:rsidRDefault="00EB1169" w:rsidP="000277E7">
            <w:pPr>
              <w:spacing w:after="0" w:line="240" w:lineRule="auto"/>
              <w:ind w:firstLine="0"/>
              <w:jc w:val="both"/>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7-10 people</w:t>
            </w:r>
          </w:p>
        </w:tc>
        <w:tc>
          <w:tcPr>
            <w:tcW w:w="1560" w:type="dxa"/>
          </w:tcPr>
          <w:p w14:paraId="1F286058"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23</w:t>
            </w:r>
          </w:p>
        </w:tc>
        <w:tc>
          <w:tcPr>
            <w:tcW w:w="1945" w:type="dxa"/>
          </w:tcPr>
          <w:p w14:paraId="6B04CE02"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1.9</w:t>
            </w:r>
          </w:p>
        </w:tc>
      </w:tr>
      <w:tr w:rsidR="00C0600B" w:rsidRPr="000277E7" w14:paraId="315F6B87" w14:textId="77777777" w:rsidTr="000277E7">
        <w:tc>
          <w:tcPr>
            <w:tcW w:w="2410" w:type="dxa"/>
            <w:vMerge/>
          </w:tcPr>
          <w:p w14:paraId="29B37E0B" w14:textId="77777777" w:rsidR="00C0600B" w:rsidRPr="000277E7" w:rsidRDefault="00C0600B" w:rsidP="000277E7">
            <w:pPr>
              <w:spacing w:after="0" w:line="240" w:lineRule="auto"/>
              <w:ind w:firstLine="0"/>
              <w:jc w:val="center"/>
              <w:rPr>
                <w:rFonts w:ascii="Times New Roman" w:eastAsia="Times New Roman" w:hAnsi="Times New Roman" w:cs="Times New Roman"/>
                <w:color w:val="000000"/>
                <w:sz w:val="24"/>
                <w:szCs w:val="24"/>
              </w:rPr>
            </w:pPr>
          </w:p>
        </w:tc>
        <w:tc>
          <w:tcPr>
            <w:tcW w:w="3260" w:type="dxa"/>
          </w:tcPr>
          <w:p w14:paraId="65F72949" w14:textId="77777777" w:rsidR="00C0600B" w:rsidRPr="000277E7" w:rsidRDefault="00EB1169" w:rsidP="000277E7">
            <w:pPr>
              <w:spacing w:after="0" w:line="240" w:lineRule="auto"/>
              <w:ind w:firstLine="0"/>
              <w:jc w:val="both"/>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More than 10 people</w:t>
            </w:r>
          </w:p>
        </w:tc>
        <w:tc>
          <w:tcPr>
            <w:tcW w:w="1560" w:type="dxa"/>
          </w:tcPr>
          <w:p w14:paraId="55F7C5B0"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6</w:t>
            </w:r>
          </w:p>
        </w:tc>
        <w:tc>
          <w:tcPr>
            <w:tcW w:w="1945" w:type="dxa"/>
          </w:tcPr>
          <w:p w14:paraId="1D67C78F"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0.5</w:t>
            </w:r>
          </w:p>
        </w:tc>
      </w:tr>
      <w:tr w:rsidR="00C0600B" w:rsidRPr="000277E7" w14:paraId="209E3F0A" w14:textId="77777777" w:rsidTr="000277E7">
        <w:tc>
          <w:tcPr>
            <w:tcW w:w="2410" w:type="dxa"/>
            <w:vMerge/>
            <w:tcBorders>
              <w:bottom w:val="single" w:sz="4" w:space="0" w:color="auto"/>
            </w:tcBorders>
          </w:tcPr>
          <w:p w14:paraId="34ACE4D3" w14:textId="77777777" w:rsidR="00C0600B" w:rsidRPr="000277E7" w:rsidRDefault="00C0600B" w:rsidP="000277E7">
            <w:pPr>
              <w:spacing w:after="0" w:line="240" w:lineRule="auto"/>
              <w:ind w:firstLine="0"/>
              <w:jc w:val="center"/>
              <w:rPr>
                <w:rFonts w:ascii="Times New Roman" w:eastAsia="Times New Roman" w:hAnsi="Times New Roman" w:cs="Times New Roman"/>
                <w:color w:val="000000"/>
                <w:sz w:val="24"/>
                <w:szCs w:val="24"/>
              </w:rPr>
            </w:pPr>
          </w:p>
        </w:tc>
        <w:tc>
          <w:tcPr>
            <w:tcW w:w="3260" w:type="dxa"/>
            <w:tcBorders>
              <w:bottom w:val="single" w:sz="4" w:space="0" w:color="auto"/>
            </w:tcBorders>
          </w:tcPr>
          <w:p w14:paraId="67D330C4" w14:textId="77777777" w:rsidR="00C0600B" w:rsidRPr="000277E7" w:rsidRDefault="00EB1169" w:rsidP="000277E7">
            <w:pPr>
              <w:spacing w:after="0" w:line="240" w:lineRule="auto"/>
              <w:ind w:firstLine="0"/>
              <w:jc w:val="both"/>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None</w:t>
            </w:r>
          </w:p>
        </w:tc>
        <w:tc>
          <w:tcPr>
            <w:tcW w:w="1560" w:type="dxa"/>
            <w:tcBorders>
              <w:bottom w:val="single" w:sz="4" w:space="0" w:color="auto"/>
            </w:tcBorders>
          </w:tcPr>
          <w:p w14:paraId="2C02BF4C"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751</w:t>
            </w:r>
          </w:p>
        </w:tc>
        <w:tc>
          <w:tcPr>
            <w:tcW w:w="1945" w:type="dxa"/>
            <w:tcBorders>
              <w:bottom w:val="single" w:sz="4" w:space="0" w:color="auto"/>
            </w:tcBorders>
          </w:tcPr>
          <w:p w14:paraId="00719643"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62.6</w:t>
            </w:r>
          </w:p>
        </w:tc>
      </w:tr>
    </w:tbl>
    <w:p w14:paraId="71E52D09" w14:textId="77777777" w:rsidR="00C0600B" w:rsidRDefault="00C0600B" w:rsidP="000277E7">
      <w:pPr>
        <w:spacing w:after="0" w:line="240" w:lineRule="auto"/>
        <w:ind w:hanging="2"/>
        <w:jc w:val="both"/>
        <w:rPr>
          <w:rFonts w:ascii="Times New Roman" w:eastAsia="Times New Roman" w:hAnsi="Times New Roman" w:cs="Times New Roman"/>
          <w:color w:val="000000"/>
          <w:sz w:val="24"/>
          <w:szCs w:val="24"/>
        </w:rPr>
      </w:pPr>
    </w:p>
    <w:p w14:paraId="40CD6396" w14:textId="1661E681" w:rsidR="00C0600B" w:rsidRDefault="00EB1169" w:rsidP="000277E7">
      <w:pP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1 reports the demographic information of the 1,200 respondents in this study. According to Table 1, the demographic factors include gender, ethnicity, place of residence, highest level of education, type of job, total monthly income, marital status and number of dependents.</w:t>
      </w:r>
    </w:p>
    <w:p w14:paraId="2272566C" w14:textId="4B584FDE" w:rsidR="00C0600B" w:rsidRDefault="00EB1169" w:rsidP="000277E7">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Regarding gender, 48.3% of the respondents were female, and 51.7% were male. The majority of respondents were Malays (76.3%), followed by Indians (12.7%), Chinese (8.8%) and others (2.3%). Furthermore, the majority of respondents lived in the city (78.4%), while the </w:t>
      </w:r>
      <w:r>
        <w:rPr>
          <w:rFonts w:ascii="Times New Roman" w:eastAsia="Times New Roman" w:hAnsi="Times New Roman" w:cs="Times New Roman"/>
          <w:color w:val="000000"/>
          <w:sz w:val="24"/>
          <w:szCs w:val="24"/>
        </w:rPr>
        <w:lastRenderedPageBreak/>
        <w:t>remaining 21.6% lived in rural areas. In terms of education, more than half (56.5%) of the respondents had a bachelor's degree. Nearly a quarter (23.8%) had an STPM certificate or equivalent, while 9.9% had completed their education at the SPM level. Additionally, 7.8% held a master's degree and only 2.1% had a Doctor of Philosophy (PhD) degree. In terms of income, most respondents earned below RM2,500 (51.3%), followed by 13.6% earning between RM2,501 and RM3,170, and 12.8% earning between RM3,171 and RM4,850. Additionally, 5.7% of respondents earned between RM5,881 and RM7,100, while 4.3% earned between RM4,851 and RM5,880. Furthermore, 4.1% earned between RM8,701 and RM10,970 and only 3% of respondents earned RM15,041 or more.</w:t>
      </w:r>
    </w:p>
    <w:p w14:paraId="176A3A6A" w14:textId="20144D8A" w:rsidR="00C0600B" w:rsidRDefault="00EB1169" w:rsidP="000277E7">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Regarding marital status, 67.8% of respondents were single, 29.3% were married and 2.8% were widowed or widowers. As for dependents, 62.6% of respondents had no dependents, 23.1% had between one and three dependents, 11.9% had between four and six dependents, 1.9% had between seven and ten dependents and 0.5% had more than ten dependents. </w:t>
      </w:r>
    </w:p>
    <w:p w14:paraId="614FAB6E" w14:textId="77777777" w:rsidR="00C0600B" w:rsidRDefault="00C0600B" w:rsidP="000277E7">
      <w:pPr>
        <w:spacing w:after="0" w:line="240" w:lineRule="auto"/>
        <w:ind w:firstLine="0"/>
        <w:jc w:val="both"/>
        <w:rPr>
          <w:rFonts w:ascii="Times New Roman" w:eastAsia="Times New Roman" w:hAnsi="Times New Roman" w:cs="Times New Roman"/>
          <w:color w:val="000000"/>
          <w:sz w:val="24"/>
          <w:szCs w:val="24"/>
        </w:rPr>
      </w:pPr>
    </w:p>
    <w:p w14:paraId="48707A45" w14:textId="0DB85EB7" w:rsidR="00C0600B" w:rsidRDefault="00EB1169" w:rsidP="000277E7">
      <w:pPr>
        <w:spacing w:after="0" w:line="240" w:lineRule="auto"/>
        <w:ind w:hanging="2"/>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PLS-SEM </w:t>
      </w:r>
      <w:r w:rsidR="000277E7">
        <w:rPr>
          <w:rFonts w:ascii="Times New Roman" w:eastAsia="Times New Roman" w:hAnsi="Times New Roman" w:cs="Times New Roman"/>
          <w:i/>
          <w:color w:val="000000"/>
          <w:sz w:val="24"/>
          <w:szCs w:val="24"/>
        </w:rPr>
        <w:t>r</w:t>
      </w:r>
      <w:r>
        <w:rPr>
          <w:rFonts w:ascii="Times New Roman" w:eastAsia="Times New Roman" w:hAnsi="Times New Roman" w:cs="Times New Roman"/>
          <w:i/>
          <w:color w:val="000000"/>
          <w:sz w:val="24"/>
          <w:szCs w:val="24"/>
        </w:rPr>
        <w:t xml:space="preserve">esults </w:t>
      </w:r>
    </w:p>
    <w:p w14:paraId="70F70BA6" w14:textId="77777777" w:rsidR="000277E7" w:rsidRDefault="000277E7" w:rsidP="000277E7">
      <w:pPr>
        <w:spacing w:after="0" w:line="240" w:lineRule="auto"/>
        <w:ind w:hanging="2"/>
        <w:jc w:val="both"/>
        <w:rPr>
          <w:rFonts w:ascii="Times New Roman" w:eastAsia="Times New Roman" w:hAnsi="Times New Roman" w:cs="Times New Roman"/>
          <w:color w:val="000000"/>
          <w:sz w:val="24"/>
          <w:szCs w:val="24"/>
        </w:rPr>
      </w:pPr>
    </w:p>
    <w:p w14:paraId="1E0F84B5" w14:textId="5086DC82" w:rsidR="00C0600B" w:rsidRDefault="00EB1169" w:rsidP="000277E7">
      <w:pP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measurement model (outer model) describes the relationship between the constructs indicators themselves. In order to assess the measurement model, reliability, convergent and discriminant validities should be confirmed. Cronbach’s Alpha and composite reliability (CR) were used to measure the reliability. According to Table 2, it can be seen that the reliability is confirmed as the values of both Cronbach’s Alpha and CR were above the threshold value of 0.7. For the measurement of convergent validity, factor loadings and Average Variance Extracted (AVE) are suggested to be tested. As shown in Table 2, the results indicated that both measures are ascertained as the values of factor loadings were all above the recommended value of 0.7 and the values of AVE were all above the threshold value of 0.5 except for PI but if AVE is less than 0.5, but composite reliability is higher than 0.6, convergent validity of the construct is acceptable.</w:t>
      </w:r>
    </w:p>
    <w:p w14:paraId="5462CCD9" w14:textId="60C65525" w:rsidR="00C0600B" w:rsidRDefault="00EB1169" w:rsidP="000277E7">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measure the discriminant validity, it has been recently indicated that the </w:t>
      </w:r>
      <w:proofErr w:type="spellStart"/>
      <w:r>
        <w:rPr>
          <w:rFonts w:ascii="Times New Roman" w:eastAsia="Times New Roman" w:hAnsi="Times New Roman" w:cs="Times New Roman"/>
          <w:color w:val="000000"/>
          <w:sz w:val="24"/>
          <w:szCs w:val="24"/>
        </w:rPr>
        <w:t>Heterotrait-Monotrait</w:t>
      </w:r>
      <w:proofErr w:type="spellEnd"/>
      <w:r>
        <w:rPr>
          <w:rFonts w:ascii="Times New Roman" w:eastAsia="Times New Roman" w:hAnsi="Times New Roman" w:cs="Times New Roman"/>
          <w:color w:val="000000"/>
          <w:sz w:val="24"/>
          <w:szCs w:val="24"/>
        </w:rPr>
        <w:t xml:space="preserve"> ratio (HTMT) is regarded to be the significant measure for testing the discriminant validity. It is evident from Table 3 that the HTMT ratio has also been confirmed as all the values were below the suggested value of 0.85, resulting in the fact that the discriminant validity has been established. To that end, the measurement model is confirmed and this can lead us to proceed with the assessment of the structural model</w:t>
      </w:r>
    </w:p>
    <w:p w14:paraId="6D598A67" w14:textId="77777777" w:rsidR="00C0600B" w:rsidRDefault="00C0600B" w:rsidP="000277E7">
      <w:pPr>
        <w:spacing w:after="0" w:line="240" w:lineRule="auto"/>
        <w:ind w:firstLine="0"/>
        <w:jc w:val="center"/>
        <w:rPr>
          <w:rFonts w:ascii="Times New Roman" w:eastAsia="Times New Roman" w:hAnsi="Times New Roman" w:cs="Times New Roman"/>
          <w:b/>
          <w:color w:val="000000"/>
          <w:sz w:val="24"/>
          <w:szCs w:val="24"/>
        </w:rPr>
      </w:pPr>
    </w:p>
    <w:p w14:paraId="1F1F8F00" w14:textId="195EBB79" w:rsidR="00C0600B" w:rsidRDefault="00EB1169" w:rsidP="000277E7">
      <w:pPr>
        <w:spacing w:after="0" w:line="240" w:lineRule="auto"/>
        <w:ind w:firstLine="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2</w:t>
      </w:r>
      <w:r w:rsidR="000277E7">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w:t>
      </w:r>
      <w:r w:rsidR="000277E7" w:rsidRPr="000277E7">
        <w:rPr>
          <w:rFonts w:ascii="Times New Roman" w:eastAsia="Times New Roman" w:hAnsi="Times New Roman" w:cs="Times New Roman"/>
          <w:bCs/>
          <w:color w:val="000000"/>
          <w:sz w:val="24"/>
          <w:szCs w:val="24"/>
        </w:rPr>
        <w:t>Measurement model results</w:t>
      </w:r>
    </w:p>
    <w:p w14:paraId="18BDB6F6" w14:textId="77777777" w:rsidR="00C0600B" w:rsidRDefault="00C0600B" w:rsidP="000277E7">
      <w:pPr>
        <w:spacing w:after="0" w:line="240" w:lineRule="auto"/>
        <w:ind w:firstLine="720"/>
        <w:jc w:val="both"/>
        <w:rPr>
          <w:rFonts w:ascii="Times New Roman" w:eastAsia="Times New Roman" w:hAnsi="Times New Roman" w:cs="Times New Roman"/>
          <w:b/>
          <w:color w:val="000000"/>
          <w:sz w:val="24"/>
          <w:szCs w:val="24"/>
        </w:rPr>
      </w:pPr>
    </w:p>
    <w:tbl>
      <w:tblPr>
        <w:tblW w:w="9350" w:type="dxa"/>
        <w:jc w:val="center"/>
        <w:tblBorders>
          <w:top w:val="single" w:sz="4" w:space="0" w:color="000000"/>
          <w:bottom w:val="single" w:sz="4" w:space="0" w:color="000000"/>
        </w:tblBorders>
        <w:tblLayout w:type="fixed"/>
        <w:tblLook w:val="04A0" w:firstRow="1" w:lastRow="0" w:firstColumn="1" w:lastColumn="0" w:noHBand="0" w:noVBand="1"/>
      </w:tblPr>
      <w:tblGrid>
        <w:gridCol w:w="1558"/>
        <w:gridCol w:w="1558"/>
        <w:gridCol w:w="1558"/>
        <w:gridCol w:w="1558"/>
        <w:gridCol w:w="1559"/>
        <w:gridCol w:w="1559"/>
      </w:tblGrid>
      <w:tr w:rsidR="00C0600B" w:rsidRPr="000277E7" w14:paraId="3057167F" w14:textId="77777777" w:rsidTr="000277E7">
        <w:trPr>
          <w:jc w:val="center"/>
        </w:trPr>
        <w:tc>
          <w:tcPr>
            <w:tcW w:w="1558" w:type="dxa"/>
            <w:tcBorders>
              <w:top w:val="single" w:sz="4" w:space="0" w:color="000000"/>
              <w:bottom w:val="single" w:sz="4" w:space="0" w:color="000000"/>
            </w:tcBorders>
            <w:shd w:val="clear" w:color="auto" w:fill="8DB3E2" w:themeFill="text2" w:themeFillTint="66"/>
          </w:tcPr>
          <w:p w14:paraId="4120CB8A" w14:textId="77777777" w:rsidR="00C0600B" w:rsidRPr="000277E7" w:rsidRDefault="00EB1169" w:rsidP="000277E7">
            <w:pPr>
              <w:spacing w:after="0" w:line="240" w:lineRule="auto"/>
              <w:ind w:firstLine="0"/>
              <w:jc w:val="center"/>
              <w:rPr>
                <w:rFonts w:ascii="Times New Roman" w:eastAsia="Times New Roman" w:hAnsi="Times New Roman" w:cs="Times New Roman"/>
                <w:b/>
                <w:bCs/>
                <w:color w:val="000000"/>
                <w:sz w:val="24"/>
                <w:szCs w:val="24"/>
              </w:rPr>
            </w:pPr>
            <w:r w:rsidRPr="000277E7">
              <w:rPr>
                <w:rFonts w:ascii="Times New Roman" w:eastAsia="Times New Roman" w:hAnsi="Times New Roman" w:cs="Times New Roman"/>
                <w:b/>
                <w:bCs/>
                <w:color w:val="000000"/>
                <w:sz w:val="24"/>
                <w:szCs w:val="24"/>
              </w:rPr>
              <w:t>Constructs</w:t>
            </w:r>
          </w:p>
        </w:tc>
        <w:tc>
          <w:tcPr>
            <w:tcW w:w="1558" w:type="dxa"/>
            <w:tcBorders>
              <w:top w:val="single" w:sz="4" w:space="0" w:color="000000"/>
              <w:bottom w:val="single" w:sz="4" w:space="0" w:color="000000"/>
            </w:tcBorders>
            <w:shd w:val="clear" w:color="auto" w:fill="8DB3E2" w:themeFill="text2" w:themeFillTint="66"/>
          </w:tcPr>
          <w:p w14:paraId="222D549C" w14:textId="77777777" w:rsidR="00C0600B" w:rsidRPr="000277E7" w:rsidRDefault="00EB1169" w:rsidP="000277E7">
            <w:pPr>
              <w:spacing w:after="0" w:line="240" w:lineRule="auto"/>
              <w:ind w:firstLine="0"/>
              <w:jc w:val="center"/>
              <w:rPr>
                <w:rFonts w:ascii="Times New Roman" w:eastAsia="Times New Roman" w:hAnsi="Times New Roman" w:cs="Times New Roman"/>
                <w:b/>
                <w:bCs/>
                <w:color w:val="000000"/>
                <w:sz w:val="24"/>
                <w:szCs w:val="24"/>
              </w:rPr>
            </w:pPr>
            <w:r w:rsidRPr="000277E7">
              <w:rPr>
                <w:rFonts w:ascii="Times New Roman" w:eastAsia="Times New Roman" w:hAnsi="Times New Roman" w:cs="Times New Roman"/>
                <w:b/>
                <w:bCs/>
                <w:color w:val="000000"/>
                <w:sz w:val="24"/>
                <w:szCs w:val="24"/>
              </w:rPr>
              <w:t>Items</w:t>
            </w:r>
          </w:p>
        </w:tc>
        <w:tc>
          <w:tcPr>
            <w:tcW w:w="1558" w:type="dxa"/>
            <w:tcBorders>
              <w:top w:val="single" w:sz="4" w:space="0" w:color="000000"/>
              <w:bottom w:val="single" w:sz="4" w:space="0" w:color="000000"/>
            </w:tcBorders>
            <w:shd w:val="clear" w:color="auto" w:fill="8DB3E2" w:themeFill="text2" w:themeFillTint="66"/>
          </w:tcPr>
          <w:p w14:paraId="4013B898" w14:textId="208C854A" w:rsidR="00C0600B" w:rsidRPr="000277E7" w:rsidRDefault="00EB1169" w:rsidP="000277E7">
            <w:pPr>
              <w:spacing w:after="0" w:line="240" w:lineRule="auto"/>
              <w:ind w:firstLine="0"/>
              <w:jc w:val="center"/>
              <w:rPr>
                <w:rFonts w:ascii="Times New Roman" w:eastAsia="Times New Roman" w:hAnsi="Times New Roman" w:cs="Times New Roman"/>
                <w:b/>
                <w:bCs/>
                <w:color w:val="000000"/>
                <w:sz w:val="24"/>
                <w:szCs w:val="24"/>
              </w:rPr>
            </w:pPr>
            <w:r w:rsidRPr="000277E7">
              <w:rPr>
                <w:rFonts w:ascii="Times New Roman" w:eastAsia="Times New Roman" w:hAnsi="Times New Roman" w:cs="Times New Roman"/>
                <w:b/>
                <w:bCs/>
                <w:color w:val="000000"/>
                <w:sz w:val="24"/>
                <w:szCs w:val="24"/>
              </w:rPr>
              <w:t xml:space="preserve">Factor </w:t>
            </w:r>
            <w:r w:rsidR="000277E7">
              <w:rPr>
                <w:rFonts w:ascii="Times New Roman" w:eastAsia="Times New Roman" w:hAnsi="Times New Roman" w:cs="Times New Roman"/>
                <w:b/>
                <w:bCs/>
                <w:color w:val="000000"/>
                <w:sz w:val="24"/>
                <w:szCs w:val="24"/>
              </w:rPr>
              <w:t>l</w:t>
            </w:r>
            <w:r w:rsidRPr="000277E7">
              <w:rPr>
                <w:rFonts w:ascii="Times New Roman" w:eastAsia="Times New Roman" w:hAnsi="Times New Roman" w:cs="Times New Roman"/>
                <w:b/>
                <w:bCs/>
                <w:color w:val="000000"/>
                <w:sz w:val="24"/>
                <w:szCs w:val="24"/>
              </w:rPr>
              <w:t>oadings</w:t>
            </w:r>
          </w:p>
        </w:tc>
        <w:tc>
          <w:tcPr>
            <w:tcW w:w="1558" w:type="dxa"/>
            <w:tcBorders>
              <w:top w:val="single" w:sz="4" w:space="0" w:color="000000"/>
              <w:bottom w:val="single" w:sz="4" w:space="0" w:color="000000"/>
            </w:tcBorders>
            <w:shd w:val="clear" w:color="auto" w:fill="8DB3E2" w:themeFill="text2" w:themeFillTint="66"/>
          </w:tcPr>
          <w:p w14:paraId="4F9D637A" w14:textId="77777777" w:rsidR="00C0600B" w:rsidRPr="000277E7" w:rsidRDefault="00EB1169" w:rsidP="000277E7">
            <w:pPr>
              <w:spacing w:after="0" w:line="240" w:lineRule="auto"/>
              <w:ind w:firstLine="0"/>
              <w:jc w:val="center"/>
              <w:rPr>
                <w:rFonts w:ascii="Times New Roman" w:eastAsia="Times New Roman" w:hAnsi="Times New Roman" w:cs="Times New Roman"/>
                <w:b/>
                <w:bCs/>
                <w:color w:val="000000"/>
                <w:sz w:val="24"/>
                <w:szCs w:val="24"/>
              </w:rPr>
            </w:pPr>
            <w:r w:rsidRPr="000277E7">
              <w:rPr>
                <w:rFonts w:ascii="Times New Roman" w:eastAsia="Times New Roman" w:hAnsi="Times New Roman" w:cs="Times New Roman"/>
                <w:b/>
                <w:bCs/>
                <w:color w:val="000000"/>
                <w:sz w:val="24"/>
                <w:szCs w:val="24"/>
              </w:rPr>
              <w:t>Cronbach’s Alpha</w:t>
            </w:r>
          </w:p>
        </w:tc>
        <w:tc>
          <w:tcPr>
            <w:tcW w:w="1559" w:type="dxa"/>
            <w:tcBorders>
              <w:top w:val="single" w:sz="4" w:space="0" w:color="000000"/>
              <w:bottom w:val="single" w:sz="4" w:space="0" w:color="000000"/>
            </w:tcBorders>
            <w:shd w:val="clear" w:color="auto" w:fill="8DB3E2" w:themeFill="text2" w:themeFillTint="66"/>
          </w:tcPr>
          <w:p w14:paraId="63FE2B5D" w14:textId="06485BAB" w:rsidR="00C0600B" w:rsidRPr="000277E7" w:rsidRDefault="00EB1169" w:rsidP="000277E7">
            <w:pPr>
              <w:spacing w:after="0" w:line="240" w:lineRule="auto"/>
              <w:ind w:firstLine="0"/>
              <w:jc w:val="center"/>
              <w:rPr>
                <w:rFonts w:ascii="Times New Roman" w:eastAsia="Times New Roman" w:hAnsi="Times New Roman" w:cs="Times New Roman"/>
                <w:b/>
                <w:bCs/>
                <w:color w:val="000000"/>
                <w:sz w:val="24"/>
                <w:szCs w:val="24"/>
              </w:rPr>
            </w:pPr>
            <w:r w:rsidRPr="000277E7">
              <w:rPr>
                <w:rFonts w:ascii="Times New Roman" w:eastAsia="Times New Roman" w:hAnsi="Times New Roman" w:cs="Times New Roman"/>
                <w:b/>
                <w:bCs/>
                <w:color w:val="000000"/>
                <w:sz w:val="24"/>
                <w:szCs w:val="24"/>
              </w:rPr>
              <w:t xml:space="preserve">Composite </w:t>
            </w:r>
            <w:proofErr w:type="spellStart"/>
            <w:r w:rsidR="000277E7">
              <w:rPr>
                <w:rFonts w:ascii="Times New Roman" w:eastAsia="Times New Roman" w:hAnsi="Times New Roman" w:cs="Times New Roman"/>
                <w:b/>
                <w:bCs/>
                <w:color w:val="000000"/>
                <w:sz w:val="24"/>
                <w:szCs w:val="24"/>
              </w:rPr>
              <w:t>r</w:t>
            </w:r>
            <w:r w:rsidRPr="000277E7">
              <w:rPr>
                <w:rFonts w:ascii="Times New Roman" w:eastAsia="Times New Roman" w:hAnsi="Times New Roman" w:cs="Times New Roman"/>
                <w:b/>
                <w:bCs/>
                <w:color w:val="000000"/>
                <w:sz w:val="24"/>
                <w:szCs w:val="24"/>
              </w:rPr>
              <w:t>ealibility</w:t>
            </w:r>
            <w:proofErr w:type="spellEnd"/>
          </w:p>
        </w:tc>
        <w:tc>
          <w:tcPr>
            <w:tcW w:w="1559" w:type="dxa"/>
            <w:tcBorders>
              <w:top w:val="single" w:sz="4" w:space="0" w:color="000000"/>
              <w:bottom w:val="single" w:sz="4" w:space="0" w:color="000000"/>
            </w:tcBorders>
            <w:shd w:val="clear" w:color="auto" w:fill="8DB3E2" w:themeFill="text2" w:themeFillTint="66"/>
          </w:tcPr>
          <w:p w14:paraId="28D28C24" w14:textId="77777777" w:rsidR="00C0600B" w:rsidRPr="000277E7" w:rsidRDefault="00EB1169" w:rsidP="000277E7">
            <w:pPr>
              <w:spacing w:after="0" w:line="240" w:lineRule="auto"/>
              <w:ind w:firstLine="0"/>
              <w:jc w:val="center"/>
              <w:rPr>
                <w:rFonts w:ascii="Times New Roman" w:eastAsia="Times New Roman" w:hAnsi="Times New Roman" w:cs="Times New Roman"/>
                <w:b/>
                <w:bCs/>
                <w:color w:val="000000"/>
                <w:sz w:val="24"/>
                <w:szCs w:val="24"/>
              </w:rPr>
            </w:pPr>
            <w:r w:rsidRPr="000277E7">
              <w:rPr>
                <w:rFonts w:ascii="Times New Roman" w:eastAsia="Times New Roman" w:hAnsi="Times New Roman" w:cs="Times New Roman"/>
                <w:b/>
                <w:bCs/>
                <w:color w:val="000000"/>
                <w:sz w:val="24"/>
                <w:szCs w:val="24"/>
              </w:rPr>
              <w:t>AVE</w:t>
            </w:r>
          </w:p>
        </w:tc>
      </w:tr>
      <w:tr w:rsidR="00C0600B" w:rsidRPr="000277E7" w14:paraId="7E49ED16" w14:textId="77777777" w:rsidTr="000277E7">
        <w:trPr>
          <w:jc w:val="center"/>
        </w:trPr>
        <w:tc>
          <w:tcPr>
            <w:tcW w:w="1558" w:type="dxa"/>
            <w:vMerge w:val="restart"/>
            <w:tcBorders>
              <w:top w:val="single" w:sz="4" w:space="0" w:color="000000"/>
            </w:tcBorders>
          </w:tcPr>
          <w:p w14:paraId="1806E2AD" w14:textId="69D01D30"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 xml:space="preserve">Financial </w:t>
            </w:r>
            <w:r w:rsidR="000277E7">
              <w:rPr>
                <w:rFonts w:ascii="Times New Roman" w:eastAsia="Times New Roman" w:hAnsi="Times New Roman" w:cs="Times New Roman"/>
                <w:color w:val="000000"/>
                <w:sz w:val="24"/>
                <w:szCs w:val="24"/>
              </w:rPr>
              <w:t>m</w:t>
            </w:r>
            <w:r w:rsidRPr="000277E7">
              <w:rPr>
                <w:rFonts w:ascii="Times New Roman" w:eastAsia="Times New Roman" w:hAnsi="Times New Roman" w:cs="Times New Roman"/>
                <w:color w:val="000000"/>
                <w:sz w:val="24"/>
                <w:szCs w:val="24"/>
              </w:rPr>
              <w:t>anagement</w:t>
            </w:r>
          </w:p>
        </w:tc>
        <w:tc>
          <w:tcPr>
            <w:tcW w:w="1558" w:type="dxa"/>
            <w:tcBorders>
              <w:top w:val="single" w:sz="4" w:space="0" w:color="000000"/>
            </w:tcBorders>
          </w:tcPr>
          <w:p w14:paraId="5B32C6D6"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C21</w:t>
            </w:r>
          </w:p>
        </w:tc>
        <w:tc>
          <w:tcPr>
            <w:tcW w:w="1558" w:type="dxa"/>
            <w:tcBorders>
              <w:top w:val="single" w:sz="4" w:space="0" w:color="000000"/>
            </w:tcBorders>
          </w:tcPr>
          <w:p w14:paraId="4602DE3A"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0.827</w:t>
            </w:r>
          </w:p>
        </w:tc>
        <w:tc>
          <w:tcPr>
            <w:tcW w:w="1558" w:type="dxa"/>
            <w:tcBorders>
              <w:top w:val="single" w:sz="4" w:space="0" w:color="000000"/>
            </w:tcBorders>
          </w:tcPr>
          <w:p w14:paraId="771432C8" w14:textId="77777777" w:rsidR="00C0600B" w:rsidRPr="000277E7" w:rsidRDefault="00C0600B" w:rsidP="000277E7">
            <w:pPr>
              <w:spacing w:after="0" w:line="240" w:lineRule="auto"/>
              <w:ind w:firstLine="720"/>
              <w:jc w:val="center"/>
              <w:rPr>
                <w:rFonts w:ascii="Times New Roman" w:eastAsia="Times New Roman" w:hAnsi="Times New Roman" w:cs="Times New Roman"/>
                <w:color w:val="000000"/>
                <w:sz w:val="24"/>
                <w:szCs w:val="24"/>
              </w:rPr>
            </w:pPr>
          </w:p>
        </w:tc>
        <w:tc>
          <w:tcPr>
            <w:tcW w:w="1559" w:type="dxa"/>
            <w:tcBorders>
              <w:top w:val="single" w:sz="4" w:space="0" w:color="000000"/>
            </w:tcBorders>
          </w:tcPr>
          <w:p w14:paraId="5CED0915" w14:textId="77777777" w:rsidR="00C0600B" w:rsidRPr="000277E7" w:rsidRDefault="00C0600B" w:rsidP="000277E7">
            <w:pPr>
              <w:spacing w:after="0" w:line="240" w:lineRule="auto"/>
              <w:ind w:firstLine="720"/>
              <w:jc w:val="center"/>
              <w:rPr>
                <w:rFonts w:ascii="Times New Roman" w:eastAsia="Times New Roman" w:hAnsi="Times New Roman" w:cs="Times New Roman"/>
                <w:color w:val="000000"/>
                <w:sz w:val="24"/>
                <w:szCs w:val="24"/>
              </w:rPr>
            </w:pPr>
          </w:p>
        </w:tc>
        <w:tc>
          <w:tcPr>
            <w:tcW w:w="1559" w:type="dxa"/>
            <w:tcBorders>
              <w:top w:val="single" w:sz="4" w:space="0" w:color="000000"/>
            </w:tcBorders>
          </w:tcPr>
          <w:p w14:paraId="0C825029" w14:textId="77777777" w:rsidR="00C0600B" w:rsidRPr="000277E7" w:rsidRDefault="00C0600B" w:rsidP="000277E7">
            <w:pPr>
              <w:spacing w:after="0" w:line="240" w:lineRule="auto"/>
              <w:ind w:firstLine="720"/>
              <w:jc w:val="center"/>
              <w:rPr>
                <w:rFonts w:ascii="Times New Roman" w:eastAsia="Times New Roman" w:hAnsi="Times New Roman" w:cs="Times New Roman"/>
                <w:color w:val="000000"/>
                <w:sz w:val="24"/>
                <w:szCs w:val="24"/>
              </w:rPr>
            </w:pPr>
          </w:p>
        </w:tc>
      </w:tr>
      <w:tr w:rsidR="00C0600B" w:rsidRPr="000277E7" w14:paraId="366486D5" w14:textId="77777777" w:rsidTr="000277E7">
        <w:trPr>
          <w:jc w:val="center"/>
        </w:trPr>
        <w:tc>
          <w:tcPr>
            <w:tcW w:w="1558" w:type="dxa"/>
            <w:vMerge/>
          </w:tcPr>
          <w:p w14:paraId="75196E08" w14:textId="77777777" w:rsidR="00C0600B" w:rsidRPr="000277E7" w:rsidRDefault="00C0600B" w:rsidP="000277E7">
            <w:pPr>
              <w:spacing w:after="0" w:line="240" w:lineRule="auto"/>
              <w:ind w:firstLine="720"/>
              <w:jc w:val="center"/>
              <w:rPr>
                <w:rFonts w:ascii="Times New Roman" w:eastAsia="Times New Roman" w:hAnsi="Times New Roman" w:cs="Times New Roman"/>
                <w:color w:val="000000"/>
                <w:sz w:val="24"/>
                <w:szCs w:val="24"/>
              </w:rPr>
            </w:pPr>
          </w:p>
        </w:tc>
        <w:tc>
          <w:tcPr>
            <w:tcW w:w="1558" w:type="dxa"/>
          </w:tcPr>
          <w:p w14:paraId="6B9F31A6"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C22</w:t>
            </w:r>
          </w:p>
        </w:tc>
        <w:tc>
          <w:tcPr>
            <w:tcW w:w="1558" w:type="dxa"/>
          </w:tcPr>
          <w:p w14:paraId="55409A2D"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0.776</w:t>
            </w:r>
          </w:p>
        </w:tc>
        <w:tc>
          <w:tcPr>
            <w:tcW w:w="1558" w:type="dxa"/>
          </w:tcPr>
          <w:p w14:paraId="2A678757" w14:textId="77777777" w:rsidR="00C0600B" w:rsidRPr="000277E7" w:rsidRDefault="00C0600B" w:rsidP="000277E7">
            <w:pPr>
              <w:spacing w:after="0" w:line="240" w:lineRule="auto"/>
              <w:ind w:firstLine="720"/>
              <w:jc w:val="center"/>
              <w:rPr>
                <w:rFonts w:ascii="Times New Roman" w:eastAsia="Times New Roman" w:hAnsi="Times New Roman" w:cs="Times New Roman"/>
                <w:color w:val="000000"/>
                <w:sz w:val="24"/>
                <w:szCs w:val="24"/>
              </w:rPr>
            </w:pPr>
          </w:p>
        </w:tc>
        <w:tc>
          <w:tcPr>
            <w:tcW w:w="1559" w:type="dxa"/>
          </w:tcPr>
          <w:p w14:paraId="60BFEA06" w14:textId="77777777" w:rsidR="00C0600B" w:rsidRPr="000277E7" w:rsidRDefault="00C0600B" w:rsidP="000277E7">
            <w:pPr>
              <w:spacing w:after="0" w:line="240" w:lineRule="auto"/>
              <w:ind w:firstLine="720"/>
              <w:jc w:val="center"/>
              <w:rPr>
                <w:rFonts w:ascii="Times New Roman" w:eastAsia="Times New Roman" w:hAnsi="Times New Roman" w:cs="Times New Roman"/>
                <w:b/>
                <w:bCs/>
                <w:color w:val="000000"/>
                <w:sz w:val="24"/>
                <w:szCs w:val="24"/>
              </w:rPr>
            </w:pPr>
          </w:p>
        </w:tc>
        <w:tc>
          <w:tcPr>
            <w:tcW w:w="1559" w:type="dxa"/>
          </w:tcPr>
          <w:p w14:paraId="3D81C4B7" w14:textId="77777777" w:rsidR="00C0600B" w:rsidRPr="000277E7" w:rsidRDefault="00C0600B" w:rsidP="000277E7">
            <w:pPr>
              <w:spacing w:after="0" w:line="240" w:lineRule="auto"/>
              <w:ind w:firstLine="720"/>
              <w:jc w:val="center"/>
              <w:rPr>
                <w:rFonts w:ascii="Times New Roman" w:eastAsia="Times New Roman" w:hAnsi="Times New Roman" w:cs="Times New Roman"/>
                <w:color w:val="000000"/>
                <w:sz w:val="24"/>
                <w:szCs w:val="24"/>
              </w:rPr>
            </w:pPr>
          </w:p>
        </w:tc>
      </w:tr>
      <w:tr w:rsidR="00C0600B" w:rsidRPr="000277E7" w14:paraId="142A322A" w14:textId="77777777" w:rsidTr="000277E7">
        <w:trPr>
          <w:jc w:val="center"/>
        </w:trPr>
        <w:tc>
          <w:tcPr>
            <w:tcW w:w="1558" w:type="dxa"/>
            <w:tcBorders>
              <w:bottom w:val="nil"/>
            </w:tcBorders>
          </w:tcPr>
          <w:p w14:paraId="499577DD" w14:textId="77777777" w:rsidR="00C0600B" w:rsidRPr="000277E7" w:rsidRDefault="00C0600B" w:rsidP="000277E7">
            <w:pPr>
              <w:spacing w:after="0" w:line="240" w:lineRule="auto"/>
              <w:ind w:firstLine="720"/>
              <w:jc w:val="center"/>
              <w:rPr>
                <w:rFonts w:ascii="Times New Roman" w:eastAsia="Times New Roman" w:hAnsi="Times New Roman" w:cs="Times New Roman"/>
                <w:color w:val="000000"/>
                <w:sz w:val="24"/>
                <w:szCs w:val="24"/>
              </w:rPr>
            </w:pPr>
          </w:p>
        </w:tc>
        <w:tc>
          <w:tcPr>
            <w:tcW w:w="1558" w:type="dxa"/>
            <w:tcBorders>
              <w:bottom w:val="nil"/>
            </w:tcBorders>
          </w:tcPr>
          <w:p w14:paraId="06243500"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C23</w:t>
            </w:r>
          </w:p>
        </w:tc>
        <w:tc>
          <w:tcPr>
            <w:tcW w:w="1558" w:type="dxa"/>
            <w:tcBorders>
              <w:bottom w:val="nil"/>
            </w:tcBorders>
          </w:tcPr>
          <w:p w14:paraId="36120111"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0.821</w:t>
            </w:r>
          </w:p>
        </w:tc>
        <w:tc>
          <w:tcPr>
            <w:tcW w:w="1558" w:type="dxa"/>
            <w:tcBorders>
              <w:bottom w:val="nil"/>
            </w:tcBorders>
          </w:tcPr>
          <w:p w14:paraId="6BBFA843"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0.813</w:t>
            </w:r>
          </w:p>
        </w:tc>
        <w:tc>
          <w:tcPr>
            <w:tcW w:w="1559" w:type="dxa"/>
            <w:tcBorders>
              <w:bottom w:val="nil"/>
            </w:tcBorders>
          </w:tcPr>
          <w:p w14:paraId="32A7104C"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0.871</w:t>
            </w:r>
          </w:p>
        </w:tc>
        <w:tc>
          <w:tcPr>
            <w:tcW w:w="1559" w:type="dxa"/>
            <w:tcBorders>
              <w:bottom w:val="nil"/>
            </w:tcBorders>
          </w:tcPr>
          <w:p w14:paraId="4E28F41F"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0.577</w:t>
            </w:r>
          </w:p>
        </w:tc>
      </w:tr>
      <w:tr w:rsidR="00C0600B" w:rsidRPr="000277E7" w14:paraId="2888DA16" w14:textId="77777777" w:rsidTr="000277E7">
        <w:trPr>
          <w:jc w:val="center"/>
        </w:trPr>
        <w:tc>
          <w:tcPr>
            <w:tcW w:w="1558" w:type="dxa"/>
            <w:tcBorders>
              <w:top w:val="nil"/>
              <w:bottom w:val="nil"/>
            </w:tcBorders>
          </w:tcPr>
          <w:p w14:paraId="31D33420" w14:textId="77777777" w:rsidR="00C0600B" w:rsidRPr="000277E7" w:rsidRDefault="00C0600B" w:rsidP="000277E7">
            <w:pPr>
              <w:spacing w:after="0" w:line="240" w:lineRule="auto"/>
              <w:ind w:firstLine="720"/>
              <w:jc w:val="center"/>
              <w:rPr>
                <w:rFonts w:ascii="Times New Roman" w:eastAsia="Times New Roman" w:hAnsi="Times New Roman" w:cs="Times New Roman"/>
                <w:color w:val="000000"/>
                <w:sz w:val="24"/>
                <w:szCs w:val="24"/>
              </w:rPr>
            </w:pPr>
          </w:p>
        </w:tc>
        <w:tc>
          <w:tcPr>
            <w:tcW w:w="1558" w:type="dxa"/>
            <w:tcBorders>
              <w:top w:val="nil"/>
              <w:bottom w:val="nil"/>
            </w:tcBorders>
          </w:tcPr>
          <w:p w14:paraId="0E837251"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C24</w:t>
            </w:r>
          </w:p>
        </w:tc>
        <w:tc>
          <w:tcPr>
            <w:tcW w:w="1558" w:type="dxa"/>
            <w:tcBorders>
              <w:top w:val="nil"/>
              <w:bottom w:val="nil"/>
            </w:tcBorders>
          </w:tcPr>
          <w:p w14:paraId="63C533DD"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0.711</w:t>
            </w:r>
          </w:p>
        </w:tc>
        <w:tc>
          <w:tcPr>
            <w:tcW w:w="1558" w:type="dxa"/>
            <w:tcBorders>
              <w:top w:val="nil"/>
              <w:bottom w:val="nil"/>
            </w:tcBorders>
          </w:tcPr>
          <w:p w14:paraId="1F638618" w14:textId="77777777" w:rsidR="00C0600B" w:rsidRPr="000277E7" w:rsidRDefault="00C0600B" w:rsidP="000277E7">
            <w:pPr>
              <w:spacing w:after="0" w:line="240" w:lineRule="auto"/>
              <w:ind w:firstLine="720"/>
              <w:jc w:val="center"/>
              <w:rPr>
                <w:rFonts w:ascii="Times New Roman" w:eastAsia="Times New Roman" w:hAnsi="Times New Roman" w:cs="Times New Roman"/>
                <w:color w:val="000000"/>
                <w:sz w:val="24"/>
                <w:szCs w:val="24"/>
              </w:rPr>
            </w:pPr>
          </w:p>
        </w:tc>
        <w:tc>
          <w:tcPr>
            <w:tcW w:w="1559" w:type="dxa"/>
            <w:tcBorders>
              <w:top w:val="nil"/>
              <w:bottom w:val="nil"/>
            </w:tcBorders>
          </w:tcPr>
          <w:p w14:paraId="481C1445" w14:textId="77777777" w:rsidR="00C0600B" w:rsidRPr="000277E7" w:rsidRDefault="00C0600B" w:rsidP="000277E7">
            <w:pPr>
              <w:spacing w:after="0" w:line="240" w:lineRule="auto"/>
              <w:ind w:firstLine="720"/>
              <w:jc w:val="center"/>
              <w:rPr>
                <w:rFonts w:ascii="Times New Roman" w:eastAsia="Times New Roman" w:hAnsi="Times New Roman" w:cs="Times New Roman"/>
                <w:color w:val="000000"/>
                <w:sz w:val="24"/>
                <w:szCs w:val="24"/>
              </w:rPr>
            </w:pPr>
          </w:p>
        </w:tc>
        <w:tc>
          <w:tcPr>
            <w:tcW w:w="1559" w:type="dxa"/>
            <w:tcBorders>
              <w:top w:val="nil"/>
              <w:bottom w:val="nil"/>
            </w:tcBorders>
          </w:tcPr>
          <w:p w14:paraId="784274D4" w14:textId="77777777" w:rsidR="00C0600B" w:rsidRPr="000277E7" w:rsidRDefault="00C0600B" w:rsidP="000277E7">
            <w:pPr>
              <w:spacing w:after="0" w:line="240" w:lineRule="auto"/>
              <w:ind w:firstLine="720"/>
              <w:jc w:val="center"/>
              <w:rPr>
                <w:rFonts w:ascii="Times New Roman" w:eastAsia="Times New Roman" w:hAnsi="Times New Roman" w:cs="Times New Roman"/>
                <w:color w:val="000000"/>
                <w:sz w:val="24"/>
                <w:szCs w:val="24"/>
              </w:rPr>
            </w:pPr>
          </w:p>
        </w:tc>
      </w:tr>
      <w:tr w:rsidR="00C0600B" w:rsidRPr="000277E7" w14:paraId="41D9E4B0" w14:textId="77777777" w:rsidTr="000277E7">
        <w:trPr>
          <w:jc w:val="center"/>
        </w:trPr>
        <w:tc>
          <w:tcPr>
            <w:tcW w:w="1558" w:type="dxa"/>
            <w:tcBorders>
              <w:top w:val="nil"/>
              <w:bottom w:val="single" w:sz="4" w:space="0" w:color="000000"/>
            </w:tcBorders>
          </w:tcPr>
          <w:p w14:paraId="25233537" w14:textId="77777777" w:rsidR="00C0600B" w:rsidRPr="000277E7" w:rsidRDefault="00C0600B" w:rsidP="000277E7">
            <w:pPr>
              <w:spacing w:after="0" w:line="240" w:lineRule="auto"/>
              <w:ind w:firstLine="720"/>
              <w:jc w:val="center"/>
              <w:rPr>
                <w:rFonts w:ascii="Times New Roman" w:eastAsia="Times New Roman" w:hAnsi="Times New Roman" w:cs="Times New Roman"/>
                <w:color w:val="000000"/>
                <w:sz w:val="24"/>
                <w:szCs w:val="24"/>
              </w:rPr>
            </w:pPr>
          </w:p>
        </w:tc>
        <w:tc>
          <w:tcPr>
            <w:tcW w:w="1558" w:type="dxa"/>
            <w:tcBorders>
              <w:top w:val="nil"/>
              <w:bottom w:val="single" w:sz="4" w:space="0" w:color="000000"/>
            </w:tcBorders>
          </w:tcPr>
          <w:p w14:paraId="52BD53CC"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C25</w:t>
            </w:r>
          </w:p>
        </w:tc>
        <w:tc>
          <w:tcPr>
            <w:tcW w:w="1558" w:type="dxa"/>
            <w:tcBorders>
              <w:top w:val="nil"/>
              <w:bottom w:val="single" w:sz="4" w:space="0" w:color="000000"/>
            </w:tcBorders>
          </w:tcPr>
          <w:p w14:paraId="4444AAA0"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0.620</w:t>
            </w:r>
          </w:p>
        </w:tc>
        <w:tc>
          <w:tcPr>
            <w:tcW w:w="1558" w:type="dxa"/>
            <w:tcBorders>
              <w:top w:val="nil"/>
              <w:bottom w:val="single" w:sz="4" w:space="0" w:color="000000"/>
            </w:tcBorders>
          </w:tcPr>
          <w:p w14:paraId="19529D16" w14:textId="77777777" w:rsidR="00C0600B" w:rsidRPr="000277E7" w:rsidRDefault="00C0600B" w:rsidP="000277E7">
            <w:pPr>
              <w:spacing w:after="0" w:line="240" w:lineRule="auto"/>
              <w:ind w:firstLine="720"/>
              <w:jc w:val="center"/>
              <w:rPr>
                <w:rFonts w:ascii="Times New Roman" w:eastAsia="Times New Roman" w:hAnsi="Times New Roman" w:cs="Times New Roman"/>
                <w:color w:val="000000"/>
                <w:sz w:val="24"/>
                <w:szCs w:val="24"/>
              </w:rPr>
            </w:pPr>
          </w:p>
        </w:tc>
        <w:tc>
          <w:tcPr>
            <w:tcW w:w="1559" w:type="dxa"/>
            <w:tcBorders>
              <w:top w:val="nil"/>
              <w:bottom w:val="single" w:sz="4" w:space="0" w:color="000000"/>
            </w:tcBorders>
          </w:tcPr>
          <w:p w14:paraId="11610A1F" w14:textId="77777777" w:rsidR="00C0600B" w:rsidRPr="000277E7" w:rsidRDefault="00C0600B" w:rsidP="000277E7">
            <w:pPr>
              <w:spacing w:after="0" w:line="240" w:lineRule="auto"/>
              <w:ind w:firstLine="720"/>
              <w:jc w:val="center"/>
              <w:rPr>
                <w:rFonts w:ascii="Times New Roman" w:eastAsia="Times New Roman" w:hAnsi="Times New Roman" w:cs="Times New Roman"/>
                <w:color w:val="000000"/>
                <w:sz w:val="24"/>
                <w:szCs w:val="24"/>
              </w:rPr>
            </w:pPr>
          </w:p>
        </w:tc>
        <w:tc>
          <w:tcPr>
            <w:tcW w:w="1559" w:type="dxa"/>
            <w:tcBorders>
              <w:top w:val="nil"/>
              <w:bottom w:val="single" w:sz="4" w:space="0" w:color="000000"/>
            </w:tcBorders>
          </w:tcPr>
          <w:p w14:paraId="52CDF26B" w14:textId="77777777" w:rsidR="00C0600B" w:rsidRPr="000277E7" w:rsidRDefault="00C0600B" w:rsidP="000277E7">
            <w:pPr>
              <w:spacing w:after="0" w:line="240" w:lineRule="auto"/>
              <w:ind w:firstLine="720"/>
              <w:jc w:val="center"/>
              <w:rPr>
                <w:rFonts w:ascii="Times New Roman" w:eastAsia="Times New Roman" w:hAnsi="Times New Roman" w:cs="Times New Roman"/>
                <w:color w:val="000000"/>
                <w:sz w:val="24"/>
                <w:szCs w:val="24"/>
              </w:rPr>
            </w:pPr>
          </w:p>
        </w:tc>
      </w:tr>
      <w:tr w:rsidR="00C0600B" w:rsidRPr="000277E7" w14:paraId="4B9249BA" w14:textId="77777777" w:rsidTr="000277E7">
        <w:trPr>
          <w:jc w:val="center"/>
        </w:trPr>
        <w:tc>
          <w:tcPr>
            <w:tcW w:w="1558" w:type="dxa"/>
            <w:vMerge w:val="restart"/>
            <w:tcBorders>
              <w:top w:val="single" w:sz="4" w:space="0" w:color="000000"/>
            </w:tcBorders>
          </w:tcPr>
          <w:p w14:paraId="5F270A67" w14:textId="4BB6AC9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 xml:space="preserve">Peer </w:t>
            </w:r>
            <w:r w:rsidR="000277E7">
              <w:rPr>
                <w:rFonts w:ascii="Times New Roman" w:eastAsia="Times New Roman" w:hAnsi="Times New Roman" w:cs="Times New Roman"/>
                <w:color w:val="000000"/>
                <w:sz w:val="24"/>
                <w:szCs w:val="24"/>
              </w:rPr>
              <w:t>i</w:t>
            </w:r>
            <w:r w:rsidRPr="000277E7">
              <w:rPr>
                <w:rFonts w:ascii="Times New Roman" w:eastAsia="Times New Roman" w:hAnsi="Times New Roman" w:cs="Times New Roman"/>
                <w:color w:val="000000"/>
                <w:sz w:val="24"/>
                <w:szCs w:val="24"/>
              </w:rPr>
              <w:t>nfluence</w:t>
            </w:r>
          </w:p>
        </w:tc>
        <w:tc>
          <w:tcPr>
            <w:tcW w:w="1558" w:type="dxa"/>
            <w:tcBorders>
              <w:top w:val="single" w:sz="4" w:space="0" w:color="000000"/>
            </w:tcBorders>
          </w:tcPr>
          <w:p w14:paraId="77C702C8"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C31</w:t>
            </w:r>
          </w:p>
        </w:tc>
        <w:tc>
          <w:tcPr>
            <w:tcW w:w="1558" w:type="dxa"/>
            <w:tcBorders>
              <w:top w:val="single" w:sz="4" w:space="0" w:color="000000"/>
            </w:tcBorders>
          </w:tcPr>
          <w:p w14:paraId="28C2AC0B"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0.616</w:t>
            </w:r>
          </w:p>
        </w:tc>
        <w:tc>
          <w:tcPr>
            <w:tcW w:w="1558" w:type="dxa"/>
            <w:tcBorders>
              <w:top w:val="single" w:sz="4" w:space="0" w:color="000000"/>
            </w:tcBorders>
          </w:tcPr>
          <w:p w14:paraId="4F4EDF5D" w14:textId="77777777" w:rsidR="00C0600B" w:rsidRPr="000277E7" w:rsidRDefault="00C0600B" w:rsidP="000277E7">
            <w:pPr>
              <w:spacing w:after="0" w:line="240" w:lineRule="auto"/>
              <w:ind w:firstLine="720"/>
              <w:jc w:val="center"/>
              <w:rPr>
                <w:rFonts w:ascii="Times New Roman" w:eastAsia="Times New Roman" w:hAnsi="Times New Roman" w:cs="Times New Roman"/>
                <w:color w:val="000000"/>
                <w:sz w:val="24"/>
                <w:szCs w:val="24"/>
              </w:rPr>
            </w:pPr>
          </w:p>
        </w:tc>
        <w:tc>
          <w:tcPr>
            <w:tcW w:w="1559" w:type="dxa"/>
            <w:tcBorders>
              <w:top w:val="single" w:sz="4" w:space="0" w:color="000000"/>
            </w:tcBorders>
          </w:tcPr>
          <w:p w14:paraId="1FDBC38F" w14:textId="77777777" w:rsidR="00C0600B" w:rsidRPr="000277E7" w:rsidRDefault="00C0600B" w:rsidP="000277E7">
            <w:pPr>
              <w:spacing w:after="0" w:line="240" w:lineRule="auto"/>
              <w:ind w:firstLine="720"/>
              <w:jc w:val="center"/>
              <w:rPr>
                <w:rFonts w:ascii="Times New Roman" w:eastAsia="Times New Roman" w:hAnsi="Times New Roman" w:cs="Times New Roman"/>
                <w:color w:val="000000"/>
                <w:sz w:val="24"/>
                <w:szCs w:val="24"/>
              </w:rPr>
            </w:pPr>
          </w:p>
        </w:tc>
        <w:tc>
          <w:tcPr>
            <w:tcW w:w="1559" w:type="dxa"/>
            <w:tcBorders>
              <w:top w:val="single" w:sz="4" w:space="0" w:color="000000"/>
            </w:tcBorders>
          </w:tcPr>
          <w:p w14:paraId="4CEA1772" w14:textId="77777777" w:rsidR="00C0600B" w:rsidRPr="000277E7" w:rsidRDefault="00C0600B" w:rsidP="000277E7">
            <w:pPr>
              <w:spacing w:after="0" w:line="240" w:lineRule="auto"/>
              <w:ind w:firstLine="720"/>
              <w:jc w:val="center"/>
              <w:rPr>
                <w:rFonts w:ascii="Times New Roman" w:eastAsia="Times New Roman" w:hAnsi="Times New Roman" w:cs="Times New Roman"/>
                <w:color w:val="000000"/>
                <w:sz w:val="24"/>
                <w:szCs w:val="24"/>
              </w:rPr>
            </w:pPr>
          </w:p>
        </w:tc>
      </w:tr>
      <w:tr w:rsidR="00C0600B" w:rsidRPr="000277E7" w14:paraId="2DECA4BE" w14:textId="77777777" w:rsidTr="000277E7">
        <w:trPr>
          <w:jc w:val="center"/>
        </w:trPr>
        <w:tc>
          <w:tcPr>
            <w:tcW w:w="1558" w:type="dxa"/>
            <w:vMerge/>
          </w:tcPr>
          <w:p w14:paraId="46235231" w14:textId="77777777" w:rsidR="00C0600B" w:rsidRPr="000277E7" w:rsidRDefault="00C0600B" w:rsidP="000277E7">
            <w:pPr>
              <w:spacing w:after="0" w:line="240" w:lineRule="auto"/>
              <w:ind w:firstLine="720"/>
              <w:jc w:val="center"/>
              <w:rPr>
                <w:rFonts w:ascii="Times New Roman" w:eastAsia="Times New Roman" w:hAnsi="Times New Roman" w:cs="Times New Roman"/>
                <w:color w:val="000000"/>
                <w:sz w:val="24"/>
                <w:szCs w:val="24"/>
              </w:rPr>
            </w:pPr>
          </w:p>
        </w:tc>
        <w:tc>
          <w:tcPr>
            <w:tcW w:w="1558" w:type="dxa"/>
          </w:tcPr>
          <w:p w14:paraId="5414F1AC"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C32</w:t>
            </w:r>
          </w:p>
        </w:tc>
        <w:tc>
          <w:tcPr>
            <w:tcW w:w="1558" w:type="dxa"/>
          </w:tcPr>
          <w:p w14:paraId="42884573"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0.920</w:t>
            </w:r>
          </w:p>
        </w:tc>
        <w:tc>
          <w:tcPr>
            <w:tcW w:w="1558" w:type="dxa"/>
          </w:tcPr>
          <w:p w14:paraId="00DD312F" w14:textId="77777777" w:rsidR="00C0600B" w:rsidRPr="000277E7" w:rsidRDefault="00C0600B" w:rsidP="000277E7">
            <w:pPr>
              <w:spacing w:after="0" w:line="240" w:lineRule="auto"/>
              <w:ind w:firstLine="720"/>
              <w:jc w:val="center"/>
              <w:rPr>
                <w:rFonts w:ascii="Times New Roman" w:eastAsia="Times New Roman" w:hAnsi="Times New Roman" w:cs="Times New Roman"/>
                <w:color w:val="000000"/>
                <w:sz w:val="24"/>
                <w:szCs w:val="24"/>
              </w:rPr>
            </w:pPr>
          </w:p>
        </w:tc>
        <w:tc>
          <w:tcPr>
            <w:tcW w:w="1559" w:type="dxa"/>
          </w:tcPr>
          <w:p w14:paraId="40B49AD6" w14:textId="77777777" w:rsidR="00C0600B" w:rsidRPr="000277E7" w:rsidRDefault="00C0600B" w:rsidP="000277E7">
            <w:pPr>
              <w:spacing w:after="0" w:line="240" w:lineRule="auto"/>
              <w:ind w:firstLine="720"/>
              <w:jc w:val="center"/>
              <w:rPr>
                <w:rFonts w:ascii="Times New Roman" w:eastAsia="Times New Roman" w:hAnsi="Times New Roman" w:cs="Times New Roman"/>
                <w:color w:val="000000"/>
                <w:sz w:val="24"/>
                <w:szCs w:val="24"/>
              </w:rPr>
            </w:pPr>
          </w:p>
        </w:tc>
        <w:tc>
          <w:tcPr>
            <w:tcW w:w="1559" w:type="dxa"/>
          </w:tcPr>
          <w:p w14:paraId="6BA4D783" w14:textId="77777777" w:rsidR="00C0600B" w:rsidRPr="000277E7" w:rsidRDefault="00C0600B" w:rsidP="000277E7">
            <w:pPr>
              <w:spacing w:after="0" w:line="240" w:lineRule="auto"/>
              <w:ind w:firstLine="720"/>
              <w:jc w:val="center"/>
              <w:rPr>
                <w:rFonts w:ascii="Times New Roman" w:eastAsia="Times New Roman" w:hAnsi="Times New Roman" w:cs="Times New Roman"/>
                <w:color w:val="000000"/>
                <w:sz w:val="24"/>
                <w:szCs w:val="24"/>
              </w:rPr>
            </w:pPr>
          </w:p>
        </w:tc>
      </w:tr>
      <w:tr w:rsidR="00C0600B" w:rsidRPr="000277E7" w14:paraId="6C9FFB0C" w14:textId="77777777" w:rsidTr="000277E7">
        <w:trPr>
          <w:jc w:val="center"/>
        </w:trPr>
        <w:tc>
          <w:tcPr>
            <w:tcW w:w="1558" w:type="dxa"/>
          </w:tcPr>
          <w:p w14:paraId="6A78D314" w14:textId="77777777" w:rsidR="00C0600B" w:rsidRPr="000277E7" w:rsidRDefault="00C0600B" w:rsidP="000277E7">
            <w:pPr>
              <w:spacing w:after="0" w:line="240" w:lineRule="auto"/>
              <w:ind w:firstLine="720"/>
              <w:jc w:val="center"/>
              <w:rPr>
                <w:rFonts w:ascii="Times New Roman" w:eastAsia="Times New Roman" w:hAnsi="Times New Roman" w:cs="Times New Roman"/>
                <w:color w:val="000000"/>
                <w:sz w:val="24"/>
                <w:szCs w:val="24"/>
              </w:rPr>
            </w:pPr>
          </w:p>
        </w:tc>
        <w:tc>
          <w:tcPr>
            <w:tcW w:w="1558" w:type="dxa"/>
          </w:tcPr>
          <w:p w14:paraId="3846A01A"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C33</w:t>
            </w:r>
          </w:p>
        </w:tc>
        <w:tc>
          <w:tcPr>
            <w:tcW w:w="1558" w:type="dxa"/>
          </w:tcPr>
          <w:p w14:paraId="0878C643"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0.809</w:t>
            </w:r>
          </w:p>
        </w:tc>
        <w:tc>
          <w:tcPr>
            <w:tcW w:w="1558" w:type="dxa"/>
          </w:tcPr>
          <w:p w14:paraId="1C5AB064"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0.803</w:t>
            </w:r>
          </w:p>
        </w:tc>
        <w:tc>
          <w:tcPr>
            <w:tcW w:w="1559" w:type="dxa"/>
          </w:tcPr>
          <w:p w14:paraId="5E2D9AB5"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0.817</w:t>
            </w:r>
          </w:p>
        </w:tc>
        <w:tc>
          <w:tcPr>
            <w:tcW w:w="1559" w:type="dxa"/>
          </w:tcPr>
          <w:p w14:paraId="1694FC4E"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0.486</w:t>
            </w:r>
          </w:p>
        </w:tc>
      </w:tr>
      <w:tr w:rsidR="00C0600B" w:rsidRPr="000277E7" w14:paraId="513F5BEF" w14:textId="77777777" w:rsidTr="000277E7">
        <w:trPr>
          <w:jc w:val="center"/>
        </w:trPr>
        <w:tc>
          <w:tcPr>
            <w:tcW w:w="1558" w:type="dxa"/>
            <w:tcBorders>
              <w:bottom w:val="nil"/>
            </w:tcBorders>
          </w:tcPr>
          <w:p w14:paraId="506EFCD6" w14:textId="77777777" w:rsidR="00C0600B" w:rsidRPr="000277E7" w:rsidRDefault="00C0600B" w:rsidP="000277E7">
            <w:pPr>
              <w:spacing w:after="0" w:line="240" w:lineRule="auto"/>
              <w:ind w:firstLine="720"/>
              <w:jc w:val="center"/>
              <w:rPr>
                <w:rFonts w:ascii="Times New Roman" w:eastAsia="Times New Roman" w:hAnsi="Times New Roman" w:cs="Times New Roman"/>
                <w:color w:val="000000"/>
                <w:sz w:val="24"/>
                <w:szCs w:val="24"/>
              </w:rPr>
            </w:pPr>
          </w:p>
        </w:tc>
        <w:tc>
          <w:tcPr>
            <w:tcW w:w="1558" w:type="dxa"/>
            <w:tcBorders>
              <w:bottom w:val="nil"/>
            </w:tcBorders>
          </w:tcPr>
          <w:p w14:paraId="4CE672C9"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C34</w:t>
            </w:r>
          </w:p>
        </w:tc>
        <w:tc>
          <w:tcPr>
            <w:tcW w:w="1558" w:type="dxa"/>
            <w:tcBorders>
              <w:bottom w:val="nil"/>
            </w:tcBorders>
          </w:tcPr>
          <w:p w14:paraId="3FCE6914" w14:textId="77777777" w:rsidR="00C0600B" w:rsidRPr="000277E7" w:rsidRDefault="00EB1169" w:rsidP="000277E7">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0.474</w:t>
            </w:r>
          </w:p>
        </w:tc>
        <w:tc>
          <w:tcPr>
            <w:tcW w:w="1558" w:type="dxa"/>
            <w:tcBorders>
              <w:bottom w:val="nil"/>
            </w:tcBorders>
          </w:tcPr>
          <w:p w14:paraId="6CA1F8DB" w14:textId="77777777" w:rsidR="00C0600B" w:rsidRPr="000277E7" w:rsidRDefault="00C0600B" w:rsidP="000277E7">
            <w:pPr>
              <w:spacing w:after="0" w:line="240" w:lineRule="auto"/>
              <w:ind w:firstLine="720"/>
              <w:jc w:val="center"/>
              <w:rPr>
                <w:rFonts w:ascii="Times New Roman" w:eastAsia="Times New Roman" w:hAnsi="Times New Roman" w:cs="Times New Roman"/>
                <w:color w:val="000000"/>
                <w:sz w:val="24"/>
                <w:szCs w:val="24"/>
              </w:rPr>
            </w:pPr>
          </w:p>
        </w:tc>
        <w:tc>
          <w:tcPr>
            <w:tcW w:w="1559" w:type="dxa"/>
            <w:tcBorders>
              <w:bottom w:val="nil"/>
            </w:tcBorders>
          </w:tcPr>
          <w:p w14:paraId="1CD4EC89" w14:textId="77777777" w:rsidR="00C0600B" w:rsidRPr="000277E7" w:rsidRDefault="00C0600B" w:rsidP="000277E7">
            <w:pPr>
              <w:spacing w:after="0" w:line="240" w:lineRule="auto"/>
              <w:ind w:firstLine="720"/>
              <w:jc w:val="center"/>
              <w:rPr>
                <w:rFonts w:ascii="Times New Roman" w:eastAsia="Times New Roman" w:hAnsi="Times New Roman" w:cs="Times New Roman"/>
                <w:color w:val="000000"/>
                <w:sz w:val="24"/>
                <w:szCs w:val="24"/>
              </w:rPr>
            </w:pPr>
          </w:p>
        </w:tc>
        <w:tc>
          <w:tcPr>
            <w:tcW w:w="1559" w:type="dxa"/>
            <w:tcBorders>
              <w:bottom w:val="nil"/>
            </w:tcBorders>
          </w:tcPr>
          <w:p w14:paraId="2F830ABA" w14:textId="77777777" w:rsidR="00C0600B" w:rsidRPr="000277E7" w:rsidRDefault="00C0600B" w:rsidP="000277E7">
            <w:pPr>
              <w:spacing w:after="0" w:line="240" w:lineRule="auto"/>
              <w:ind w:firstLine="720"/>
              <w:jc w:val="center"/>
              <w:rPr>
                <w:rFonts w:ascii="Times New Roman" w:eastAsia="Times New Roman" w:hAnsi="Times New Roman" w:cs="Times New Roman"/>
                <w:color w:val="000000"/>
                <w:sz w:val="24"/>
                <w:szCs w:val="24"/>
              </w:rPr>
            </w:pPr>
          </w:p>
        </w:tc>
      </w:tr>
      <w:tr w:rsidR="00C0600B" w:rsidRPr="000277E7" w14:paraId="2445CE7C" w14:textId="77777777" w:rsidTr="00A336F8">
        <w:trPr>
          <w:jc w:val="center"/>
        </w:trPr>
        <w:tc>
          <w:tcPr>
            <w:tcW w:w="1558" w:type="dxa"/>
            <w:tcBorders>
              <w:top w:val="nil"/>
              <w:bottom w:val="single" w:sz="4" w:space="0" w:color="000000"/>
            </w:tcBorders>
          </w:tcPr>
          <w:p w14:paraId="06B6BBEA" w14:textId="77777777" w:rsidR="00C0600B" w:rsidRPr="000277E7" w:rsidRDefault="00C0600B" w:rsidP="00A336F8">
            <w:pPr>
              <w:spacing w:after="0" w:line="240" w:lineRule="auto"/>
              <w:ind w:firstLine="720"/>
              <w:jc w:val="center"/>
              <w:rPr>
                <w:rFonts w:ascii="Times New Roman" w:eastAsia="Times New Roman" w:hAnsi="Times New Roman" w:cs="Times New Roman"/>
                <w:color w:val="000000"/>
                <w:sz w:val="24"/>
                <w:szCs w:val="24"/>
              </w:rPr>
            </w:pPr>
          </w:p>
        </w:tc>
        <w:tc>
          <w:tcPr>
            <w:tcW w:w="1558" w:type="dxa"/>
            <w:tcBorders>
              <w:top w:val="nil"/>
              <w:bottom w:val="single" w:sz="4" w:space="0" w:color="000000"/>
            </w:tcBorders>
          </w:tcPr>
          <w:p w14:paraId="2B53BC8D" w14:textId="77777777" w:rsidR="00C0600B" w:rsidRPr="000277E7" w:rsidRDefault="00EB1169" w:rsidP="00A336F8">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C35</w:t>
            </w:r>
          </w:p>
        </w:tc>
        <w:tc>
          <w:tcPr>
            <w:tcW w:w="1558" w:type="dxa"/>
            <w:tcBorders>
              <w:top w:val="nil"/>
              <w:bottom w:val="single" w:sz="4" w:space="0" w:color="000000"/>
            </w:tcBorders>
          </w:tcPr>
          <w:p w14:paraId="46753E12" w14:textId="77777777" w:rsidR="00C0600B" w:rsidRPr="000277E7" w:rsidRDefault="00EB1169" w:rsidP="00A336F8">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0.572</w:t>
            </w:r>
          </w:p>
        </w:tc>
        <w:tc>
          <w:tcPr>
            <w:tcW w:w="1558" w:type="dxa"/>
            <w:tcBorders>
              <w:top w:val="nil"/>
              <w:bottom w:val="single" w:sz="4" w:space="0" w:color="000000"/>
            </w:tcBorders>
          </w:tcPr>
          <w:p w14:paraId="1ADB1202" w14:textId="77777777" w:rsidR="00C0600B" w:rsidRPr="000277E7" w:rsidRDefault="00C0600B" w:rsidP="00A336F8">
            <w:pPr>
              <w:spacing w:after="0" w:line="240" w:lineRule="auto"/>
              <w:ind w:firstLine="720"/>
              <w:jc w:val="center"/>
              <w:rPr>
                <w:rFonts w:ascii="Times New Roman" w:eastAsia="Times New Roman" w:hAnsi="Times New Roman" w:cs="Times New Roman"/>
                <w:color w:val="000000"/>
                <w:sz w:val="24"/>
                <w:szCs w:val="24"/>
              </w:rPr>
            </w:pPr>
          </w:p>
        </w:tc>
        <w:tc>
          <w:tcPr>
            <w:tcW w:w="1559" w:type="dxa"/>
            <w:tcBorders>
              <w:top w:val="nil"/>
              <w:bottom w:val="single" w:sz="4" w:space="0" w:color="000000"/>
            </w:tcBorders>
          </w:tcPr>
          <w:p w14:paraId="614E858E" w14:textId="77777777" w:rsidR="00C0600B" w:rsidRPr="000277E7" w:rsidRDefault="00C0600B" w:rsidP="00A336F8">
            <w:pPr>
              <w:spacing w:after="0" w:line="240" w:lineRule="auto"/>
              <w:ind w:firstLine="720"/>
              <w:jc w:val="center"/>
              <w:rPr>
                <w:rFonts w:ascii="Times New Roman" w:eastAsia="Times New Roman" w:hAnsi="Times New Roman" w:cs="Times New Roman"/>
                <w:color w:val="000000"/>
                <w:sz w:val="24"/>
                <w:szCs w:val="24"/>
              </w:rPr>
            </w:pPr>
          </w:p>
        </w:tc>
        <w:tc>
          <w:tcPr>
            <w:tcW w:w="1559" w:type="dxa"/>
            <w:tcBorders>
              <w:top w:val="nil"/>
              <w:bottom w:val="single" w:sz="4" w:space="0" w:color="000000"/>
            </w:tcBorders>
          </w:tcPr>
          <w:p w14:paraId="1C668695" w14:textId="77777777" w:rsidR="00C0600B" w:rsidRPr="000277E7" w:rsidRDefault="00C0600B" w:rsidP="00A336F8">
            <w:pPr>
              <w:spacing w:after="0" w:line="240" w:lineRule="auto"/>
              <w:ind w:firstLine="720"/>
              <w:jc w:val="center"/>
              <w:rPr>
                <w:rFonts w:ascii="Times New Roman" w:eastAsia="Times New Roman" w:hAnsi="Times New Roman" w:cs="Times New Roman"/>
                <w:color w:val="000000"/>
                <w:sz w:val="24"/>
                <w:szCs w:val="24"/>
              </w:rPr>
            </w:pPr>
          </w:p>
        </w:tc>
      </w:tr>
      <w:tr w:rsidR="00C0600B" w:rsidRPr="000277E7" w14:paraId="4F8CEA55" w14:textId="77777777" w:rsidTr="00A336F8">
        <w:trPr>
          <w:jc w:val="center"/>
        </w:trPr>
        <w:tc>
          <w:tcPr>
            <w:tcW w:w="1558" w:type="dxa"/>
            <w:tcBorders>
              <w:top w:val="single" w:sz="4" w:space="0" w:color="000000"/>
            </w:tcBorders>
          </w:tcPr>
          <w:p w14:paraId="250F220C" w14:textId="0984E8F9" w:rsidR="00C0600B" w:rsidRPr="000277E7" w:rsidRDefault="00EB1169" w:rsidP="00A336F8">
            <w:pPr>
              <w:spacing w:after="0" w:line="240" w:lineRule="auto"/>
              <w:ind w:firstLine="0"/>
              <w:jc w:val="center"/>
              <w:rPr>
                <w:rFonts w:ascii="Times New Roman" w:eastAsia="Times New Roman" w:hAnsi="Times New Roman" w:cs="Times New Roman"/>
                <w:color w:val="000000"/>
                <w:sz w:val="24"/>
                <w:szCs w:val="24"/>
              </w:rPr>
            </w:pPr>
            <w:proofErr w:type="spellStart"/>
            <w:r w:rsidRPr="000277E7">
              <w:rPr>
                <w:rFonts w:ascii="Times New Roman" w:eastAsia="Times New Roman" w:hAnsi="Times New Roman" w:cs="Times New Roman"/>
                <w:color w:val="000000"/>
                <w:sz w:val="24"/>
                <w:szCs w:val="24"/>
              </w:rPr>
              <w:t xml:space="preserve">Self </w:t>
            </w:r>
            <w:r w:rsidR="00A336F8">
              <w:rPr>
                <w:rFonts w:ascii="Times New Roman" w:eastAsia="Times New Roman" w:hAnsi="Times New Roman" w:cs="Times New Roman"/>
                <w:color w:val="000000"/>
                <w:sz w:val="24"/>
                <w:szCs w:val="24"/>
              </w:rPr>
              <w:t>c</w:t>
            </w:r>
            <w:r w:rsidRPr="000277E7">
              <w:rPr>
                <w:rFonts w:ascii="Times New Roman" w:eastAsia="Times New Roman" w:hAnsi="Times New Roman" w:cs="Times New Roman"/>
                <w:color w:val="000000"/>
                <w:sz w:val="24"/>
                <w:szCs w:val="24"/>
              </w:rPr>
              <w:t>ontrol</w:t>
            </w:r>
            <w:proofErr w:type="spellEnd"/>
          </w:p>
        </w:tc>
        <w:tc>
          <w:tcPr>
            <w:tcW w:w="1558" w:type="dxa"/>
            <w:tcBorders>
              <w:top w:val="single" w:sz="4" w:space="0" w:color="000000"/>
            </w:tcBorders>
          </w:tcPr>
          <w:p w14:paraId="5099E646" w14:textId="77777777" w:rsidR="00C0600B" w:rsidRPr="000277E7" w:rsidRDefault="00EB1169" w:rsidP="00A336F8">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C41</w:t>
            </w:r>
          </w:p>
        </w:tc>
        <w:tc>
          <w:tcPr>
            <w:tcW w:w="1558" w:type="dxa"/>
            <w:tcBorders>
              <w:top w:val="single" w:sz="4" w:space="0" w:color="000000"/>
            </w:tcBorders>
          </w:tcPr>
          <w:p w14:paraId="3B23E2F2" w14:textId="77777777" w:rsidR="00C0600B" w:rsidRPr="000277E7" w:rsidRDefault="00EB1169" w:rsidP="00A336F8">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0.812</w:t>
            </w:r>
          </w:p>
        </w:tc>
        <w:tc>
          <w:tcPr>
            <w:tcW w:w="1558" w:type="dxa"/>
            <w:tcBorders>
              <w:top w:val="single" w:sz="4" w:space="0" w:color="000000"/>
            </w:tcBorders>
          </w:tcPr>
          <w:p w14:paraId="6AC63DBF" w14:textId="77777777" w:rsidR="00C0600B" w:rsidRPr="000277E7" w:rsidRDefault="00C0600B" w:rsidP="00A336F8">
            <w:pPr>
              <w:spacing w:after="0" w:line="240" w:lineRule="auto"/>
              <w:ind w:firstLine="720"/>
              <w:jc w:val="center"/>
              <w:rPr>
                <w:rFonts w:ascii="Times New Roman" w:eastAsia="Times New Roman" w:hAnsi="Times New Roman" w:cs="Times New Roman"/>
                <w:color w:val="000000"/>
                <w:sz w:val="24"/>
                <w:szCs w:val="24"/>
              </w:rPr>
            </w:pPr>
          </w:p>
        </w:tc>
        <w:tc>
          <w:tcPr>
            <w:tcW w:w="1559" w:type="dxa"/>
            <w:tcBorders>
              <w:top w:val="single" w:sz="4" w:space="0" w:color="000000"/>
            </w:tcBorders>
          </w:tcPr>
          <w:p w14:paraId="523BAE70" w14:textId="77777777" w:rsidR="00C0600B" w:rsidRPr="000277E7" w:rsidRDefault="00C0600B" w:rsidP="00A336F8">
            <w:pPr>
              <w:spacing w:after="0" w:line="240" w:lineRule="auto"/>
              <w:ind w:firstLine="720"/>
              <w:jc w:val="center"/>
              <w:rPr>
                <w:rFonts w:ascii="Times New Roman" w:eastAsia="Times New Roman" w:hAnsi="Times New Roman" w:cs="Times New Roman"/>
                <w:color w:val="000000"/>
                <w:sz w:val="24"/>
                <w:szCs w:val="24"/>
              </w:rPr>
            </w:pPr>
          </w:p>
        </w:tc>
        <w:tc>
          <w:tcPr>
            <w:tcW w:w="1559" w:type="dxa"/>
            <w:tcBorders>
              <w:top w:val="single" w:sz="4" w:space="0" w:color="000000"/>
            </w:tcBorders>
          </w:tcPr>
          <w:p w14:paraId="569FE7D0" w14:textId="77777777" w:rsidR="00C0600B" w:rsidRPr="000277E7" w:rsidRDefault="00C0600B" w:rsidP="00A336F8">
            <w:pPr>
              <w:spacing w:after="0" w:line="240" w:lineRule="auto"/>
              <w:ind w:firstLine="720"/>
              <w:jc w:val="center"/>
              <w:rPr>
                <w:rFonts w:ascii="Times New Roman" w:eastAsia="Times New Roman" w:hAnsi="Times New Roman" w:cs="Times New Roman"/>
                <w:color w:val="000000"/>
                <w:sz w:val="24"/>
                <w:szCs w:val="24"/>
              </w:rPr>
            </w:pPr>
          </w:p>
        </w:tc>
      </w:tr>
      <w:tr w:rsidR="00C0600B" w:rsidRPr="000277E7" w14:paraId="2DC6CBDE" w14:textId="77777777" w:rsidTr="00A336F8">
        <w:trPr>
          <w:jc w:val="center"/>
        </w:trPr>
        <w:tc>
          <w:tcPr>
            <w:tcW w:w="1558" w:type="dxa"/>
          </w:tcPr>
          <w:p w14:paraId="6C069B90" w14:textId="77777777" w:rsidR="00C0600B" w:rsidRPr="000277E7" w:rsidRDefault="00C0600B" w:rsidP="00A336F8">
            <w:pPr>
              <w:spacing w:after="0" w:line="240" w:lineRule="auto"/>
              <w:ind w:firstLine="720"/>
              <w:jc w:val="center"/>
              <w:rPr>
                <w:rFonts w:ascii="Times New Roman" w:eastAsia="Times New Roman" w:hAnsi="Times New Roman" w:cs="Times New Roman"/>
                <w:color w:val="000000"/>
                <w:sz w:val="24"/>
                <w:szCs w:val="24"/>
              </w:rPr>
            </w:pPr>
          </w:p>
        </w:tc>
        <w:tc>
          <w:tcPr>
            <w:tcW w:w="1558" w:type="dxa"/>
          </w:tcPr>
          <w:p w14:paraId="548AD79A" w14:textId="77777777" w:rsidR="00C0600B" w:rsidRPr="000277E7" w:rsidRDefault="00EB1169" w:rsidP="00A336F8">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C42</w:t>
            </w:r>
          </w:p>
        </w:tc>
        <w:tc>
          <w:tcPr>
            <w:tcW w:w="1558" w:type="dxa"/>
          </w:tcPr>
          <w:p w14:paraId="6D7E052F" w14:textId="77777777" w:rsidR="00C0600B" w:rsidRPr="000277E7" w:rsidRDefault="00EB1169" w:rsidP="00A336F8">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0.800</w:t>
            </w:r>
          </w:p>
        </w:tc>
        <w:tc>
          <w:tcPr>
            <w:tcW w:w="1558" w:type="dxa"/>
          </w:tcPr>
          <w:p w14:paraId="1699DEE7" w14:textId="77777777" w:rsidR="00C0600B" w:rsidRPr="000277E7" w:rsidRDefault="00C0600B" w:rsidP="00A336F8">
            <w:pPr>
              <w:spacing w:after="0" w:line="240" w:lineRule="auto"/>
              <w:ind w:firstLine="720"/>
              <w:jc w:val="center"/>
              <w:rPr>
                <w:rFonts w:ascii="Times New Roman" w:eastAsia="Times New Roman" w:hAnsi="Times New Roman" w:cs="Times New Roman"/>
                <w:color w:val="000000"/>
                <w:sz w:val="24"/>
                <w:szCs w:val="24"/>
              </w:rPr>
            </w:pPr>
          </w:p>
        </w:tc>
        <w:tc>
          <w:tcPr>
            <w:tcW w:w="1559" w:type="dxa"/>
          </w:tcPr>
          <w:p w14:paraId="2808FD17" w14:textId="77777777" w:rsidR="00C0600B" w:rsidRPr="000277E7" w:rsidRDefault="00C0600B" w:rsidP="00A336F8">
            <w:pPr>
              <w:spacing w:after="0" w:line="240" w:lineRule="auto"/>
              <w:ind w:firstLine="720"/>
              <w:jc w:val="center"/>
              <w:rPr>
                <w:rFonts w:ascii="Times New Roman" w:eastAsia="Times New Roman" w:hAnsi="Times New Roman" w:cs="Times New Roman"/>
                <w:color w:val="000000"/>
                <w:sz w:val="24"/>
                <w:szCs w:val="24"/>
              </w:rPr>
            </w:pPr>
          </w:p>
        </w:tc>
        <w:tc>
          <w:tcPr>
            <w:tcW w:w="1559" w:type="dxa"/>
          </w:tcPr>
          <w:p w14:paraId="7BE22588" w14:textId="77777777" w:rsidR="00C0600B" w:rsidRPr="000277E7" w:rsidRDefault="00C0600B" w:rsidP="00A336F8">
            <w:pPr>
              <w:spacing w:after="0" w:line="240" w:lineRule="auto"/>
              <w:ind w:firstLine="720"/>
              <w:jc w:val="center"/>
              <w:rPr>
                <w:rFonts w:ascii="Times New Roman" w:eastAsia="Times New Roman" w:hAnsi="Times New Roman" w:cs="Times New Roman"/>
                <w:color w:val="000000"/>
                <w:sz w:val="24"/>
                <w:szCs w:val="24"/>
              </w:rPr>
            </w:pPr>
          </w:p>
        </w:tc>
      </w:tr>
      <w:tr w:rsidR="00C0600B" w:rsidRPr="000277E7" w14:paraId="5B219D38" w14:textId="77777777" w:rsidTr="00A336F8">
        <w:trPr>
          <w:jc w:val="center"/>
        </w:trPr>
        <w:tc>
          <w:tcPr>
            <w:tcW w:w="1558" w:type="dxa"/>
          </w:tcPr>
          <w:p w14:paraId="3E87C80F" w14:textId="77777777" w:rsidR="00C0600B" w:rsidRPr="000277E7" w:rsidRDefault="00C0600B" w:rsidP="00A336F8">
            <w:pPr>
              <w:spacing w:after="0" w:line="240" w:lineRule="auto"/>
              <w:ind w:firstLine="720"/>
              <w:jc w:val="center"/>
              <w:rPr>
                <w:rFonts w:ascii="Times New Roman" w:eastAsia="Times New Roman" w:hAnsi="Times New Roman" w:cs="Times New Roman"/>
                <w:color w:val="000000"/>
                <w:sz w:val="24"/>
                <w:szCs w:val="24"/>
              </w:rPr>
            </w:pPr>
          </w:p>
        </w:tc>
        <w:tc>
          <w:tcPr>
            <w:tcW w:w="1558" w:type="dxa"/>
          </w:tcPr>
          <w:p w14:paraId="7A12BB11" w14:textId="77777777" w:rsidR="00C0600B" w:rsidRPr="000277E7" w:rsidRDefault="00EB1169" w:rsidP="00A336F8">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C43</w:t>
            </w:r>
          </w:p>
        </w:tc>
        <w:tc>
          <w:tcPr>
            <w:tcW w:w="1558" w:type="dxa"/>
          </w:tcPr>
          <w:p w14:paraId="3B9F704A" w14:textId="77777777" w:rsidR="00C0600B" w:rsidRPr="000277E7" w:rsidRDefault="00EB1169" w:rsidP="00A336F8">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0.827</w:t>
            </w:r>
          </w:p>
        </w:tc>
        <w:tc>
          <w:tcPr>
            <w:tcW w:w="1558" w:type="dxa"/>
          </w:tcPr>
          <w:p w14:paraId="6EA39D1F" w14:textId="77777777" w:rsidR="00C0600B" w:rsidRPr="000277E7" w:rsidRDefault="00EB1169" w:rsidP="00A336F8">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0.869</w:t>
            </w:r>
          </w:p>
        </w:tc>
        <w:tc>
          <w:tcPr>
            <w:tcW w:w="1559" w:type="dxa"/>
          </w:tcPr>
          <w:p w14:paraId="15CFB117" w14:textId="77777777" w:rsidR="00C0600B" w:rsidRPr="000277E7" w:rsidRDefault="00EB1169" w:rsidP="00A336F8">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0.905</w:t>
            </w:r>
          </w:p>
        </w:tc>
        <w:tc>
          <w:tcPr>
            <w:tcW w:w="1559" w:type="dxa"/>
          </w:tcPr>
          <w:p w14:paraId="5BC97886" w14:textId="77777777" w:rsidR="00C0600B" w:rsidRPr="000277E7" w:rsidRDefault="00EB1169" w:rsidP="00A336F8">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0.656</w:t>
            </w:r>
          </w:p>
        </w:tc>
      </w:tr>
      <w:tr w:rsidR="00C0600B" w:rsidRPr="000277E7" w14:paraId="1340ED05" w14:textId="77777777" w:rsidTr="00A336F8">
        <w:trPr>
          <w:jc w:val="center"/>
        </w:trPr>
        <w:tc>
          <w:tcPr>
            <w:tcW w:w="1558" w:type="dxa"/>
            <w:tcBorders>
              <w:bottom w:val="nil"/>
            </w:tcBorders>
          </w:tcPr>
          <w:p w14:paraId="339966CE" w14:textId="77777777" w:rsidR="00C0600B" w:rsidRPr="000277E7" w:rsidRDefault="00C0600B" w:rsidP="00A336F8">
            <w:pPr>
              <w:spacing w:after="0" w:line="240" w:lineRule="auto"/>
              <w:ind w:firstLine="720"/>
              <w:jc w:val="center"/>
              <w:rPr>
                <w:rFonts w:ascii="Times New Roman" w:eastAsia="Times New Roman" w:hAnsi="Times New Roman" w:cs="Times New Roman"/>
                <w:color w:val="000000"/>
                <w:sz w:val="24"/>
                <w:szCs w:val="24"/>
              </w:rPr>
            </w:pPr>
          </w:p>
        </w:tc>
        <w:tc>
          <w:tcPr>
            <w:tcW w:w="1558" w:type="dxa"/>
            <w:tcBorders>
              <w:bottom w:val="nil"/>
            </w:tcBorders>
          </w:tcPr>
          <w:p w14:paraId="1F09B12C" w14:textId="77777777" w:rsidR="00C0600B" w:rsidRPr="000277E7" w:rsidRDefault="00EB1169" w:rsidP="00A336F8">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C44</w:t>
            </w:r>
          </w:p>
        </w:tc>
        <w:tc>
          <w:tcPr>
            <w:tcW w:w="1558" w:type="dxa"/>
            <w:tcBorders>
              <w:bottom w:val="nil"/>
            </w:tcBorders>
          </w:tcPr>
          <w:p w14:paraId="51DEB1A3" w14:textId="77777777" w:rsidR="00C0600B" w:rsidRPr="000277E7" w:rsidRDefault="00EB1169" w:rsidP="00A336F8">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0.802</w:t>
            </w:r>
          </w:p>
        </w:tc>
        <w:tc>
          <w:tcPr>
            <w:tcW w:w="1558" w:type="dxa"/>
            <w:tcBorders>
              <w:bottom w:val="nil"/>
            </w:tcBorders>
          </w:tcPr>
          <w:p w14:paraId="67518D15" w14:textId="77777777" w:rsidR="00C0600B" w:rsidRPr="000277E7" w:rsidRDefault="00C0600B" w:rsidP="00A336F8">
            <w:pPr>
              <w:spacing w:after="0" w:line="240" w:lineRule="auto"/>
              <w:ind w:firstLine="720"/>
              <w:jc w:val="center"/>
              <w:rPr>
                <w:rFonts w:ascii="Times New Roman" w:eastAsia="Times New Roman" w:hAnsi="Times New Roman" w:cs="Times New Roman"/>
                <w:color w:val="000000"/>
                <w:sz w:val="24"/>
                <w:szCs w:val="24"/>
              </w:rPr>
            </w:pPr>
          </w:p>
        </w:tc>
        <w:tc>
          <w:tcPr>
            <w:tcW w:w="1559" w:type="dxa"/>
            <w:tcBorders>
              <w:bottom w:val="nil"/>
            </w:tcBorders>
          </w:tcPr>
          <w:p w14:paraId="3E9E5AC9" w14:textId="77777777" w:rsidR="00C0600B" w:rsidRPr="000277E7" w:rsidRDefault="00C0600B" w:rsidP="00A336F8">
            <w:pPr>
              <w:spacing w:after="0" w:line="240" w:lineRule="auto"/>
              <w:ind w:firstLine="720"/>
              <w:jc w:val="center"/>
              <w:rPr>
                <w:rFonts w:ascii="Times New Roman" w:eastAsia="Times New Roman" w:hAnsi="Times New Roman" w:cs="Times New Roman"/>
                <w:color w:val="000000"/>
                <w:sz w:val="24"/>
                <w:szCs w:val="24"/>
              </w:rPr>
            </w:pPr>
          </w:p>
        </w:tc>
        <w:tc>
          <w:tcPr>
            <w:tcW w:w="1559" w:type="dxa"/>
            <w:tcBorders>
              <w:bottom w:val="nil"/>
            </w:tcBorders>
          </w:tcPr>
          <w:p w14:paraId="5C0DAA08" w14:textId="77777777" w:rsidR="00C0600B" w:rsidRPr="000277E7" w:rsidRDefault="00C0600B" w:rsidP="00A336F8">
            <w:pPr>
              <w:spacing w:after="0" w:line="240" w:lineRule="auto"/>
              <w:ind w:firstLine="720"/>
              <w:jc w:val="center"/>
              <w:rPr>
                <w:rFonts w:ascii="Times New Roman" w:eastAsia="Times New Roman" w:hAnsi="Times New Roman" w:cs="Times New Roman"/>
                <w:color w:val="000000"/>
                <w:sz w:val="24"/>
                <w:szCs w:val="24"/>
              </w:rPr>
            </w:pPr>
          </w:p>
        </w:tc>
      </w:tr>
      <w:tr w:rsidR="00C0600B" w:rsidRPr="000277E7" w14:paraId="594B0482" w14:textId="77777777" w:rsidTr="00A336F8">
        <w:trPr>
          <w:jc w:val="center"/>
        </w:trPr>
        <w:tc>
          <w:tcPr>
            <w:tcW w:w="1558" w:type="dxa"/>
            <w:tcBorders>
              <w:top w:val="nil"/>
              <w:bottom w:val="single" w:sz="4" w:space="0" w:color="000000"/>
            </w:tcBorders>
          </w:tcPr>
          <w:p w14:paraId="3CD192D0" w14:textId="77777777" w:rsidR="00C0600B" w:rsidRPr="000277E7" w:rsidRDefault="00C0600B" w:rsidP="00A336F8">
            <w:pPr>
              <w:spacing w:after="0" w:line="240" w:lineRule="auto"/>
              <w:ind w:firstLine="720"/>
              <w:jc w:val="center"/>
              <w:rPr>
                <w:rFonts w:ascii="Times New Roman" w:eastAsia="Times New Roman" w:hAnsi="Times New Roman" w:cs="Times New Roman"/>
                <w:color w:val="000000"/>
                <w:sz w:val="24"/>
                <w:szCs w:val="24"/>
              </w:rPr>
            </w:pPr>
          </w:p>
        </w:tc>
        <w:tc>
          <w:tcPr>
            <w:tcW w:w="1558" w:type="dxa"/>
            <w:tcBorders>
              <w:top w:val="nil"/>
              <w:bottom w:val="single" w:sz="4" w:space="0" w:color="000000"/>
            </w:tcBorders>
          </w:tcPr>
          <w:p w14:paraId="4EF9FFAA" w14:textId="77777777" w:rsidR="00C0600B" w:rsidRPr="000277E7" w:rsidRDefault="00EB1169" w:rsidP="00A336F8">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C45</w:t>
            </w:r>
          </w:p>
        </w:tc>
        <w:tc>
          <w:tcPr>
            <w:tcW w:w="1558" w:type="dxa"/>
            <w:tcBorders>
              <w:top w:val="nil"/>
              <w:bottom w:val="single" w:sz="4" w:space="0" w:color="000000"/>
            </w:tcBorders>
          </w:tcPr>
          <w:p w14:paraId="67D20F3F" w14:textId="77777777" w:rsidR="00C0600B" w:rsidRPr="000277E7" w:rsidRDefault="00EB1169" w:rsidP="00A336F8">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0.810</w:t>
            </w:r>
          </w:p>
        </w:tc>
        <w:tc>
          <w:tcPr>
            <w:tcW w:w="1558" w:type="dxa"/>
            <w:tcBorders>
              <w:top w:val="nil"/>
              <w:bottom w:val="single" w:sz="4" w:space="0" w:color="000000"/>
            </w:tcBorders>
          </w:tcPr>
          <w:p w14:paraId="009FD2B6" w14:textId="77777777" w:rsidR="00C0600B" w:rsidRPr="000277E7" w:rsidRDefault="00C0600B" w:rsidP="00A336F8">
            <w:pPr>
              <w:spacing w:after="0" w:line="240" w:lineRule="auto"/>
              <w:ind w:firstLine="720"/>
              <w:jc w:val="center"/>
              <w:rPr>
                <w:rFonts w:ascii="Times New Roman" w:eastAsia="Times New Roman" w:hAnsi="Times New Roman" w:cs="Times New Roman"/>
                <w:color w:val="000000"/>
                <w:sz w:val="24"/>
                <w:szCs w:val="24"/>
              </w:rPr>
            </w:pPr>
          </w:p>
        </w:tc>
        <w:tc>
          <w:tcPr>
            <w:tcW w:w="1559" w:type="dxa"/>
            <w:tcBorders>
              <w:top w:val="nil"/>
              <w:bottom w:val="single" w:sz="4" w:space="0" w:color="000000"/>
            </w:tcBorders>
          </w:tcPr>
          <w:p w14:paraId="0E633609" w14:textId="77777777" w:rsidR="00C0600B" w:rsidRPr="000277E7" w:rsidRDefault="00C0600B" w:rsidP="00A336F8">
            <w:pPr>
              <w:spacing w:after="0" w:line="240" w:lineRule="auto"/>
              <w:ind w:firstLine="720"/>
              <w:jc w:val="center"/>
              <w:rPr>
                <w:rFonts w:ascii="Times New Roman" w:eastAsia="Times New Roman" w:hAnsi="Times New Roman" w:cs="Times New Roman"/>
                <w:color w:val="000000"/>
                <w:sz w:val="24"/>
                <w:szCs w:val="24"/>
              </w:rPr>
            </w:pPr>
          </w:p>
        </w:tc>
        <w:tc>
          <w:tcPr>
            <w:tcW w:w="1559" w:type="dxa"/>
            <w:tcBorders>
              <w:top w:val="nil"/>
              <w:bottom w:val="single" w:sz="4" w:space="0" w:color="000000"/>
            </w:tcBorders>
          </w:tcPr>
          <w:p w14:paraId="0F1CA74E" w14:textId="77777777" w:rsidR="00C0600B" w:rsidRPr="000277E7" w:rsidRDefault="00C0600B" w:rsidP="00A336F8">
            <w:pPr>
              <w:spacing w:after="0" w:line="240" w:lineRule="auto"/>
              <w:ind w:firstLine="720"/>
              <w:jc w:val="center"/>
              <w:rPr>
                <w:rFonts w:ascii="Times New Roman" w:eastAsia="Times New Roman" w:hAnsi="Times New Roman" w:cs="Times New Roman"/>
                <w:color w:val="000000"/>
                <w:sz w:val="24"/>
                <w:szCs w:val="24"/>
              </w:rPr>
            </w:pPr>
          </w:p>
        </w:tc>
      </w:tr>
      <w:tr w:rsidR="00A336F8" w:rsidRPr="000277E7" w14:paraId="21F254FF" w14:textId="77777777" w:rsidTr="00A336F8">
        <w:trPr>
          <w:jc w:val="center"/>
        </w:trPr>
        <w:tc>
          <w:tcPr>
            <w:tcW w:w="1558" w:type="dxa"/>
            <w:vMerge w:val="restart"/>
            <w:tcBorders>
              <w:top w:val="single" w:sz="4" w:space="0" w:color="000000"/>
            </w:tcBorders>
          </w:tcPr>
          <w:p w14:paraId="2DF8D505" w14:textId="1872ECE1" w:rsidR="00A336F8" w:rsidRPr="000277E7" w:rsidRDefault="00A336F8" w:rsidP="00A336F8">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 xml:space="preserve">Saving </w:t>
            </w:r>
            <w:r>
              <w:rPr>
                <w:rFonts w:ascii="Times New Roman" w:eastAsia="Times New Roman" w:hAnsi="Times New Roman" w:cs="Times New Roman"/>
                <w:color w:val="000000"/>
                <w:sz w:val="24"/>
                <w:szCs w:val="24"/>
              </w:rPr>
              <w:t>i</w:t>
            </w:r>
            <w:r w:rsidRPr="000277E7">
              <w:rPr>
                <w:rFonts w:ascii="Times New Roman" w:eastAsia="Times New Roman" w:hAnsi="Times New Roman" w:cs="Times New Roman"/>
                <w:color w:val="000000"/>
                <w:sz w:val="24"/>
                <w:szCs w:val="24"/>
              </w:rPr>
              <w:t>ntention</w:t>
            </w:r>
          </w:p>
        </w:tc>
        <w:tc>
          <w:tcPr>
            <w:tcW w:w="1558" w:type="dxa"/>
            <w:tcBorders>
              <w:top w:val="single" w:sz="4" w:space="0" w:color="000000"/>
            </w:tcBorders>
          </w:tcPr>
          <w:p w14:paraId="3E10DE42" w14:textId="77777777" w:rsidR="00A336F8" w:rsidRPr="000277E7" w:rsidRDefault="00A336F8" w:rsidP="00A336F8">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D1</w:t>
            </w:r>
          </w:p>
        </w:tc>
        <w:tc>
          <w:tcPr>
            <w:tcW w:w="1558" w:type="dxa"/>
            <w:tcBorders>
              <w:top w:val="single" w:sz="4" w:space="0" w:color="000000"/>
            </w:tcBorders>
          </w:tcPr>
          <w:p w14:paraId="282B61B8" w14:textId="77777777" w:rsidR="00A336F8" w:rsidRPr="000277E7" w:rsidRDefault="00A336F8" w:rsidP="00A336F8">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0.785</w:t>
            </w:r>
          </w:p>
        </w:tc>
        <w:tc>
          <w:tcPr>
            <w:tcW w:w="1558" w:type="dxa"/>
            <w:tcBorders>
              <w:top w:val="single" w:sz="4" w:space="0" w:color="000000"/>
            </w:tcBorders>
          </w:tcPr>
          <w:p w14:paraId="23509E39" w14:textId="77777777" w:rsidR="00A336F8" w:rsidRPr="000277E7" w:rsidRDefault="00A336F8" w:rsidP="00A336F8">
            <w:pPr>
              <w:spacing w:after="0" w:line="240" w:lineRule="auto"/>
              <w:ind w:firstLine="720"/>
              <w:jc w:val="center"/>
              <w:rPr>
                <w:rFonts w:ascii="Times New Roman" w:eastAsia="Times New Roman" w:hAnsi="Times New Roman" w:cs="Times New Roman"/>
                <w:color w:val="000000"/>
                <w:sz w:val="24"/>
                <w:szCs w:val="24"/>
              </w:rPr>
            </w:pPr>
          </w:p>
        </w:tc>
        <w:tc>
          <w:tcPr>
            <w:tcW w:w="1559" w:type="dxa"/>
            <w:tcBorders>
              <w:top w:val="single" w:sz="4" w:space="0" w:color="000000"/>
            </w:tcBorders>
          </w:tcPr>
          <w:p w14:paraId="66D2A408" w14:textId="77777777" w:rsidR="00A336F8" w:rsidRPr="000277E7" w:rsidRDefault="00A336F8" w:rsidP="00A336F8">
            <w:pPr>
              <w:spacing w:after="0" w:line="240" w:lineRule="auto"/>
              <w:ind w:firstLine="720"/>
              <w:jc w:val="center"/>
              <w:rPr>
                <w:rFonts w:ascii="Times New Roman" w:eastAsia="Times New Roman" w:hAnsi="Times New Roman" w:cs="Times New Roman"/>
                <w:color w:val="000000"/>
                <w:sz w:val="24"/>
                <w:szCs w:val="24"/>
              </w:rPr>
            </w:pPr>
          </w:p>
        </w:tc>
        <w:tc>
          <w:tcPr>
            <w:tcW w:w="1559" w:type="dxa"/>
            <w:tcBorders>
              <w:top w:val="single" w:sz="4" w:space="0" w:color="000000"/>
            </w:tcBorders>
          </w:tcPr>
          <w:p w14:paraId="39EBB101" w14:textId="77777777" w:rsidR="00A336F8" w:rsidRPr="000277E7" w:rsidRDefault="00A336F8" w:rsidP="00A336F8">
            <w:pPr>
              <w:spacing w:after="0" w:line="240" w:lineRule="auto"/>
              <w:ind w:firstLine="720"/>
              <w:jc w:val="center"/>
              <w:rPr>
                <w:rFonts w:ascii="Times New Roman" w:eastAsia="Times New Roman" w:hAnsi="Times New Roman" w:cs="Times New Roman"/>
                <w:color w:val="000000"/>
                <w:sz w:val="24"/>
                <w:szCs w:val="24"/>
              </w:rPr>
            </w:pPr>
          </w:p>
        </w:tc>
      </w:tr>
      <w:tr w:rsidR="00A336F8" w:rsidRPr="000277E7" w14:paraId="5501CEAC" w14:textId="77777777" w:rsidTr="00A336F8">
        <w:trPr>
          <w:jc w:val="center"/>
        </w:trPr>
        <w:tc>
          <w:tcPr>
            <w:tcW w:w="1558" w:type="dxa"/>
            <w:vMerge/>
          </w:tcPr>
          <w:p w14:paraId="68B3881C" w14:textId="77777777" w:rsidR="00A336F8" w:rsidRPr="000277E7" w:rsidRDefault="00A336F8" w:rsidP="00A336F8">
            <w:pPr>
              <w:spacing w:after="0" w:line="240" w:lineRule="auto"/>
              <w:ind w:firstLine="720"/>
              <w:jc w:val="center"/>
              <w:rPr>
                <w:rFonts w:ascii="Times New Roman" w:eastAsia="Times New Roman" w:hAnsi="Times New Roman" w:cs="Times New Roman"/>
                <w:color w:val="000000"/>
                <w:sz w:val="24"/>
                <w:szCs w:val="24"/>
              </w:rPr>
            </w:pPr>
          </w:p>
        </w:tc>
        <w:tc>
          <w:tcPr>
            <w:tcW w:w="1558" w:type="dxa"/>
          </w:tcPr>
          <w:p w14:paraId="4A799355" w14:textId="77777777" w:rsidR="00A336F8" w:rsidRPr="000277E7" w:rsidRDefault="00A336F8" w:rsidP="00A336F8">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D2</w:t>
            </w:r>
          </w:p>
        </w:tc>
        <w:tc>
          <w:tcPr>
            <w:tcW w:w="1558" w:type="dxa"/>
          </w:tcPr>
          <w:p w14:paraId="3515F2B4" w14:textId="77777777" w:rsidR="00A336F8" w:rsidRPr="000277E7" w:rsidRDefault="00A336F8" w:rsidP="00A336F8">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0.866</w:t>
            </w:r>
          </w:p>
        </w:tc>
        <w:tc>
          <w:tcPr>
            <w:tcW w:w="1558" w:type="dxa"/>
          </w:tcPr>
          <w:p w14:paraId="260CC087" w14:textId="77777777" w:rsidR="00A336F8" w:rsidRPr="000277E7" w:rsidRDefault="00A336F8" w:rsidP="00A336F8">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0.799</w:t>
            </w:r>
          </w:p>
        </w:tc>
        <w:tc>
          <w:tcPr>
            <w:tcW w:w="1559" w:type="dxa"/>
          </w:tcPr>
          <w:p w14:paraId="5242CC6A" w14:textId="77777777" w:rsidR="00A336F8" w:rsidRPr="000277E7" w:rsidRDefault="00A336F8" w:rsidP="00A336F8">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0.869</w:t>
            </w:r>
          </w:p>
        </w:tc>
        <w:tc>
          <w:tcPr>
            <w:tcW w:w="1559" w:type="dxa"/>
          </w:tcPr>
          <w:p w14:paraId="67A8E263" w14:textId="77777777" w:rsidR="00A336F8" w:rsidRPr="000277E7" w:rsidRDefault="00A336F8" w:rsidP="00A336F8">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0.624</w:t>
            </w:r>
          </w:p>
        </w:tc>
      </w:tr>
      <w:tr w:rsidR="00C0600B" w:rsidRPr="000277E7" w14:paraId="57A38582" w14:textId="77777777" w:rsidTr="00A336F8">
        <w:trPr>
          <w:jc w:val="center"/>
        </w:trPr>
        <w:tc>
          <w:tcPr>
            <w:tcW w:w="1558" w:type="dxa"/>
          </w:tcPr>
          <w:p w14:paraId="41628D1A" w14:textId="77777777" w:rsidR="00C0600B" w:rsidRPr="000277E7" w:rsidRDefault="00C0600B" w:rsidP="00A336F8">
            <w:pPr>
              <w:spacing w:after="0" w:line="240" w:lineRule="auto"/>
              <w:ind w:firstLine="720"/>
              <w:jc w:val="center"/>
              <w:rPr>
                <w:rFonts w:ascii="Times New Roman" w:eastAsia="Times New Roman" w:hAnsi="Times New Roman" w:cs="Times New Roman"/>
                <w:color w:val="000000"/>
                <w:sz w:val="24"/>
                <w:szCs w:val="24"/>
              </w:rPr>
            </w:pPr>
          </w:p>
        </w:tc>
        <w:tc>
          <w:tcPr>
            <w:tcW w:w="1558" w:type="dxa"/>
          </w:tcPr>
          <w:p w14:paraId="7CCBF881" w14:textId="77777777" w:rsidR="00C0600B" w:rsidRPr="000277E7" w:rsidRDefault="00EB1169" w:rsidP="00A336F8">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D3</w:t>
            </w:r>
          </w:p>
        </w:tc>
        <w:tc>
          <w:tcPr>
            <w:tcW w:w="1558" w:type="dxa"/>
          </w:tcPr>
          <w:p w14:paraId="380979CE" w14:textId="77777777" w:rsidR="00C0600B" w:rsidRPr="000277E7" w:rsidRDefault="00EB1169" w:rsidP="00A336F8">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0.764</w:t>
            </w:r>
          </w:p>
        </w:tc>
        <w:tc>
          <w:tcPr>
            <w:tcW w:w="1558" w:type="dxa"/>
          </w:tcPr>
          <w:p w14:paraId="5E92A0F0" w14:textId="77777777" w:rsidR="00C0600B" w:rsidRPr="000277E7" w:rsidRDefault="00C0600B" w:rsidP="00A336F8">
            <w:pPr>
              <w:spacing w:after="0" w:line="240" w:lineRule="auto"/>
              <w:ind w:firstLine="720"/>
              <w:jc w:val="center"/>
              <w:rPr>
                <w:rFonts w:ascii="Times New Roman" w:eastAsia="Times New Roman" w:hAnsi="Times New Roman" w:cs="Times New Roman"/>
                <w:color w:val="000000"/>
                <w:sz w:val="24"/>
                <w:szCs w:val="24"/>
              </w:rPr>
            </w:pPr>
          </w:p>
        </w:tc>
        <w:tc>
          <w:tcPr>
            <w:tcW w:w="1559" w:type="dxa"/>
          </w:tcPr>
          <w:p w14:paraId="3A34ED81" w14:textId="77777777" w:rsidR="00C0600B" w:rsidRPr="000277E7" w:rsidRDefault="00C0600B" w:rsidP="00A336F8">
            <w:pPr>
              <w:spacing w:after="0" w:line="240" w:lineRule="auto"/>
              <w:ind w:firstLine="720"/>
              <w:jc w:val="center"/>
              <w:rPr>
                <w:rFonts w:ascii="Times New Roman" w:eastAsia="Times New Roman" w:hAnsi="Times New Roman" w:cs="Times New Roman"/>
                <w:color w:val="000000"/>
                <w:sz w:val="24"/>
                <w:szCs w:val="24"/>
              </w:rPr>
            </w:pPr>
          </w:p>
        </w:tc>
        <w:tc>
          <w:tcPr>
            <w:tcW w:w="1559" w:type="dxa"/>
          </w:tcPr>
          <w:p w14:paraId="1B88514C" w14:textId="77777777" w:rsidR="00C0600B" w:rsidRPr="000277E7" w:rsidRDefault="00C0600B" w:rsidP="00A336F8">
            <w:pPr>
              <w:spacing w:after="0" w:line="240" w:lineRule="auto"/>
              <w:ind w:firstLine="720"/>
              <w:jc w:val="center"/>
              <w:rPr>
                <w:rFonts w:ascii="Times New Roman" w:eastAsia="Times New Roman" w:hAnsi="Times New Roman" w:cs="Times New Roman"/>
                <w:color w:val="000000"/>
                <w:sz w:val="24"/>
                <w:szCs w:val="24"/>
              </w:rPr>
            </w:pPr>
          </w:p>
        </w:tc>
      </w:tr>
      <w:tr w:rsidR="00C0600B" w:rsidRPr="000277E7" w14:paraId="7FD37687" w14:textId="77777777" w:rsidTr="00A336F8">
        <w:trPr>
          <w:jc w:val="center"/>
        </w:trPr>
        <w:tc>
          <w:tcPr>
            <w:tcW w:w="1558" w:type="dxa"/>
          </w:tcPr>
          <w:p w14:paraId="3745AF35" w14:textId="77777777" w:rsidR="00C0600B" w:rsidRPr="000277E7" w:rsidRDefault="00C0600B" w:rsidP="00A336F8">
            <w:pPr>
              <w:spacing w:after="0" w:line="240" w:lineRule="auto"/>
              <w:ind w:firstLine="720"/>
              <w:jc w:val="center"/>
              <w:rPr>
                <w:rFonts w:ascii="Times New Roman" w:eastAsia="Times New Roman" w:hAnsi="Times New Roman" w:cs="Times New Roman"/>
                <w:color w:val="000000"/>
                <w:sz w:val="24"/>
                <w:szCs w:val="24"/>
              </w:rPr>
            </w:pPr>
          </w:p>
        </w:tc>
        <w:tc>
          <w:tcPr>
            <w:tcW w:w="1558" w:type="dxa"/>
          </w:tcPr>
          <w:p w14:paraId="075F5C13" w14:textId="77777777" w:rsidR="00C0600B" w:rsidRPr="000277E7" w:rsidRDefault="00EB1169" w:rsidP="00A336F8">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D4</w:t>
            </w:r>
          </w:p>
        </w:tc>
        <w:tc>
          <w:tcPr>
            <w:tcW w:w="1558" w:type="dxa"/>
          </w:tcPr>
          <w:p w14:paraId="705BF3E1" w14:textId="77777777" w:rsidR="00C0600B" w:rsidRPr="000277E7" w:rsidRDefault="00EB1169" w:rsidP="00A336F8">
            <w:pPr>
              <w:spacing w:after="0" w:line="240" w:lineRule="auto"/>
              <w:ind w:firstLine="0"/>
              <w:jc w:val="center"/>
              <w:rPr>
                <w:rFonts w:ascii="Times New Roman" w:eastAsia="Times New Roman" w:hAnsi="Times New Roman" w:cs="Times New Roman"/>
                <w:color w:val="000000"/>
                <w:sz w:val="24"/>
                <w:szCs w:val="24"/>
              </w:rPr>
            </w:pPr>
            <w:r w:rsidRPr="000277E7">
              <w:rPr>
                <w:rFonts w:ascii="Times New Roman" w:eastAsia="Times New Roman" w:hAnsi="Times New Roman" w:cs="Times New Roman"/>
                <w:color w:val="000000"/>
                <w:sz w:val="24"/>
                <w:szCs w:val="24"/>
              </w:rPr>
              <w:t>0.739</w:t>
            </w:r>
          </w:p>
        </w:tc>
        <w:tc>
          <w:tcPr>
            <w:tcW w:w="1558" w:type="dxa"/>
          </w:tcPr>
          <w:p w14:paraId="12A7FAAC" w14:textId="77777777" w:rsidR="00C0600B" w:rsidRPr="000277E7" w:rsidRDefault="00C0600B" w:rsidP="00A336F8">
            <w:pPr>
              <w:spacing w:after="0" w:line="240" w:lineRule="auto"/>
              <w:ind w:firstLine="720"/>
              <w:jc w:val="center"/>
              <w:rPr>
                <w:rFonts w:ascii="Times New Roman" w:eastAsia="Times New Roman" w:hAnsi="Times New Roman" w:cs="Times New Roman"/>
                <w:color w:val="000000"/>
                <w:sz w:val="24"/>
                <w:szCs w:val="24"/>
              </w:rPr>
            </w:pPr>
          </w:p>
        </w:tc>
        <w:tc>
          <w:tcPr>
            <w:tcW w:w="1559" w:type="dxa"/>
          </w:tcPr>
          <w:p w14:paraId="51485CBE" w14:textId="77777777" w:rsidR="00C0600B" w:rsidRPr="000277E7" w:rsidRDefault="00C0600B" w:rsidP="00A336F8">
            <w:pPr>
              <w:spacing w:after="0" w:line="240" w:lineRule="auto"/>
              <w:ind w:firstLine="720"/>
              <w:jc w:val="center"/>
              <w:rPr>
                <w:rFonts w:ascii="Times New Roman" w:eastAsia="Times New Roman" w:hAnsi="Times New Roman" w:cs="Times New Roman"/>
                <w:color w:val="000000"/>
                <w:sz w:val="24"/>
                <w:szCs w:val="24"/>
              </w:rPr>
            </w:pPr>
          </w:p>
        </w:tc>
        <w:tc>
          <w:tcPr>
            <w:tcW w:w="1559" w:type="dxa"/>
          </w:tcPr>
          <w:p w14:paraId="601AD112" w14:textId="77777777" w:rsidR="00C0600B" w:rsidRPr="000277E7" w:rsidRDefault="00C0600B" w:rsidP="00A336F8">
            <w:pPr>
              <w:spacing w:after="0" w:line="240" w:lineRule="auto"/>
              <w:ind w:firstLine="720"/>
              <w:jc w:val="center"/>
              <w:rPr>
                <w:rFonts w:ascii="Times New Roman" w:eastAsia="Times New Roman" w:hAnsi="Times New Roman" w:cs="Times New Roman"/>
                <w:color w:val="000000"/>
                <w:sz w:val="24"/>
                <w:szCs w:val="24"/>
              </w:rPr>
            </w:pPr>
          </w:p>
        </w:tc>
      </w:tr>
    </w:tbl>
    <w:p w14:paraId="6E7714D2" w14:textId="77777777" w:rsidR="00C0600B" w:rsidRPr="00ED2D2E" w:rsidRDefault="00C0600B" w:rsidP="00ED2D2E">
      <w:pPr>
        <w:spacing w:after="0" w:line="240" w:lineRule="auto"/>
        <w:ind w:firstLine="720"/>
        <w:jc w:val="both"/>
        <w:rPr>
          <w:rFonts w:ascii="Times New Roman" w:eastAsia="Times New Roman" w:hAnsi="Times New Roman" w:cs="Times New Roman"/>
          <w:color w:val="000000"/>
          <w:sz w:val="24"/>
          <w:szCs w:val="24"/>
        </w:rPr>
      </w:pPr>
    </w:p>
    <w:p w14:paraId="6966BF30" w14:textId="1DE35C28" w:rsidR="00C0600B" w:rsidRDefault="00EB1169" w:rsidP="00ED2D2E">
      <w:pPr>
        <w:spacing w:after="0" w:line="240" w:lineRule="auto"/>
        <w:ind w:firstLine="0"/>
        <w:jc w:val="center"/>
        <w:rPr>
          <w:rFonts w:ascii="Times New Roman" w:eastAsia="Times New Roman" w:hAnsi="Times New Roman" w:cs="Times New Roman"/>
          <w:b/>
          <w:sz w:val="24"/>
          <w:szCs w:val="24"/>
          <w:lang w:eastAsia="en-MY"/>
        </w:rPr>
      </w:pPr>
      <w:r w:rsidRPr="00ED2D2E">
        <w:rPr>
          <w:rFonts w:ascii="Times New Roman" w:eastAsia="Times New Roman" w:hAnsi="Times New Roman" w:cs="Times New Roman"/>
          <w:b/>
          <w:sz w:val="24"/>
          <w:szCs w:val="24"/>
          <w:lang w:eastAsia="en-MY"/>
        </w:rPr>
        <w:t>T</w:t>
      </w:r>
      <w:r w:rsidR="00ED2D2E" w:rsidRPr="00ED2D2E">
        <w:rPr>
          <w:rFonts w:ascii="Times New Roman" w:eastAsia="Times New Roman" w:hAnsi="Times New Roman" w:cs="Times New Roman"/>
          <w:b/>
          <w:sz w:val="24"/>
          <w:szCs w:val="24"/>
          <w:lang w:eastAsia="en-MY"/>
        </w:rPr>
        <w:t>able</w:t>
      </w:r>
      <w:r w:rsidRPr="00ED2D2E">
        <w:rPr>
          <w:rFonts w:ascii="Times New Roman" w:eastAsia="Times New Roman" w:hAnsi="Times New Roman" w:cs="Times New Roman"/>
          <w:b/>
          <w:sz w:val="24"/>
          <w:szCs w:val="24"/>
          <w:lang w:eastAsia="en-MY"/>
        </w:rPr>
        <w:t xml:space="preserve"> 3</w:t>
      </w:r>
      <w:r w:rsidR="00ED2D2E" w:rsidRPr="00ED2D2E">
        <w:rPr>
          <w:rFonts w:ascii="Times New Roman" w:eastAsia="Times New Roman" w:hAnsi="Times New Roman" w:cs="Times New Roman"/>
          <w:b/>
          <w:sz w:val="24"/>
          <w:szCs w:val="24"/>
          <w:lang w:eastAsia="en-MY"/>
        </w:rPr>
        <w:t xml:space="preserve">. </w:t>
      </w:r>
      <w:proofErr w:type="spellStart"/>
      <w:r w:rsidRPr="00ED2D2E">
        <w:rPr>
          <w:rFonts w:ascii="Times New Roman" w:eastAsia="Times New Roman" w:hAnsi="Times New Roman" w:cs="Times New Roman"/>
          <w:bCs/>
          <w:sz w:val="24"/>
          <w:szCs w:val="24"/>
          <w:lang w:eastAsia="en-MY"/>
        </w:rPr>
        <w:t>Fornell-Larcker</w:t>
      </w:r>
      <w:proofErr w:type="spellEnd"/>
      <w:r w:rsidRPr="00ED2D2E">
        <w:rPr>
          <w:rFonts w:ascii="Times New Roman" w:eastAsia="Times New Roman" w:hAnsi="Times New Roman" w:cs="Times New Roman"/>
          <w:bCs/>
          <w:sz w:val="24"/>
          <w:szCs w:val="24"/>
          <w:lang w:eastAsia="en-MY"/>
        </w:rPr>
        <w:t xml:space="preserve"> Criterion</w:t>
      </w:r>
    </w:p>
    <w:p w14:paraId="4A05F953" w14:textId="77777777" w:rsidR="00ED2D2E" w:rsidRPr="00ED2D2E" w:rsidRDefault="00ED2D2E" w:rsidP="00ED2D2E">
      <w:pPr>
        <w:spacing w:after="0" w:line="240" w:lineRule="auto"/>
        <w:ind w:firstLine="0"/>
        <w:jc w:val="center"/>
        <w:rPr>
          <w:rFonts w:ascii="Times New Roman" w:eastAsia="Times New Roman" w:hAnsi="Times New Roman" w:cs="Times New Roman"/>
          <w:sz w:val="24"/>
          <w:szCs w:val="24"/>
          <w:lang w:eastAsia="en-MY"/>
        </w:rPr>
      </w:pPr>
    </w:p>
    <w:tbl>
      <w:tblPr>
        <w:tblStyle w:val="4"/>
        <w:tblW w:w="5395" w:type="dxa"/>
        <w:jc w:val="center"/>
        <w:tblBorders>
          <w:top w:val="single" w:sz="4" w:space="0" w:color="000000"/>
          <w:bottom w:val="single" w:sz="4" w:space="0" w:color="000000"/>
        </w:tblBorders>
        <w:tblLayout w:type="fixed"/>
        <w:tblLook w:val="04A0" w:firstRow="1" w:lastRow="0" w:firstColumn="1" w:lastColumn="0" w:noHBand="0" w:noVBand="1"/>
      </w:tblPr>
      <w:tblGrid>
        <w:gridCol w:w="1434"/>
        <w:gridCol w:w="991"/>
        <w:gridCol w:w="990"/>
        <w:gridCol w:w="990"/>
        <w:gridCol w:w="990"/>
      </w:tblGrid>
      <w:tr w:rsidR="00C0600B" w:rsidRPr="00ED2D2E" w14:paraId="5CC91904" w14:textId="77777777" w:rsidTr="00ED2D2E">
        <w:trPr>
          <w:trHeight w:val="288"/>
          <w:jc w:val="center"/>
        </w:trPr>
        <w:tc>
          <w:tcPr>
            <w:tcW w:w="1434" w:type="dxa"/>
            <w:tcBorders>
              <w:top w:val="single" w:sz="4" w:space="0" w:color="000000"/>
              <w:bottom w:val="single" w:sz="4" w:space="0" w:color="000000"/>
            </w:tcBorders>
            <w:shd w:val="clear" w:color="auto" w:fill="8DB3E2" w:themeFill="text2" w:themeFillTint="66"/>
          </w:tcPr>
          <w:p w14:paraId="25C17ADE" w14:textId="77777777" w:rsidR="00C0600B" w:rsidRPr="00ED2D2E" w:rsidRDefault="00C0600B" w:rsidP="00ED2D2E">
            <w:pPr>
              <w:spacing w:after="0"/>
              <w:ind w:firstLine="0"/>
              <w:jc w:val="center"/>
              <w:rPr>
                <w:rFonts w:ascii="Times New Roman" w:eastAsia="Times New Roman" w:hAnsi="Times New Roman" w:cs="Times New Roman"/>
                <w:b/>
                <w:bCs/>
                <w:sz w:val="24"/>
                <w:szCs w:val="24"/>
                <w:lang w:eastAsia="en-MY"/>
              </w:rPr>
            </w:pPr>
          </w:p>
        </w:tc>
        <w:tc>
          <w:tcPr>
            <w:tcW w:w="991" w:type="dxa"/>
            <w:tcBorders>
              <w:top w:val="single" w:sz="4" w:space="0" w:color="000000"/>
              <w:bottom w:val="single" w:sz="4" w:space="0" w:color="000000"/>
            </w:tcBorders>
            <w:shd w:val="clear" w:color="auto" w:fill="8DB3E2" w:themeFill="text2" w:themeFillTint="66"/>
          </w:tcPr>
          <w:p w14:paraId="0A9355BE" w14:textId="77777777" w:rsidR="00C0600B" w:rsidRPr="00ED2D2E" w:rsidRDefault="00EB1169" w:rsidP="00ED2D2E">
            <w:pPr>
              <w:spacing w:after="0"/>
              <w:ind w:firstLine="0"/>
              <w:jc w:val="center"/>
              <w:rPr>
                <w:rFonts w:ascii="Times New Roman" w:eastAsia="Times New Roman" w:hAnsi="Times New Roman" w:cs="Times New Roman"/>
                <w:b/>
                <w:bCs/>
                <w:sz w:val="24"/>
                <w:szCs w:val="24"/>
                <w:lang w:eastAsia="en-MY"/>
              </w:rPr>
            </w:pPr>
            <w:r w:rsidRPr="00ED2D2E">
              <w:rPr>
                <w:rFonts w:ascii="Times New Roman" w:eastAsia="Times New Roman" w:hAnsi="Times New Roman" w:cs="Times New Roman"/>
                <w:b/>
                <w:bCs/>
                <w:sz w:val="24"/>
                <w:szCs w:val="24"/>
                <w:lang w:eastAsia="en-MY"/>
              </w:rPr>
              <w:t>FM</w:t>
            </w:r>
          </w:p>
        </w:tc>
        <w:tc>
          <w:tcPr>
            <w:tcW w:w="990" w:type="dxa"/>
            <w:tcBorders>
              <w:top w:val="single" w:sz="4" w:space="0" w:color="000000"/>
              <w:bottom w:val="single" w:sz="4" w:space="0" w:color="000000"/>
            </w:tcBorders>
            <w:shd w:val="clear" w:color="auto" w:fill="8DB3E2" w:themeFill="text2" w:themeFillTint="66"/>
          </w:tcPr>
          <w:p w14:paraId="514D0B40" w14:textId="77777777" w:rsidR="00C0600B" w:rsidRPr="00ED2D2E" w:rsidRDefault="00EB1169" w:rsidP="00ED2D2E">
            <w:pPr>
              <w:spacing w:after="0"/>
              <w:ind w:firstLine="0"/>
              <w:jc w:val="center"/>
              <w:rPr>
                <w:rFonts w:ascii="Times New Roman" w:eastAsia="Times New Roman" w:hAnsi="Times New Roman" w:cs="Times New Roman"/>
                <w:b/>
                <w:bCs/>
                <w:sz w:val="24"/>
                <w:szCs w:val="24"/>
                <w:lang w:eastAsia="en-MY"/>
              </w:rPr>
            </w:pPr>
            <w:r w:rsidRPr="00ED2D2E">
              <w:rPr>
                <w:rFonts w:ascii="Times New Roman" w:eastAsia="Times New Roman" w:hAnsi="Times New Roman" w:cs="Times New Roman"/>
                <w:b/>
                <w:bCs/>
                <w:sz w:val="24"/>
                <w:szCs w:val="24"/>
                <w:lang w:eastAsia="en-MY"/>
              </w:rPr>
              <w:t>PI</w:t>
            </w:r>
          </w:p>
        </w:tc>
        <w:tc>
          <w:tcPr>
            <w:tcW w:w="990" w:type="dxa"/>
            <w:tcBorders>
              <w:top w:val="single" w:sz="4" w:space="0" w:color="000000"/>
              <w:bottom w:val="single" w:sz="4" w:space="0" w:color="000000"/>
            </w:tcBorders>
            <w:shd w:val="clear" w:color="auto" w:fill="8DB3E2" w:themeFill="text2" w:themeFillTint="66"/>
          </w:tcPr>
          <w:p w14:paraId="13B57D0E" w14:textId="77777777" w:rsidR="00C0600B" w:rsidRPr="00ED2D2E" w:rsidRDefault="00EB1169" w:rsidP="00ED2D2E">
            <w:pPr>
              <w:spacing w:after="0"/>
              <w:ind w:firstLine="0"/>
              <w:jc w:val="center"/>
              <w:rPr>
                <w:rFonts w:ascii="Times New Roman" w:eastAsia="Times New Roman" w:hAnsi="Times New Roman" w:cs="Times New Roman"/>
                <w:b/>
                <w:bCs/>
                <w:sz w:val="24"/>
                <w:szCs w:val="24"/>
                <w:lang w:eastAsia="en-MY"/>
              </w:rPr>
            </w:pPr>
            <w:r w:rsidRPr="00ED2D2E">
              <w:rPr>
                <w:rFonts w:ascii="Times New Roman" w:eastAsia="Times New Roman" w:hAnsi="Times New Roman" w:cs="Times New Roman"/>
                <w:b/>
                <w:bCs/>
                <w:sz w:val="24"/>
                <w:szCs w:val="24"/>
                <w:lang w:eastAsia="en-MY"/>
              </w:rPr>
              <w:t>SI</w:t>
            </w:r>
          </w:p>
        </w:tc>
        <w:tc>
          <w:tcPr>
            <w:tcW w:w="990" w:type="dxa"/>
            <w:tcBorders>
              <w:top w:val="single" w:sz="4" w:space="0" w:color="000000"/>
              <w:bottom w:val="single" w:sz="4" w:space="0" w:color="000000"/>
            </w:tcBorders>
            <w:shd w:val="clear" w:color="auto" w:fill="8DB3E2" w:themeFill="text2" w:themeFillTint="66"/>
          </w:tcPr>
          <w:p w14:paraId="348B3DA8" w14:textId="77777777" w:rsidR="00C0600B" w:rsidRPr="00ED2D2E" w:rsidRDefault="00EB1169" w:rsidP="00ED2D2E">
            <w:pPr>
              <w:spacing w:after="0"/>
              <w:ind w:firstLine="0"/>
              <w:jc w:val="center"/>
              <w:rPr>
                <w:rFonts w:ascii="Times New Roman" w:eastAsia="Times New Roman" w:hAnsi="Times New Roman" w:cs="Times New Roman"/>
                <w:b/>
                <w:bCs/>
                <w:sz w:val="24"/>
                <w:szCs w:val="24"/>
                <w:lang w:eastAsia="en-MY"/>
              </w:rPr>
            </w:pPr>
            <w:r w:rsidRPr="00ED2D2E">
              <w:rPr>
                <w:rFonts w:ascii="Times New Roman" w:eastAsia="Times New Roman" w:hAnsi="Times New Roman" w:cs="Times New Roman"/>
                <w:b/>
                <w:bCs/>
                <w:sz w:val="24"/>
                <w:szCs w:val="24"/>
                <w:lang w:eastAsia="en-MY"/>
              </w:rPr>
              <w:t>SC</w:t>
            </w:r>
          </w:p>
        </w:tc>
      </w:tr>
      <w:tr w:rsidR="00C0600B" w:rsidRPr="00ED2D2E" w14:paraId="217FF5EA" w14:textId="77777777" w:rsidTr="00ED2D2E">
        <w:trPr>
          <w:trHeight w:val="288"/>
          <w:jc w:val="center"/>
        </w:trPr>
        <w:tc>
          <w:tcPr>
            <w:tcW w:w="1434" w:type="dxa"/>
            <w:tcBorders>
              <w:top w:val="single" w:sz="4" w:space="0" w:color="000000"/>
            </w:tcBorders>
          </w:tcPr>
          <w:p w14:paraId="29D19721"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FM</w:t>
            </w:r>
          </w:p>
        </w:tc>
        <w:tc>
          <w:tcPr>
            <w:tcW w:w="991" w:type="dxa"/>
            <w:tcBorders>
              <w:top w:val="single" w:sz="4" w:space="0" w:color="000000"/>
            </w:tcBorders>
          </w:tcPr>
          <w:p w14:paraId="689F9D4F"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0.760</w:t>
            </w:r>
          </w:p>
        </w:tc>
        <w:tc>
          <w:tcPr>
            <w:tcW w:w="990" w:type="dxa"/>
            <w:tcBorders>
              <w:top w:val="single" w:sz="4" w:space="0" w:color="000000"/>
            </w:tcBorders>
          </w:tcPr>
          <w:p w14:paraId="4E62D51C" w14:textId="77777777" w:rsidR="00C0600B" w:rsidRPr="00ED2D2E" w:rsidRDefault="00C0600B" w:rsidP="00ED2D2E">
            <w:pPr>
              <w:spacing w:after="0"/>
              <w:ind w:firstLine="0"/>
              <w:jc w:val="center"/>
              <w:rPr>
                <w:rFonts w:ascii="Times New Roman" w:eastAsia="Times New Roman" w:hAnsi="Times New Roman" w:cs="Times New Roman"/>
                <w:sz w:val="24"/>
                <w:szCs w:val="24"/>
                <w:lang w:eastAsia="en-MY"/>
              </w:rPr>
            </w:pPr>
          </w:p>
        </w:tc>
        <w:tc>
          <w:tcPr>
            <w:tcW w:w="990" w:type="dxa"/>
            <w:tcBorders>
              <w:top w:val="single" w:sz="4" w:space="0" w:color="000000"/>
            </w:tcBorders>
          </w:tcPr>
          <w:p w14:paraId="40968537" w14:textId="77777777" w:rsidR="00C0600B" w:rsidRPr="00ED2D2E" w:rsidRDefault="00C0600B" w:rsidP="00ED2D2E">
            <w:pPr>
              <w:spacing w:after="0"/>
              <w:ind w:firstLine="0"/>
              <w:jc w:val="center"/>
              <w:rPr>
                <w:rFonts w:ascii="Times New Roman" w:eastAsia="Times New Roman" w:hAnsi="Times New Roman" w:cs="Times New Roman"/>
                <w:sz w:val="24"/>
                <w:szCs w:val="24"/>
                <w:lang w:eastAsia="en-MY"/>
              </w:rPr>
            </w:pPr>
          </w:p>
        </w:tc>
        <w:tc>
          <w:tcPr>
            <w:tcW w:w="990" w:type="dxa"/>
            <w:tcBorders>
              <w:top w:val="single" w:sz="4" w:space="0" w:color="000000"/>
            </w:tcBorders>
          </w:tcPr>
          <w:p w14:paraId="698153FD" w14:textId="77777777" w:rsidR="00C0600B" w:rsidRPr="00ED2D2E" w:rsidRDefault="00C0600B" w:rsidP="00ED2D2E">
            <w:pPr>
              <w:spacing w:after="0"/>
              <w:ind w:firstLine="0"/>
              <w:jc w:val="center"/>
              <w:rPr>
                <w:rFonts w:ascii="Times New Roman" w:eastAsia="Times New Roman" w:hAnsi="Times New Roman" w:cs="Times New Roman"/>
                <w:sz w:val="24"/>
                <w:szCs w:val="24"/>
                <w:lang w:eastAsia="en-MY"/>
              </w:rPr>
            </w:pPr>
          </w:p>
        </w:tc>
      </w:tr>
      <w:tr w:rsidR="00C0600B" w:rsidRPr="00ED2D2E" w14:paraId="78E0CC02" w14:textId="77777777" w:rsidTr="00ED2D2E">
        <w:trPr>
          <w:trHeight w:val="288"/>
          <w:jc w:val="center"/>
        </w:trPr>
        <w:tc>
          <w:tcPr>
            <w:tcW w:w="1434" w:type="dxa"/>
          </w:tcPr>
          <w:p w14:paraId="4509E627"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PI</w:t>
            </w:r>
          </w:p>
        </w:tc>
        <w:tc>
          <w:tcPr>
            <w:tcW w:w="991" w:type="dxa"/>
          </w:tcPr>
          <w:p w14:paraId="27CF3F56"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0.153</w:t>
            </w:r>
          </w:p>
        </w:tc>
        <w:tc>
          <w:tcPr>
            <w:tcW w:w="990" w:type="dxa"/>
          </w:tcPr>
          <w:p w14:paraId="54BD7F90"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0.697</w:t>
            </w:r>
          </w:p>
        </w:tc>
        <w:tc>
          <w:tcPr>
            <w:tcW w:w="990" w:type="dxa"/>
          </w:tcPr>
          <w:p w14:paraId="04D38F6F" w14:textId="77777777" w:rsidR="00C0600B" w:rsidRPr="00ED2D2E" w:rsidRDefault="00C0600B" w:rsidP="00ED2D2E">
            <w:pPr>
              <w:spacing w:after="0"/>
              <w:ind w:firstLine="0"/>
              <w:jc w:val="center"/>
              <w:rPr>
                <w:rFonts w:ascii="Times New Roman" w:eastAsia="Times New Roman" w:hAnsi="Times New Roman" w:cs="Times New Roman"/>
                <w:sz w:val="24"/>
                <w:szCs w:val="24"/>
                <w:lang w:eastAsia="en-MY"/>
              </w:rPr>
            </w:pPr>
          </w:p>
        </w:tc>
        <w:tc>
          <w:tcPr>
            <w:tcW w:w="990" w:type="dxa"/>
          </w:tcPr>
          <w:p w14:paraId="433239D0" w14:textId="77777777" w:rsidR="00C0600B" w:rsidRPr="00ED2D2E" w:rsidRDefault="00C0600B" w:rsidP="00ED2D2E">
            <w:pPr>
              <w:spacing w:after="0"/>
              <w:ind w:firstLine="0"/>
              <w:jc w:val="center"/>
              <w:rPr>
                <w:rFonts w:ascii="Times New Roman" w:eastAsia="Times New Roman" w:hAnsi="Times New Roman" w:cs="Times New Roman"/>
                <w:sz w:val="24"/>
                <w:szCs w:val="24"/>
                <w:lang w:eastAsia="en-MY"/>
              </w:rPr>
            </w:pPr>
          </w:p>
        </w:tc>
      </w:tr>
      <w:tr w:rsidR="00C0600B" w:rsidRPr="00ED2D2E" w14:paraId="7F6927F8" w14:textId="77777777" w:rsidTr="00ED2D2E">
        <w:trPr>
          <w:trHeight w:val="288"/>
          <w:jc w:val="center"/>
        </w:trPr>
        <w:tc>
          <w:tcPr>
            <w:tcW w:w="1434" w:type="dxa"/>
          </w:tcPr>
          <w:p w14:paraId="62FF54B2"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SI</w:t>
            </w:r>
          </w:p>
        </w:tc>
        <w:tc>
          <w:tcPr>
            <w:tcW w:w="991" w:type="dxa"/>
          </w:tcPr>
          <w:p w14:paraId="7861271F"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0.676</w:t>
            </w:r>
          </w:p>
        </w:tc>
        <w:tc>
          <w:tcPr>
            <w:tcW w:w="990" w:type="dxa"/>
          </w:tcPr>
          <w:p w14:paraId="4226D722"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0.198</w:t>
            </w:r>
          </w:p>
        </w:tc>
        <w:tc>
          <w:tcPr>
            <w:tcW w:w="990" w:type="dxa"/>
          </w:tcPr>
          <w:p w14:paraId="67180B64"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0.790</w:t>
            </w:r>
          </w:p>
        </w:tc>
        <w:tc>
          <w:tcPr>
            <w:tcW w:w="990" w:type="dxa"/>
          </w:tcPr>
          <w:p w14:paraId="2079E594" w14:textId="77777777" w:rsidR="00C0600B" w:rsidRPr="00ED2D2E" w:rsidRDefault="00C0600B" w:rsidP="00ED2D2E">
            <w:pPr>
              <w:spacing w:after="0"/>
              <w:ind w:firstLine="0"/>
              <w:jc w:val="center"/>
              <w:rPr>
                <w:rFonts w:ascii="Times New Roman" w:eastAsia="Times New Roman" w:hAnsi="Times New Roman" w:cs="Times New Roman"/>
                <w:sz w:val="24"/>
                <w:szCs w:val="24"/>
                <w:lang w:eastAsia="en-MY"/>
              </w:rPr>
            </w:pPr>
          </w:p>
        </w:tc>
      </w:tr>
      <w:tr w:rsidR="00C0600B" w:rsidRPr="00ED2D2E" w14:paraId="006F481B" w14:textId="77777777" w:rsidTr="00ED2D2E">
        <w:trPr>
          <w:trHeight w:val="288"/>
          <w:jc w:val="center"/>
        </w:trPr>
        <w:tc>
          <w:tcPr>
            <w:tcW w:w="1434" w:type="dxa"/>
          </w:tcPr>
          <w:p w14:paraId="002F40B2"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SC</w:t>
            </w:r>
          </w:p>
        </w:tc>
        <w:tc>
          <w:tcPr>
            <w:tcW w:w="991" w:type="dxa"/>
          </w:tcPr>
          <w:p w14:paraId="2FD199D9"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0.692</w:t>
            </w:r>
          </w:p>
        </w:tc>
        <w:tc>
          <w:tcPr>
            <w:tcW w:w="990" w:type="dxa"/>
          </w:tcPr>
          <w:p w14:paraId="1707E19E"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0.055</w:t>
            </w:r>
          </w:p>
        </w:tc>
        <w:tc>
          <w:tcPr>
            <w:tcW w:w="990" w:type="dxa"/>
          </w:tcPr>
          <w:p w14:paraId="24672CB6"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0.681</w:t>
            </w:r>
          </w:p>
        </w:tc>
        <w:tc>
          <w:tcPr>
            <w:tcW w:w="990" w:type="dxa"/>
          </w:tcPr>
          <w:p w14:paraId="252B1271"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0.810</w:t>
            </w:r>
          </w:p>
        </w:tc>
      </w:tr>
    </w:tbl>
    <w:p w14:paraId="482DD91F" w14:textId="77777777" w:rsidR="00C0600B" w:rsidRPr="00ED2D2E" w:rsidRDefault="00C0600B" w:rsidP="00ED2D2E">
      <w:pPr>
        <w:spacing w:after="0" w:line="240" w:lineRule="auto"/>
        <w:ind w:firstLine="0"/>
        <w:rPr>
          <w:rFonts w:ascii="Times New Roman" w:eastAsia="Times New Roman" w:hAnsi="Times New Roman" w:cs="Times New Roman"/>
          <w:sz w:val="24"/>
          <w:szCs w:val="24"/>
          <w:lang w:eastAsia="en-MY"/>
        </w:rPr>
      </w:pPr>
    </w:p>
    <w:p w14:paraId="21EF65A3" w14:textId="30891188" w:rsidR="00C0600B" w:rsidRDefault="00EB1169" w:rsidP="00ED2D2E">
      <w:pPr>
        <w:spacing w:after="0" w:line="240" w:lineRule="auto"/>
        <w:ind w:firstLine="0"/>
        <w:jc w:val="center"/>
        <w:rPr>
          <w:rFonts w:ascii="Times New Roman" w:eastAsia="Times New Roman" w:hAnsi="Times New Roman" w:cs="Times New Roman"/>
          <w:b/>
          <w:sz w:val="24"/>
          <w:szCs w:val="24"/>
          <w:lang w:eastAsia="en-MY"/>
        </w:rPr>
      </w:pPr>
      <w:r w:rsidRPr="00ED2D2E">
        <w:rPr>
          <w:rFonts w:ascii="Times New Roman" w:eastAsia="Times New Roman" w:hAnsi="Times New Roman" w:cs="Times New Roman"/>
          <w:b/>
          <w:sz w:val="24"/>
          <w:szCs w:val="24"/>
          <w:lang w:eastAsia="en-MY"/>
        </w:rPr>
        <w:t xml:space="preserve">Table 4. </w:t>
      </w:r>
      <w:r w:rsidR="00ED2D2E" w:rsidRPr="00ED2D2E">
        <w:rPr>
          <w:rFonts w:ascii="Times New Roman" w:eastAsia="Times New Roman" w:hAnsi="Times New Roman" w:cs="Times New Roman"/>
          <w:bCs/>
          <w:sz w:val="24"/>
          <w:szCs w:val="24"/>
          <w:lang w:eastAsia="en-MY"/>
        </w:rPr>
        <w:t>Cross loadings results</w:t>
      </w:r>
    </w:p>
    <w:p w14:paraId="043C36C0" w14:textId="77777777" w:rsidR="00ED2D2E" w:rsidRPr="00ED2D2E" w:rsidRDefault="00ED2D2E" w:rsidP="00ED2D2E">
      <w:pPr>
        <w:spacing w:after="0" w:line="240" w:lineRule="auto"/>
        <w:ind w:firstLine="0"/>
        <w:jc w:val="center"/>
        <w:rPr>
          <w:rFonts w:ascii="Times New Roman" w:hAnsi="Times New Roman" w:cs="Times New Roman"/>
          <w:sz w:val="24"/>
          <w:szCs w:val="24"/>
          <w:lang w:eastAsia="en-MY"/>
        </w:rPr>
      </w:pPr>
    </w:p>
    <w:tbl>
      <w:tblPr>
        <w:tblStyle w:val="3"/>
        <w:tblW w:w="8567" w:type="dxa"/>
        <w:jc w:val="center"/>
        <w:tblBorders>
          <w:top w:val="single" w:sz="4" w:space="0" w:color="000000"/>
          <w:bottom w:val="single" w:sz="4" w:space="0" w:color="000000"/>
        </w:tblBorders>
        <w:tblLayout w:type="fixed"/>
        <w:tblLook w:val="04A0" w:firstRow="1" w:lastRow="0" w:firstColumn="1" w:lastColumn="0" w:noHBand="0" w:noVBand="1"/>
      </w:tblPr>
      <w:tblGrid>
        <w:gridCol w:w="1181"/>
        <w:gridCol w:w="1631"/>
        <w:gridCol w:w="2310"/>
        <w:gridCol w:w="1486"/>
        <w:gridCol w:w="1959"/>
      </w:tblGrid>
      <w:tr w:rsidR="00C0600B" w:rsidRPr="00ED2D2E" w14:paraId="2024BF5B" w14:textId="77777777" w:rsidTr="00ED2D2E">
        <w:trPr>
          <w:trHeight w:val="288"/>
          <w:jc w:val="center"/>
        </w:trPr>
        <w:tc>
          <w:tcPr>
            <w:tcW w:w="1181" w:type="dxa"/>
            <w:tcBorders>
              <w:top w:val="single" w:sz="4" w:space="0" w:color="000000"/>
              <w:bottom w:val="single" w:sz="4" w:space="0" w:color="000000"/>
            </w:tcBorders>
            <w:shd w:val="clear" w:color="auto" w:fill="8DB3E2" w:themeFill="text2" w:themeFillTint="66"/>
          </w:tcPr>
          <w:p w14:paraId="781AE851" w14:textId="77777777" w:rsidR="00C0600B" w:rsidRPr="00ED2D2E" w:rsidRDefault="00C0600B" w:rsidP="00ED2D2E">
            <w:pPr>
              <w:spacing w:after="0"/>
              <w:ind w:firstLine="0"/>
              <w:jc w:val="center"/>
              <w:rPr>
                <w:rFonts w:ascii="Times New Roman" w:eastAsia="Times New Roman" w:hAnsi="Times New Roman" w:cs="Times New Roman"/>
                <w:sz w:val="24"/>
                <w:szCs w:val="24"/>
                <w:lang w:eastAsia="en-MY"/>
              </w:rPr>
            </w:pPr>
          </w:p>
        </w:tc>
        <w:tc>
          <w:tcPr>
            <w:tcW w:w="1631" w:type="dxa"/>
            <w:tcBorders>
              <w:top w:val="single" w:sz="4" w:space="0" w:color="000000"/>
              <w:bottom w:val="single" w:sz="4" w:space="0" w:color="000000"/>
            </w:tcBorders>
            <w:shd w:val="clear" w:color="auto" w:fill="8DB3E2" w:themeFill="text2" w:themeFillTint="66"/>
          </w:tcPr>
          <w:p w14:paraId="3B4F5DEB" w14:textId="77777777" w:rsidR="00C0600B" w:rsidRPr="00ED2D2E" w:rsidRDefault="00EB1169" w:rsidP="00ED2D2E">
            <w:pPr>
              <w:spacing w:after="0"/>
              <w:ind w:firstLine="0"/>
              <w:jc w:val="center"/>
              <w:rPr>
                <w:rFonts w:ascii="Times New Roman" w:eastAsia="Times New Roman" w:hAnsi="Times New Roman" w:cs="Times New Roman"/>
                <w:b/>
                <w:sz w:val="24"/>
                <w:szCs w:val="24"/>
                <w:lang w:eastAsia="en-MY"/>
              </w:rPr>
            </w:pPr>
            <w:r w:rsidRPr="00ED2D2E">
              <w:rPr>
                <w:rFonts w:ascii="Times New Roman" w:eastAsia="Times New Roman" w:hAnsi="Times New Roman" w:cs="Times New Roman"/>
                <w:b/>
                <w:sz w:val="24"/>
                <w:szCs w:val="24"/>
                <w:lang w:eastAsia="en-MY"/>
              </w:rPr>
              <w:t>FM</w:t>
            </w:r>
          </w:p>
        </w:tc>
        <w:tc>
          <w:tcPr>
            <w:tcW w:w="2310" w:type="dxa"/>
            <w:tcBorders>
              <w:top w:val="single" w:sz="4" w:space="0" w:color="000000"/>
              <w:bottom w:val="single" w:sz="4" w:space="0" w:color="000000"/>
            </w:tcBorders>
            <w:shd w:val="clear" w:color="auto" w:fill="8DB3E2" w:themeFill="text2" w:themeFillTint="66"/>
          </w:tcPr>
          <w:p w14:paraId="6ED2C8D3" w14:textId="77777777" w:rsidR="00C0600B" w:rsidRPr="00ED2D2E" w:rsidRDefault="00EB1169" w:rsidP="00ED2D2E">
            <w:pPr>
              <w:spacing w:after="0"/>
              <w:ind w:firstLine="0"/>
              <w:jc w:val="center"/>
              <w:rPr>
                <w:rFonts w:ascii="Times New Roman" w:eastAsia="Times New Roman" w:hAnsi="Times New Roman" w:cs="Times New Roman"/>
                <w:b/>
                <w:sz w:val="24"/>
                <w:szCs w:val="24"/>
                <w:lang w:eastAsia="en-MY"/>
              </w:rPr>
            </w:pPr>
            <w:r w:rsidRPr="00ED2D2E">
              <w:rPr>
                <w:rFonts w:ascii="Times New Roman" w:eastAsia="Times New Roman" w:hAnsi="Times New Roman" w:cs="Times New Roman"/>
                <w:b/>
                <w:sz w:val="24"/>
                <w:szCs w:val="24"/>
                <w:lang w:eastAsia="en-MY"/>
              </w:rPr>
              <w:t>PI</w:t>
            </w:r>
          </w:p>
        </w:tc>
        <w:tc>
          <w:tcPr>
            <w:tcW w:w="1486" w:type="dxa"/>
            <w:tcBorders>
              <w:top w:val="single" w:sz="4" w:space="0" w:color="000000"/>
              <w:bottom w:val="single" w:sz="4" w:space="0" w:color="000000"/>
            </w:tcBorders>
            <w:shd w:val="clear" w:color="auto" w:fill="8DB3E2" w:themeFill="text2" w:themeFillTint="66"/>
          </w:tcPr>
          <w:p w14:paraId="276F394B" w14:textId="77777777" w:rsidR="00C0600B" w:rsidRPr="00ED2D2E" w:rsidRDefault="00EB1169" w:rsidP="00ED2D2E">
            <w:pPr>
              <w:spacing w:after="0"/>
              <w:ind w:firstLine="0"/>
              <w:jc w:val="center"/>
              <w:rPr>
                <w:rFonts w:ascii="Times New Roman" w:eastAsia="Times New Roman" w:hAnsi="Times New Roman" w:cs="Times New Roman"/>
                <w:b/>
                <w:sz w:val="24"/>
                <w:szCs w:val="24"/>
                <w:lang w:eastAsia="en-MY"/>
              </w:rPr>
            </w:pPr>
            <w:r w:rsidRPr="00ED2D2E">
              <w:rPr>
                <w:rFonts w:ascii="Times New Roman" w:eastAsia="Times New Roman" w:hAnsi="Times New Roman" w:cs="Times New Roman"/>
                <w:b/>
                <w:sz w:val="24"/>
                <w:szCs w:val="24"/>
                <w:lang w:eastAsia="en-MY"/>
              </w:rPr>
              <w:t>SC</w:t>
            </w:r>
          </w:p>
        </w:tc>
        <w:tc>
          <w:tcPr>
            <w:tcW w:w="1959" w:type="dxa"/>
            <w:tcBorders>
              <w:top w:val="single" w:sz="4" w:space="0" w:color="000000"/>
              <w:bottom w:val="single" w:sz="4" w:space="0" w:color="000000"/>
            </w:tcBorders>
            <w:shd w:val="clear" w:color="auto" w:fill="8DB3E2" w:themeFill="text2" w:themeFillTint="66"/>
          </w:tcPr>
          <w:p w14:paraId="70F5C8C9" w14:textId="77777777" w:rsidR="00C0600B" w:rsidRPr="00ED2D2E" w:rsidRDefault="00EB1169" w:rsidP="00ED2D2E">
            <w:pPr>
              <w:spacing w:after="0"/>
              <w:ind w:firstLine="0"/>
              <w:jc w:val="center"/>
              <w:rPr>
                <w:rFonts w:ascii="Times New Roman" w:eastAsia="Times New Roman" w:hAnsi="Times New Roman" w:cs="Times New Roman"/>
                <w:b/>
                <w:sz w:val="24"/>
                <w:szCs w:val="24"/>
                <w:lang w:eastAsia="en-MY"/>
              </w:rPr>
            </w:pPr>
            <w:r w:rsidRPr="00ED2D2E">
              <w:rPr>
                <w:rFonts w:ascii="Times New Roman" w:eastAsia="Times New Roman" w:hAnsi="Times New Roman" w:cs="Times New Roman"/>
                <w:b/>
                <w:sz w:val="24"/>
                <w:szCs w:val="24"/>
                <w:lang w:eastAsia="en-MY"/>
              </w:rPr>
              <w:t>SI</w:t>
            </w:r>
          </w:p>
        </w:tc>
      </w:tr>
      <w:tr w:rsidR="00C0600B" w:rsidRPr="00ED2D2E" w14:paraId="332F8268" w14:textId="77777777" w:rsidTr="00ED2D2E">
        <w:trPr>
          <w:trHeight w:val="288"/>
          <w:jc w:val="center"/>
        </w:trPr>
        <w:tc>
          <w:tcPr>
            <w:tcW w:w="1181" w:type="dxa"/>
            <w:tcBorders>
              <w:top w:val="single" w:sz="4" w:space="0" w:color="000000"/>
            </w:tcBorders>
          </w:tcPr>
          <w:p w14:paraId="3CCDD51C"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C21</w:t>
            </w:r>
          </w:p>
        </w:tc>
        <w:tc>
          <w:tcPr>
            <w:tcW w:w="1631" w:type="dxa"/>
            <w:tcBorders>
              <w:top w:val="single" w:sz="4" w:space="0" w:color="000000"/>
            </w:tcBorders>
          </w:tcPr>
          <w:p w14:paraId="3F755EDA" w14:textId="77777777" w:rsidR="00C0600B" w:rsidRPr="00ED2D2E" w:rsidRDefault="00EB1169" w:rsidP="00ED2D2E">
            <w:pPr>
              <w:spacing w:after="0"/>
              <w:ind w:firstLine="0"/>
              <w:jc w:val="center"/>
              <w:rPr>
                <w:rFonts w:ascii="Times New Roman" w:eastAsia="Times New Roman" w:hAnsi="Times New Roman" w:cs="Times New Roman"/>
                <w:b/>
                <w:sz w:val="24"/>
                <w:szCs w:val="24"/>
                <w:lang w:eastAsia="en-MY"/>
              </w:rPr>
            </w:pPr>
            <w:r w:rsidRPr="00ED2D2E">
              <w:rPr>
                <w:rFonts w:ascii="Times New Roman" w:eastAsia="Times New Roman" w:hAnsi="Times New Roman" w:cs="Times New Roman"/>
                <w:b/>
                <w:sz w:val="24"/>
                <w:szCs w:val="24"/>
                <w:lang w:eastAsia="en-MY"/>
              </w:rPr>
              <w:t>0.847</w:t>
            </w:r>
          </w:p>
        </w:tc>
        <w:tc>
          <w:tcPr>
            <w:tcW w:w="2310" w:type="dxa"/>
            <w:tcBorders>
              <w:top w:val="single" w:sz="4" w:space="0" w:color="000000"/>
            </w:tcBorders>
          </w:tcPr>
          <w:p w14:paraId="14C49635"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0.083</w:t>
            </w:r>
          </w:p>
        </w:tc>
        <w:tc>
          <w:tcPr>
            <w:tcW w:w="1486" w:type="dxa"/>
            <w:tcBorders>
              <w:top w:val="single" w:sz="4" w:space="0" w:color="000000"/>
            </w:tcBorders>
          </w:tcPr>
          <w:p w14:paraId="54C32DE5"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0.637</w:t>
            </w:r>
          </w:p>
        </w:tc>
        <w:tc>
          <w:tcPr>
            <w:tcW w:w="1959" w:type="dxa"/>
            <w:tcBorders>
              <w:top w:val="single" w:sz="4" w:space="0" w:color="000000"/>
            </w:tcBorders>
          </w:tcPr>
          <w:p w14:paraId="5EC47E56"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0.601</w:t>
            </w:r>
          </w:p>
        </w:tc>
      </w:tr>
      <w:tr w:rsidR="00C0600B" w:rsidRPr="00ED2D2E" w14:paraId="366C8DCC" w14:textId="77777777" w:rsidTr="00ED2D2E">
        <w:trPr>
          <w:trHeight w:val="288"/>
          <w:jc w:val="center"/>
        </w:trPr>
        <w:tc>
          <w:tcPr>
            <w:tcW w:w="1181" w:type="dxa"/>
          </w:tcPr>
          <w:p w14:paraId="40AAAF77"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C22</w:t>
            </w:r>
          </w:p>
        </w:tc>
        <w:tc>
          <w:tcPr>
            <w:tcW w:w="1631" w:type="dxa"/>
          </w:tcPr>
          <w:p w14:paraId="6F1A4058" w14:textId="77777777" w:rsidR="00C0600B" w:rsidRPr="00ED2D2E" w:rsidRDefault="00EB1169" w:rsidP="00ED2D2E">
            <w:pPr>
              <w:spacing w:after="0"/>
              <w:ind w:firstLine="0"/>
              <w:jc w:val="center"/>
              <w:rPr>
                <w:rFonts w:ascii="Times New Roman" w:eastAsia="Times New Roman" w:hAnsi="Times New Roman" w:cs="Times New Roman"/>
                <w:b/>
                <w:sz w:val="24"/>
                <w:szCs w:val="24"/>
                <w:lang w:eastAsia="en-MY"/>
              </w:rPr>
            </w:pPr>
            <w:r w:rsidRPr="00ED2D2E">
              <w:rPr>
                <w:rFonts w:ascii="Times New Roman" w:eastAsia="Times New Roman" w:hAnsi="Times New Roman" w:cs="Times New Roman"/>
                <w:b/>
                <w:sz w:val="24"/>
                <w:szCs w:val="24"/>
                <w:lang w:eastAsia="en-MY"/>
              </w:rPr>
              <w:t>0.776</w:t>
            </w:r>
          </w:p>
        </w:tc>
        <w:tc>
          <w:tcPr>
            <w:tcW w:w="2310" w:type="dxa"/>
          </w:tcPr>
          <w:p w14:paraId="5D23612F"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0.22</w:t>
            </w:r>
          </w:p>
        </w:tc>
        <w:tc>
          <w:tcPr>
            <w:tcW w:w="1486" w:type="dxa"/>
          </w:tcPr>
          <w:p w14:paraId="31543399"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0.48</w:t>
            </w:r>
          </w:p>
        </w:tc>
        <w:tc>
          <w:tcPr>
            <w:tcW w:w="1959" w:type="dxa"/>
          </w:tcPr>
          <w:p w14:paraId="064C412A"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0.539</w:t>
            </w:r>
          </w:p>
        </w:tc>
      </w:tr>
      <w:tr w:rsidR="00C0600B" w:rsidRPr="00ED2D2E" w14:paraId="78221AF7" w14:textId="77777777" w:rsidTr="00ED2D2E">
        <w:trPr>
          <w:trHeight w:val="288"/>
          <w:jc w:val="center"/>
        </w:trPr>
        <w:tc>
          <w:tcPr>
            <w:tcW w:w="1181" w:type="dxa"/>
          </w:tcPr>
          <w:p w14:paraId="7D88A505"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C23</w:t>
            </w:r>
          </w:p>
        </w:tc>
        <w:tc>
          <w:tcPr>
            <w:tcW w:w="1631" w:type="dxa"/>
          </w:tcPr>
          <w:p w14:paraId="7E2FAFD1" w14:textId="77777777" w:rsidR="00C0600B" w:rsidRPr="00ED2D2E" w:rsidRDefault="00EB1169" w:rsidP="00ED2D2E">
            <w:pPr>
              <w:spacing w:after="0"/>
              <w:ind w:firstLine="0"/>
              <w:jc w:val="center"/>
              <w:rPr>
                <w:rFonts w:ascii="Times New Roman" w:eastAsia="Times New Roman" w:hAnsi="Times New Roman" w:cs="Times New Roman"/>
                <w:b/>
                <w:sz w:val="24"/>
                <w:szCs w:val="24"/>
                <w:lang w:eastAsia="en-MY"/>
              </w:rPr>
            </w:pPr>
            <w:r w:rsidRPr="00ED2D2E">
              <w:rPr>
                <w:rFonts w:ascii="Times New Roman" w:eastAsia="Times New Roman" w:hAnsi="Times New Roman" w:cs="Times New Roman"/>
                <w:b/>
                <w:sz w:val="24"/>
                <w:szCs w:val="24"/>
                <w:lang w:eastAsia="en-MY"/>
              </w:rPr>
              <w:t>0.821</w:t>
            </w:r>
          </w:p>
        </w:tc>
        <w:tc>
          <w:tcPr>
            <w:tcW w:w="2310" w:type="dxa"/>
          </w:tcPr>
          <w:p w14:paraId="0678E0A3"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0.105</w:t>
            </w:r>
          </w:p>
        </w:tc>
        <w:tc>
          <w:tcPr>
            <w:tcW w:w="1486" w:type="dxa"/>
          </w:tcPr>
          <w:p w14:paraId="664E7C7E"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0.596</w:t>
            </w:r>
          </w:p>
        </w:tc>
        <w:tc>
          <w:tcPr>
            <w:tcW w:w="1959" w:type="dxa"/>
          </w:tcPr>
          <w:p w14:paraId="6C0ADF36"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bookmarkStart w:id="2" w:name="_gjdgxs" w:colFirst="0" w:colLast="0"/>
            <w:bookmarkEnd w:id="2"/>
            <w:r w:rsidRPr="00ED2D2E">
              <w:rPr>
                <w:rFonts w:ascii="Times New Roman" w:eastAsia="Times New Roman" w:hAnsi="Times New Roman" w:cs="Times New Roman"/>
                <w:sz w:val="24"/>
                <w:szCs w:val="24"/>
                <w:lang w:eastAsia="en-MY"/>
              </w:rPr>
              <w:t>0.54</w:t>
            </w:r>
          </w:p>
        </w:tc>
      </w:tr>
      <w:tr w:rsidR="00C0600B" w:rsidRPr="00ED2D2E" w14:paraId="293CE157" w14:textId="77777777" w:rsidTr="00ED2D2E">
        <w:trPr>
          <w:trHeight w:val="288"/>
          <w:jc w:val="center"/>
        </w:trPr>
        <w:tc>
          <w:tcPr>
            <w:tcW w:w="1181" w:type="dxa"/>
          </w:tcPr>
          <w:p w14:paraId="4F717BC7"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C24</w:t>
            </w:r>
          </w:p>
        </w:tc>
        <w:tc>
          <w:tcPr>
            <w:tcW w:w="1631" w:type="dxa"/>
          </w:tcPr>
          <w:p w14:paraId="4FA6597C" w14:textId="77777777" w:rsidR="00C0600B" w:rsidRPr="00ED2D2E" w:rsidRDefault="00EB1169" w:rsidP="00ED2D2E">
            <w:pPr>
              <w:spacing w:after="0"/>
              <w:ind w:firstLine="0"/>
              <w:jc w:val="center"/>
              <w:rPr>
                <w:rFonts w:ascii="Times New Roman" w:eastAsia="Times New Roman" w:hAnsi="Times New Roman" w:cs="Times New Roman"/>
                <w:b/>
                <w:sz w:val="24"/>
                <w:szCs w:val="24"/>
                <w:lang w:eastAsia="en-MY"/>
              </w:rPr>
            </w:pPr>
            <w:r w:rsidRPr="00ED2D2E">
              <w:rPr>
                <w:rFonts w:ascii="Times New Roman" w:eastAsia="Times New Roman" w:hAnsi="Times New Roman" w:cs="Times New Roman"/>
                <w:b/>
                <w:sz w:val="24"/>
                <w:szCs w:val="24"/>
                <w:lang w:eastAsia="en-MY"/>
              </w:rPr>
              <w:t>0.711</w:t>
            </w:r>
          </w:p>
        </w:tc>
        <w:tc>
          <w:tcPr>
            <w:tcW w:w="2310" w:type="dxa"/>
          </w:tcPr>
          <w:p w14:paraId="3BC3BBDF"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0.058</w:t>
            </w:r>
          </w:p>
        </w:tc>
        <w:tc>
          <w:tcPr>
            <w:tcW w:w="1486" w:type="dxa"/>
          </w:tcPr>
          <w:p w14:paraId="5F0B1AF9"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0.514</w:t>
            </w:r>
          </w:p>
        </w:tc>
        <w:tc>
          <w:tcPr>
            <w:tcW w:w="1959" w:type="dxa"/>
          </w:tcPr>
          <w:p w14:paraId="4816AECE"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0.436</w:t>
            </w:r>
          </w:p>
        </w:tc>
      </w:tr>
      <w:tr w:rsidR="00C0600B" w:rsidRPr="00ED2D2E" w14:paraId="58B31F6D" w14:textId="77777777" w:rsidTr="00ED2D2E">
        <w:trPr>
          <w:trHeight w:val="288"/>
          <w:jc w:val="center"/>
        </w:trPr>
        <w:tc>
          <w:tcPr>
            <w:tcW w:w="1181" w:type="dxa"/>
          </w:tcPr>
          <w:p w14:paraId="1F9D8B8B"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C25</w:t>
            </w:r>
          </w:p>
        </w:tc>
        <w:tc>
          <w:tcPr>
            <w:tcW w:w="1631" w:type="dxa"/>
          </w:tcPr>
          <w:p w14:paraId="79FF0B2A" w14:textId="77777777" w:rsidR="00C0600B" w:rsidRPr="00ED2D2E" w:rsidRDefault="00EB1169" w:rsidP="00ED2D2E">
            <w:pPr>
              <w:spacing w:after="0"/>
              <w:ind w:firstLine="0"/>
              <w:jc w:val="center"/>
              <w:rPr>
                <w:rFonts w:ascii="Times New Roman" w:eastAsia="Times New Roman" w:hAnsi="Times New Roman" w:cs="Times New Roman"/>
                <w:b/>
                <w:sz w:val="24"/>
                <w:szCs w:val="24"/>
                <w:lang w:eastAsia="en-MY"/>
              </w:rPr>
            </w:pPr>
            <w:r w:rsidRPr="00ED2D2E">
              <w:rPr>
                <w:rFonts w:ascii="Times New Roman" w:eastAsia="Times New Roman" w:hAnsi="Times New Roman" w:cs="Times New Roman"/>
                <w:b/>
                <w:sz w:val="24"/>
                <w:szCs w:val="24"/>
                <w:lang w:eastAsia="en-MY"/>
              </w:rPr>
              <w:t>0.62</w:t>
            </w:r>
          </w:p>
        </w:tc>
        <w:tc>
          <w:tcPr>
            <w:tcW w:w="2310" w:type="dxa"/>
          </w:tcPr>
          <w:p w14:paraId="485C48E3"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0.112</w:t>
            </w:r>
          </w:p>
        </w:tc>
        <w:tc>
          <w:tcPr>
            <w:tcW w:w="1486" w:type="dxa"/>
          </w:tcPr>
          <w:p w14:paraId="17650568"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0.376</w:t>
            </w:r>
          </w:p>
        </w:tc>
        <w:tc>
          <w:tcPr>
            <w:tcW w:w="1959" w:type="dxa"/>
          </w:tcPr>
          <w:p w14:paraId="198D3190"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0.428</w:t>
            </w:r>
          </w:p>
        </w:tc>
      </w:tr>
      <w:tr w:rsidR="00C0600B" w:rsidRPr="00ED2D2E" w14:paraId="63F5161B" w14:textId="77777777" w:rsidTr="00ED2D2E">
        <w:trPr>
          <w:trHeight w:val="288"/>
          <w:jc w:val="center"/>
        </w:trPr>
        <w:tc>
          <w:tcPr>
            <w:tcW w:w="1181" w:type="dxa"/>
          </w:tcPr>
          <w:p w14:paraId="6AC988B0"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C31</w:t>
            </w:r>
          </w:p>
        </w:tc>
        <w:tc>
          <w:tcPr>
            <w:tcW w:w="1631" w:type="dxa"/>
          </w:tcPr>
          <w:p w14:paraId="508DBDF3"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0.006</w:t>
            </w:r>
          </w:p>
        </w:tc>
        <w:tc>
          <w:tcPr>
            <w:tcW w:w="2310" w:type="dxa"/>
          </w:tcPr>
          <w:p w14:paraId="68BCF069" w14:textId="77777777" w:rsidR="00C0600B" w:rsidRPr="00ED2D2E" w:rsidRDefault="00EB1169" w:rsidP="00ED2D2E">
            <w:pPr>
              <w:spacing w:after="0"/>
              <w:ind w:firstLine="0"/>
              <w:jc w:val="center"/>
              <w:rPr>
                <w:rFonts w:ascii="Times New Roman" w:eastAsia="Times New Roman" w:hAnsi="Times New Roman" w:cs="Times New Roman"/>
                <w:b/>
                <w:sz w:val="24"/>
                <w:szCs w:val="24"/>
                <w:lang w:eastAsia="en-MY"/>
              </w:rPr>
            </w:pPr>
            <w:r w:rsidRPr="00ED2D2E">
              <w:rPr>
                <w:rFonts w:ascii="Times New Roman" w:eastAsia="Times New Roman" w:hAnsi="Times New Roman" w:cs="Times New Roman"/>
                <w:b/>
                <w:sz w:val="24"/>
                <w:szCs w:val="24"/>
                <w:lang w:eastAsia="en-MY"/>
              </w:rPr>
              <w:t>0.616</w:t>
            </w:r>
          </w:p>
        </w:tc>
        <w:tc>
          <w:tcPr>
            <w:tcW w:w="1486" w:type="dxa"/>
          </w:tcPr>
          <w:p w14:paraId="335FE3E2"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-0.102</w:t>
            </w:r>
          </w:p>
        </w:tc>
        <w:tc>
          <w:tcPr>
            <w:tcW w:w="1959" w:type="dxa"/>
          </w:tcPr>
          <w:p w14:paraId="00B6129F"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0.048</w:t>
            </w:r>
          </w:p>
        </w:tc>
      </w:tr>
      <w:tr w:rsidR="00C0600B" w:rsidRPr="00ED2D2E" w14:paraId="53D9C8B3" w14:textId="77777777" w:rsidTr="00ED2D2E">
        <w:trPr>
          <w:trHeight w:val="288"/>
          <w:jc w:val="center"/>
        </w:trPr>
        <w:tc>
          <w:tcPr>
            <w:tcW w:w="1181" w:type="dxa"/>
          </w:tcPr>
          <w:p w14:paraId="4C5DFA6D"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C32</w:t>
            </w:r>
          </w:p>
        </w:tc>
        <w:tc>
          <w:tcPr>
            <w:tcW w:w="1631" w:type="dxa"/>
          </w:tcPr>
          <w:p w14:paraId="4C5D0D20"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0.165</w:t>
            </w:r>
          </w:p>
        </w:tc>
        <w:tc>
          <w:tcPr>
            <w:tcW w:w="2310" w:type="dxa"/>
          </w:tcPr>
          <w:p w14:paraId="28CD6330" w14:textId="77777777" w:rsidR="00C0600B" w:rsidRPr="00ED2D2E" w:rsidRDefault="00EB1169" w:rsidP="00ED2D2E">
            <w:pPr>
              <w:spacing w:after="0"/>
              <w:ind w:firstLine="0"/>
              <w:jc w:val="center"/>
              <w:rPr>
                <w:rFonts w:ascii="Times New Roman" w:eastAsia="Times New Roman" w:hAnsi="Times New Roman" w:cs="Times New Roman"/>
                <w:b/>
                <w:sz w:val="24"/>
                <w:szCs w:val="24"/>
                <w:lang w:eastAsia="en-MY"/>
              </w:rPr>
            </w:pPr>
            <w:r w:rsidRPr="00ED2D2E">
              <w:rPr>
                <w:rFonts w:ascii="Times New Roman" w:eastAsia="Times New Roman" w:hAnsi="Times New Roman" w:cs="Times New Roman"/>
                <w:b/>
                <w:sz w:val="24"/>
                <w:szCs w:val="24"/>
                <w:lang w:eastAsia="en-MY"/>
              </w:rPr>
              <w:t>0.92</w:t>
            </w:r>
          </w:p>
        </w:tc>
        <w:tc>
          <w:tcPr>
            <w:tcW w:w="1486" w:type="dxa"/>
          </w:tcPr>
          <w:p w14:paraId="6A62E4C1"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0.086</w:t>
            </w:r>
          </w:p>
        </w:tc>
        <w:tc>
          <w:tcPr>
            <w:tcW w:w="1959" w:type="dxa"/>
          </w:tcPr>
          <w:p w14:paraId="6EEEA26B"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0.218</w:t>
            </w:r>
          </w:p>
        </w:tc>
      </w:tr>
      <w:tr w:rsidR="00C0600B" w:rsidRPr="00ED2D2E" w14:paraId="0D56B1A4" w14:textId="77777777" w:rsidTr="00ED2D2E">
        <w:trPr>
          <w:trHeight w:val="288"/>
          <w:jc w:val="center"/>
        </w:trPr>
        <w:tc>
          <w:tcPr>
            <w:tcW w:w="1181" w:type="dxa"/>
          </w:tcPr>
          <w:p w14:paraId="64F54F2B"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C33</w:t>
            </w:r>
          </w:p>
        </w:tc>
        <w:tc>
          <w:tcPr>
            <w:tcW w:w="1631" w:type="dxa"/>
          </w:tcPr>
          <w:p w14:paraId="31EB2426"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0.129</w:t>
            </w:r>
          </w:p>
        </w:tc>
        <w:tc>
          <w:tcPr>
            <w:tcW w:w="2310" w:type="dxa"/>
          </w:tcPr>
          <w:p w14:paraId="24D6A57D" w14:textId="77777777" w:rsidR="00C0600B" w:rsidRPr="00ED2D2E" w:rsidRDefault="00EB1169" w:rsidP="00ED2D2E">
            <w:pPr>
              <w:spacing w:after="0"/>
              <w:ind w:firstLine="0"/>
              <w:jc w:val="center"/>
              <w:rPr>
                <w:rFonts w:ascii="Times New Roman" w:eastAsia="Times New Roman" w:hAnsi="Times New Roman" w:cs="Times New Roman"/>
                <w:b/>
                <w:sz w:val="24"/>
                <w:szCs w:val="24"/>
                <w:lang w:eastAsia="en-MY"/>
              </w:rPr>
            </w:pPr>
            <w:r w:rsidRPr="00ED2D2E">
              <w:rPr>
                <w:rFonts w:ascii="Times New Roman" w:eastAsia="Times New Roman" w:hAnsi="Times New Roman" w:cs="Times New Roman"/>
                <w:b/>
                <w:sz w:val="24"/>
                <w:szCs w:val="24"/>
                <w:lang w:eastAsia="en-MY"/>
              </w:rPr>
              <w:t>0.809</w:t>
            </w:r>
          </w:p>
        </w:tc>
        <w:tc>
          <w:tcPr>
            <w:tcW w:w="1486" w:type="dxa"/>
          </w:tcPr>
          <w:p w14:paraId="59978486"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0.062</w:t>
            </w:r>
          </w:p>
        </w:tc>
        <w:tc>
          <w:tcPr>
            <w:tcW w:w="1959" w:type="dxa"/>
          </w:tcPr>
          <w:p w14:paraId="24C3F9E6"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0.14</w:t>
            </w:r>
          </w:p>
        </w:tc>
      </w:tr>
      <w:tr w:rsidR="00C0600B" w:rsidRPr="00ED2D2E" w14:paraId="5B838D53" w14:textId="77777777" w:rsidTr="00ED2D2E">
        <w:trPr>
          <w:trHeight w:val="288"/>
          <w:jc w:val="center"/>
        </w:trPr>
        <w:tc>
          <w:tcPr>
            <w:tcW w:w="1181" w:type="dxa"/>
          </w:tcPr>
          <w:p w14:paraId="51E9A630"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C34</w:t>
            </w:r>
          </w:p>
        </w:tc>
        <w:tc>
          <w:tcPr>
            <w:tcW w:w="1631" w:type="dxa"/>
          </w:tcPr>
          <w:p w14:paraId="0B994F77"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-0.018</w:t>
            </w:r>
          </w:p>
        </w:tc>
        <w:tc>
          <w:tcPr>
            <w:tcW w:w="2310" w:type="dxa"/>
          </w:tcPr>
          <w:p w14:paraId="138A3B69" w14:textId="77777777" w:rsidR="00C0600B" w:rsidRPr="00ED2D2E" w:rsidRDefault="00EB1169" w:rsidP="00ED2D2E">
            <w:pPr>
              <w:spacing w:after="0"/>
              <w:ind w:firstLine="0"/>
              <w:jc w:val="center"/>
              <w:rPr>
                <w:rFonts w:ascii="Times New Roman" w:eastAsia="Times New Roman" w:hAnsi="Times New Roman" w:cs="Times New Roman"/>
                <w:b/>
                <w:sz w:val="24"/>
                <w:szCs w:val="24"/>
                <w:lang w:eastAsia="en-MY"/>
              </w:rPr>
            </w:pPr>
            <w:r w:rsidRPr="00ED2D2E">
              <w:rPr>
                <w:rFonts w:ascii="Times New Roman" w:eastAsia="Times New Roman" w:hAnsi="Times New Roman" w:cs="Times New Roman"/>
                <w:b/>
                <w:sz w:val="24"/>
                <w:szCs w:val="24"/>
                <w:lang w:eastAsia="en-MY"/>
              </w:rPr>
              <w:t>0.474</w:t>
            </w:r>
          </w:p>
        </w:tc>
        <w:tc>
          <w:tcPr>
            <w:tcW w:w="1486" w:type="dxa"/>
          </w:tcPr>
          <w:p w14:paraId="3915E0F2"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-0.046</w:t>
            </w:r>
          </w:p>
        </w:tc>
        <w:tc>
          <w:tcPr>
            <w:tcW w:w="1959" w:type="dxa"/>
          </w:tcPr>
          <w:p w14:paraId="1763676D"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-0.008</w:t>
            </w:r>
          </w:p>
        </w:tc>
      </w:tr>
      <w:tr w:rsidR="00C0600B" w:rsidRPr="00ED2D2E" w14:paraId="6228C227" w14:textId="77777777" w:rsidTr="00ED2D2E">
        <w:trPr>
          <w:trHeight w:val="288"/>
          <w:jc w:val="center"/>
        </w:trPr>
        <w:tc>
          <w:tcPr>
            <w:tcW w:w="1181" w:type="dxa"/>
          </w:tcPr>
          <w:p w14:paraId="60D182FD"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C35</w:t>
            </w:r>
          </w:p>
        </w:tc>
        <w:tc>
          <w:tcPr>
            <w:tcW w:w="1631" w:type="dxa"/>
          </w:tcPr>
          <w:p w14:paraId="609B1BF2"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-0.012</w:t>
            </w:r>
          </w:p>
        </w:tc>
        <w:tc>
          <w:tcPr>
            <w:tcW w:w="2310" w:type="dxa"/>
          </w:tcPr>
          <w:p w14:paraId="398BEC4E" w14:textId="77777777" w:rsidR="00C0600B" w:rsidRPr="00ED2D2E" w:rsidRDefault="00EB1169" w:rsidP="00ED2D2E">
            <w:pPr>
              <w:spacing w:after="0"/>
              <w:ind w:firstLine="0"/>
              <w:jc w:val="center"/>
              <w:rPr>
                <w:rFonts w:ascii="Times New Roman" w:eastAsia="Times New Roman" w:hAnsi="Times New Roman" w:cs="Times New Roman"/>
                <w:b/>
                <w:sz w:val="24"/>
                <w:szCs w:val="24"/>
                <w:lang w:eastAsia="en-MY"/>
              </w:rPr>
            </w:pPr>
            <w:r w:rsidRPr="00ED2D2E">
              <w:rPr>
                <w:rFonts w:ascii="Times New Roman" w:eastAsia="Times New Roman" w:hAnsi="Times New Roman" w:cs="Times New Roman"/>
                <w:b/>
                <w:sz w:val="24"/>
                <w:szCs w:val="24"/>
                <w:lang w:eastAsia="en-MY"/>
              </w:rPr>
              <w:t>0.572</w:t>
            </w:r>
          </w:p>
        </w:tc>
        <w:tc>
          <w:tcPr>
            <w:tcW w:w="1486" w:type="dxa"/>
          </w:tcPr>
          <w:p w14:paraId="47F53A90"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-0.13</w:t>
            </w:r>
          </w:p>
        </w:tc>
        <w:tc>
          <w:tcPr>
            <w:tcW w:w="1959" w:type="dxa"/>
          </w:tcPr>
          <w:p w14:paraId="25D47211"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0.026</w:t>
            </w:r>
          </w:p>
        </w:tc>
      </w:tr>
      <w:tr w:rsidR="00C0600B" w:rsidRPr="00ED2D2E" w14:paraId="3AE7BC10" w14:textId="77777777" w:rsidTr="00ED2D2E">
        <w:trPr>
          <w:trHeight w:val="288"/>
          <w:jc w:val="center"/>
        </w:trPr>
        <w:tc>
          <w:tcPr>
            <w:tcW w:w="1181" w:type="dxa"/>
          </w:tcPr>
          <w:p w14:paraId="50AD330D"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C41</w:t>
            </w:r>
          </w:p>
        </w:tc>
        <w:tc>
          <w:tcPr>
            <w:tcW w:w="1631" w:type="dxa"/>
          </w:tcPr>
          <w:p w14:paraId="1F8C4E3E"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0.605</w:t>
            </w:r>
          </w:p>
        </w:tc>
        <w:tc>
          <w:tcPr>
            <w:tcW w:w="2310" w:type="dxa"/>
          </w:tcPr>
          <w:p w14:paraId="64A2762A"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0.038</w:t>
            </w:r>
          </w:p>
        </w:tc>
        <w:tc>
          <w:tcPr>
            <w:tcW w:w="1486" w:type="dxa"/>
          </w:tcPr>
          <w:p w14:paraId="479C1AB3" w14:textId="77777777" w:rsidR="00C0600B" w:rsidRPr="00ED2D2E" w:rsidRDefault="00EB1169" w:rsidP="00ED2D2E">
            <w:pPr>
              <w:spacing w:after="0"/>
              <w:ind w:firstLine="0"/>
              <w:jc w:val="center"/>
              <w:rPr>
                <w:rFonts w:ascii="Times New Roman" w:eastAsia="Times New Roman" w:hAnsi="Times New Roman" w:cs="Times New Roman"/>
                <w:b/>
                <w:sz w:val="24"/>
                <w:szCs w:val="24"/>
                <w:lang w:eastAsia="en-MY"/>
              </w:rPr>
            </w:pPr>
            <w:r w:rsidRPr="00ED2D2E">
              <w:rPr>
                <w:rFonts w:ascii="Times New Roman" w:eastAsia="Times New Roman" w:hAnsi="Times New Roman" w:cs="Times New Roman"/>
                <w:b/>
                <w:sz w:val="24"/>
                <w:szCs w:val="24"/>
                <w:lang w:eastAsia="en-MY"/>
              </w:rPr>
              <w:t>0.812</w:t>
            </w:r>
          </w:p>
        </w:tc>
        <w:tc>
          <w:tcPr>
            <w:tcW w:w="1959" w:type="dxa"/>
          </w:tcPr>
          <w:p w14:paraId="4AB91F04"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0.552</w:t>
            </w:r>
          </w:p>
        </w:tc>
      </w:tr>
      <w:tr w:rsidR="00C0600B" w:rsidRPr="00ED2D2E" w14:paraId="2EC59177" w14:textId="77777777" w:rsidTr="00ED2D2E">
        <w:trPr>
          <w:trHeight w:val="288"/>
          <w:jc w:val="center"/>
        </w:trPr>
        <w:tc>
          <w:tcPr>
            <w:tcW w:w="1181" w:type="dxa"/>
          </w:tcPr>
          <w:p w14:paraId="672682F5"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C42</w:t>
            </w:r>
          </w:p>
        </w:tc>
        <w:tc>
          <w:tcPr>
            <w:tcW w:w="1631" w:type="dxa"/>
          </w:tcPr>
          <w:p w14:paraId="4B7AE657"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0.546</w:t>
            </w:r>
          </w:p>
        </w:tc>
        <w:tc>
          <w:tcPr>
            <w:tcW w:w="2310" w:type="dxa"/>
          </w:tcPr>
          <w:p w14:paraId="44E382AE"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0.061</w:t>
            </w:r>
          </w:p>
        </w:tc>
        <w:tc>
          <w:tcPr>
            <w:tcW w:w="1486" w:type="dxa"/>
          </w:tcPr>
          <w:p w14:paraId="67191657" w14:textId="77777777" w:rsidR="00C0600B" w:rsidRPr="00ED2D2E" w:rsidRDefault="00EB1169" w:rsidP="00ED2D2E">
            <w:pPr>
              <w:spacing w:after="0"/>
              <w:ind w:firstLine="0"/>
              <w:jc w:val="center"/>
              <w:rPr>
                <w:rFonts w:ascii="Times New Roman" w:eastAsia="Times New Roman" w:hAnsi="Times New Roman" w:cs="Times New Roman"/>
                <w:b/>
                <w:sz w:val="24"/>
                <w:szCs w:val="24"/>
                <w:lang w:eastAsia="en-MY"/>
              </w:rPr>
            </w:pPr>
            <w:r w:rsidRPr="00ED2D2E">
              <w:rPr>
                <w:rFonts w:ascii="Times New Roman" w:eastAsia="Times New Roman" w:hAnsi="Times New Roman" w:cs="Times New Roman"/>
                <w:b/>
                <w:sz w:val="24"/>
                <w:szCs w:val="24"/>
                <w:lang w:eastAsia="en-MY"/>
              </w:rPr>
              <w:t>0.8</w:t>
            </w:r>
          </w:p>
        </w:tc>
        <w:tc>
          <w:tcPr>
            <w:tcW w:w="1959" w:type="dxa"/>
          </w:tcPr>
          <w:p w14:paraId="487AEC3C"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0.548</w:t>
            </w:r>
          </w:p>
        </w:tc>
      </w:tr>
      <w:tr w:rsidR="00C0600B" w:rsidRPr="00ED2D2E" w14:paraId="6B681EAF" w14:textId="77777777" w:rsidTr="00ED2D2E">
        <w:trPr>
          <w:trHeight w:val="288"/>
          <w:jc w:val="center"/>
        </w:trPr>
        <w:tc>
          <w:tcPr>
            <w:tcW w:w="1181" w:type="dxa"/>
          </w:tcPr>
          <w:p w14:paraId="6C6A49A2"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C43</w:t>
            </w:r>
          </w:p>
        </w:tc>
        <w:tc>
          <w:tcPr>
            <w:tcW w:w="1631" w:type="dxa"/>
          </w:tcPr>
          <w:p w14:paraId="4497D006"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0.619</w:t>
            </w:r>
          </w:p>
        </w:tc>
        <w:tc>
          <w:tcPr>
            <w:tcW w:w="2310" w:type="dxa"/>
          </w:tcPr>
          <w:p w14:paraId="0F145FE8"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0.066</w:t>
            </w:r>
          </w:p>
        </w:tc>
        <w:tc>
          <w:tcPr>
            <w:tcW w:w="1486" w:type="dxa"/>
          </w:tcPr>
          <w:p w14:paraId="1BB00613" w14:textId="77777777" w:rsidR="00C0600B" w:rsidRPr="00ED2D2E" w:rsidRDefault="00EB1169" w:rsidP="00ED2D2E">
            <w:pPr>
              <w:spacing w:after="0"/>
              <w:ind w:firstLine="0"/>
              <w:jc w:val="center"/>
              <w:rPr>
                <w:rFonts w:ascii="Times New Roman" w:eastAsia="Times New Roman" w:hAnsi="Times New Roman" w:cs="Times New Roman"/>
                <w:b/>
                <w:sz w:val="24"/>
                <w:szCs w:val="24"/>
                <w:lang w:eastAsia="en-MY"/>
              </w:rPr>
            </w:pPr>
            <w:r w:rsidRPr="00ED2D2E">
              <w:rPr>
                <w:rFonts w:ascii="Times New Roman" w:eastAsia="Times New Roman" w:hAnsi="Times New Roman" w:cs="Times New Roman"/>
                <w:b/>
                <w:sz w:val="24"/>
                <w:szCs w:val="24"/>
                <w:lang w:eastAsia="en-MY"/>
              </w:rPr>
              <w:t>0.827</w:t>
            </w:r>
          </w:p>
        </w:tc>
        <w:tc>
          <w:tcPr>
            <w:tcW w:w="1959" w:type="dxa"/>
          </w:tcPr>
          <w:p w14:paraId="4AE5C29F"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0.597</w:t>
            </w:r>
          </w:p>
        </w:tc>
      </w:tr>
      <w:tr w:rsidR="00C0600B" w:rsidRPr="00ED2D2E" w14:paraId="64298B45" w14:textId="77777777" w:rsidTr="00ED2D2E">
        <w:trPr>
          <w:trHeight w:val="288"/>
          <w:jc w:val="center"/>
        </w:trPr>
        <w:tc>
          <w:tcPr>
            <w:tcW w:w="1181" w:type="dxa"/>
          </w:tcPr>
          <w:p w14:paraId="146E0003"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C44</w:t>
            </w:r>
          </w:p>
        </w:tc>
        <w:tc>
          <w:tcPr>
            <w:tcW w:w="1631" w:type="dxa"/>
          </w:tcPr>
          <w:p w14:paraId="5B031DDF"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0.499</w:t>
            </w:r>
          </w:p>
        </w:tc>
        <w:tc>
          <w:tcPr>
            <w:tcW w:w="2310" w:type="dxa"/>
          </w:tcPr>
          <w:p w14:paraId="219DE95A"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-0.001</w:t>
            </w:r>
          </w:p>
        </w:tc>
        <w:tc>
          <w:tcPr>
            <w:tcW w:w="1486" w:type="dxa"/>
          </w:tcPr>
          <w:p w14:paraId="420DE668" w14:textId="77777777" w:rsidR="00C0600B" w:rsidRPr="00ED2D2E" w:rsidRDefault="00EB1169" w:rsidP="00ED2D2E">
            <w:pPr>
              <w:spacing w:after="0"/>
              <w:ind w:firstLine="0"/>
              <w:jc w:val="center"/>
              <w:rPr>
                <w:rFonts w:ascii="Times New Roman" w:eastAsia="Times New Roman" w:hAnsi="Times New Roman" w:cs="Times New Roman"/>
                <w:b/>
                <w:sz w:val="24"/>
                <w:szCs w:val="24"/>
                <w:lang w:eastAsia="en-MY"/>
              </w:rPr>
            </w:pPr>
            <w:r w:rsidRPr="00ED2D2E">
              <w:rPr>
                <w:rFonts w:ascii="Times New Roman" w:eastAsia="Times New Roman" w:hAnsi="Times New Roman" w:cs="Times New Roman"/>
                <w:b/>
                <w:sz w:val="24"/>
                <w:szCs w:val="24"/>
                <w:lang w:eastAsia="en-MY"/>
              </w:rPr>
              <w:t>0.802</w:t>
            </w:r>
          </w:p>
        </w:tc>
        <w:tc>
          <w:tcPr>
            <w:tcW w:w="1959" w:type="dxa"/>
          </w:tcPr>
          <w:p w14:paraId="2A4CECEA"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0.485</w:t>
            </w:r>
          </w:p>
        </w:tc>
      </w:tr>
      <w:tr w:rsidR="00C0600B" w:rsidRPr="00ED2D2E" w14:paraId="785D6A98" w14:textId="77777777" w:rsidTr="00ED2D2E">
        <w:trPr>
          <w:trHeight w:val="288"/>
          <w:jc w:val="center"/>
        </w:trPr>
        <w:tc>
          <w:tcPr>
            <w:tcW w:w="1181" w:type="dxa"/>
          </w:tcPr>
          <w:p w14:paraId="28D0D419"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C45</w:t>
            </w:r>
          </w:p>
        </w:tc>
        <w:tc>
          <w:tcPr>
            <w:tcW w:w="1631" w:type="dxa"/>
          </w:tcPr>
          <w:p w14:paraId="6E658A7C"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0.525</w:t>
            </w:r>
          </w:p>
        </w:tc>
        <w:tc>
          <w:tcPr>
            <w:tcW w:w="2310" w:type="dxa"/>
          </w:tcPr>
          <w:p w14:paraId="487EBB38"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0.053</w:t>
            </w:r>
          </w:p>
        </w:tc>
        <w:tc>
          <w:tcPr>
            <w:tcW w:w="1486" w:type="dxa"/>
          </w:tcPr>
          <w:p w14:paraId="40E13D11" w14:textId="77777777" w:rsidR="00C0600B" w:rsidRPr="00ED2D2E" w:rsidRDefault="00EB1169" w:rsidP="00ED2D2E">
            <w:pPr>
              <w:spacing w:after="0"/>
              <w:ind w:firstLine="0"/>
              <w:jc w:val="center"/>
              <w:rPr>
                <w:rFonts w:ascii="Times New Roman" w:eastAsia="Times New Roman" w:hAnsi="Times New Roman" w:cs="Times New Roman"/>
                <w:b/>
                <w:sz w:val="24"/>
                <w:szCs w:val="24"/>
                <w:lang w:eastAsia="en-MY"/>
              </w:rPr>
            </w:pPr>
            <w:r w:rsidRPr="00ED2D2E">
              <w:rPr>
                <w:rFonts w:ascii="Times New Roman" w:eastAsia="Times New Roman" w:hAnsi="Times New Roman" w:cs="Times New Roman"/>
                <w:b/>
                <w:sz w:val="24"/>
                <w:szCs w:val="24"/>
                <w:lang w:eastAsia="en-MY"/>
              </w:rPr>
              <w:t>0.81</w:t>
            </w:r>
          </w:p>
        </w:tc>
        <w:tc>
          <w:tcPr>
            <w:tcW w:w="1959" w:type="dxa"/>
          </w:tcPr>
          <w:p w14:paraId="1BF09A55"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0.565</w:t>
            </w:r>
          </w:p>
        </w:tc>
      </w:tr>
      <w:tr w:rsidR="00C0600B" w:rsidRPr="00ED2D2E" w14:paraId="4D0D241F" w14:textId="77777777" w:rsidTr="00ED2D2E">
        <w:trPr>
          <w:trHeight w:val="288"/>
          <w:jc w:val="center"/>
        </w:trPr>
        <w:tc>
          <w:tcPr>
            <w:tcW w:w="1181" w:type="dxa"/>
          </w:tcPr>
          <w:p w14:paraId="32CF4081"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D1</w:t>
            </w:r>
          </w:p>
        </w:tc>
        <w:tc>
          <w:tcPr>
            <w:tcW w:w="1631" w:type="dxa"/>
          </w:tcPr>
          <w:p w14:paraId="53EA754C"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0.508</w:t>
            </w:r>
          </w:p>
        </w:tc>
        <w:tc>
          <w:tcPr>
            <w:tcW w:w="2310" w:type="dxa"/>
          </w:tcPr>
          <w:p w14:paraId="64A2B5AE"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0.16</w:t>
            </w:r>
          </w:p>
        </w:tc>
        <w:tc>
          <w:tcPr>
            <w:tcW w:w="1486" w:type="dxa"/>
          </w:tcPr>
          <w:p w14:paraId="5120C294"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0.552</w:t>
            </w:r>
          </w:p>
        </w:tc>
        <w:tc>
          <w:tcPr>
            <w:tcW w:w="1959" w:type="dxa"/>
          </w:tcPr>
          <w:p w14:paraId="70D596F5" w14:textId="77777777" w:rsidR="00C0600B" w:rsidRPr="00ED2D2E" w:rsidRDefault="00EB1169" w:rsidP="00ED2D2E">
            <w:pPr>
              <w:spacing w:after="0"/>
              <w:ind w:firstLine="0"/>
              <w:jc w:val="center"/>
              <w:rPr>
                <w:rFonts w:ascii="Times New Roman" w:eastAsia="Times New Roman" w:hAnsi="Times New Roman" w:cs="Times New Roman"/>
                <w:b/>
                <w:sz w:val="24"/>
                <w:szCs w:val="24"/>
                <w:lang w:eastAsia="en-MY"/>
              </w:rPr>
            </w:pPr>
            <w:r w:rsidRPr="00ED2D2E">
              <w:rPr>
                <w:rFonts w:ascii="Times New Roman" w:eastAsia="Times New Roman" w:hAnsi="Times New Roman" w:cs="Times New Roman"/>
                <w:b/>
                <w:sz w:val="24"/>
                <w:szCs w:val="24"/>
                <w:lang w:eastAsia="en-MY"/>
              </w:rPr>
              <w:t>0.785</w:t>
            </w:r>
          </w:p>
        </w:tc>
      </w:tr>
      <w:tr w:rsidR="00C0600B" w:rsidRPr="00ED2D2E" w14:paraId="77CC6A1C" w14:textId="77777777" w:rsidTr="00ED2D2E">
        <w:trPr>
          <w:trHeight w:val="288"/>
          <w:jc w:val="center"/>
        </w:trPr>
        <w:tc>
          <w:tcPr>
            <w:tcW w:w="1181" w:type="dxa"/>
          </w:tcPr>
          <w:p w14:paraId="0C2FA17E"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D2</w:t>
            </w:r>
          </w:p>
        </w:tc>
        <w:tc>
          <w:tcPr>
            <w:tcW w:w="1631" w:type="dxa"/>
          </w:tcPr>
          <w:p w14:paraId="1A53054A"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0.636</w:t>
            </w:r>
          </w:p>
        </w:tc>
        <w:tc>
          <w:tcPr>
            <w:tcW w:w="2310" w:type="dxa"/>
          </w:tcPr>
          <w:p w14:paraId="7DFEA94B"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0.151</w:t>
            </w:r>
          </w:p>
        </w:tc>
        <w:tc>
          <w:tcPr>
            <w:tcW w:w="1486" w:type="dxa"/>
          </w:tcPr>
          <w:p w14:paraId="2DB1920A"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0.636</w:t>
            </w:r>
          </w:p>
        </w:tc>
        <w:tc>
          <w:tcPr>
            <w:tcW w:w="1959" w:type="dxa"/>
          </w:tcPr>
          <w:p w14:paraId="103C63C6" w14:textId="77777777" w:rsidR="00C0600B" w:rsidRPr="00ED2D2E" w:rsidRDefault="00EB1169" w:rsidP="00ED2D2E">
            <w:pPr>
              <w:spacing w:after="0"/>
              <w:ind w:firstLine="0"/>
              <w:jc w:val="center"/>
              <w:rPr>
                <w:rFonts w:ascii="Times New Roman" w:eastAsia="Times New Roman" w:hAnsi="Times New Roman" w:cs="Times New Roman"/>
                <w:b/>
                <w:sz w:val="24"/>
                <w:szCs w:val="24"/>
                <w:lang w:eastAsia="en-MY"/>
              </w:rPr>
            </w:pPr>
            <w:r w:rsidRPr="00ED2D2E">
              <w:rPr>
                <w:rFonts w:ascii="Times New Roman" w:eastAsia="Times New Roman" w:hAnsi="Times New Roman" w:cs="Times New Roman"/>
                <w:b/>
                <w:sz w:val="24"/>
                <w:szCs w:val="24"/>
                <w:lang w:eastAsia="en-MY"/>
              </w:rPr>
              <w:t>0.866</w:t>
            </w:r>
          </w:p>
        </w:tc>
      </w:tr>
      <w:tr w:rsidR="00C0600B" w:rsidRPr="00ED2D2E" w14:paraId="25428899" w14:textId="77777777" w:rsidTr="00ED2D2E">
        <w:trPr>
          <w:trHeight w:val="288"/>
          <w:jc w:val="center"/>
        </w:trPr>
        <w:tc>
          <w:tcPr>
            <w:tcW w:w="1181" w:type="dxa"/>
          </w:tcPr>
          <w:p w14:paraId="780FA370"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D3</w:t>
            </w:r>
          </w:p>
        </w:tc>
        <w:tc>
          <w:tcPr>
            <w:tcW w:w="1631" w:type="dxa"/>
          </w:tcPr>
          <w:p w14:paraId="0AFDF5DA"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0.499</w:t>
            </w:r>
          </w:p>
        </w:tc>
        <w:tc>
          <w:tcPr>
            <w:tcW w:w="2310" w:type="dxa"/>
          </w:tcPr>
          <w:p w14:paraId="4BCD70E7"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0.154</w:t>
            </w:r>
          </w:p>
        </w:tc>
        <w:tc>
          <w:tcPr>
            <w:tcW w:w="1486" w:type="dxa"/>
          </w:tcPr>
          <w:p w14:paraId="23713D6A"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0.489</w:t>
            </w:r>
          </w:p>
        </w:tc>
        <w:tc>
          <w:tcPr>
            <w:tcW w:w="1959" w:type="dxa"/>
          </w:tcPr>
          <w:p w14:paraId="4A4DC9C6" w14:textId="77777777" w:rsidR="00C0600B" w:rsidRPr="00ED2D2E" w:rsidRDefault="00EB1169" w:rsidP="00ED2D2E">
            <w:pPr>
              <w:spacing w:after="0"/>
              <w:ind w:firstLine="0"/>
              <w:jc w:val="center"/>
              <w:rPr>
                <w:rFonts w:ascii="Times New Roman" w:eastAsia="Times New Roman" w:hAnsi="Times New Roman" w:cs="Times New Roman"/>
                <w:b/>
                <w:sz w:val="24"/>
                <w:szCs w:val="24"/>
                <w:lang w:eastAsia="en-MY"/>
              </w:rPr>
            </w:pPr>
            <w:r w:rsidRPr="00ED2D2E">
              <w:rPr>
                <w:rFonts w:ascii="Times New Roman" w:eastAsia="Times New Roman" w:hAnsi="Times New Roman" w:cs="Times New Roman"/>
                <w:b/>
                <w:sz w:val="24"/>
                <w:szCs w:val="24"/>
                <w:lang w:eastAsia="en-MY"/>
              </w:rPr>
              <w:t>0.764</w:t>
            </w:r>
          </w:p>
        </w:tc>
      </w:tr>
      <w:tr w:rsidR="00C0600B" w:rsidRPr="00ED2D2E" w14:paraId="0311E102" w14:textId="77777777" w:rsidTr="00ED2D2E">
        <w:trPr>
          <w:trHeight w:val="288"/>
          <w:jc w:val="center"/>
        </w:trPr>
        <w:tc>
          <w:tcPr>
            <w:tcW w:w="1181" w:type="dxa"/>
          </w:tcPr>
          <w:p w14:paraId="047F1CFE"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D4</w:t>
            </w:r>
          </w:p>
        </w:tc>
        <w:tc>
          <w:tcPr>
            <w:tcW w:w="1631" w:type="dxa"/>
          </w:tcPr>
          <w:p w14:paraId="1B87F3B9"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0.477</w:t>
            </w:r>
          </w:p>
        </w:tc>
        <w:tc>
          <w:tcPr>
            <w:tcW w:w="2310" w:type="dxa"/>
          </w:tcPr>
          <w:p w14:paraId="499DC391"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0.167</w:t>
            </w:r>
          </w:p>
        </w:tc>
        <w:tc>
          <w:tcPr>
            <w:tcW w:w="1486" w:type="dxa"/>
          </w:tcPr>
          <w:p w14:paraId="446476D4"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0.452</w:t>
            </w:r>
          </w:p>
        </w:tc>
        <w:tc>
          <w:tcPr>
            <w:tcW w:w="1959" w:type="dxa"/>
          </w:tcPr>
          <w:p w14:paraId="5D2F8518" w14:textId="77777777" w:rsidR="00C0600B" w:rsidRPr="00ED2D2E" w:rsidRDefault="00EB1169" w:rsidP="00ED2D2E">
            <w:pPr>
              <w:spacing w:after="0"/>
              <w:ind w:firstLine="0"/>
              <w:jc w:val="center"/>
              <w:rPr>
                <w:rFonts w:ascii="Times New Roman" w:eastAsia="Times New Roman" w:hAnsi="Times New Roman" w:cs="Times New Roman"/>
                <w:b/>
                <w:sz w:val="24"/>
                <w:szCs w:val="24"/>
                <w:lang w:eastAsia="en-MY"/>
              </w:rPr>
            </w:pPr>
            <w:r w:rsidRPr="00ED2D2E">
              <w:rPr>
                <w:rFonts w:ascii="Times New Roman" w:eastAsia="Times New Roman" w:hAnsi="Times New Roman" w:cs="Times New Roman"/>
                <w:b/>
                <w:sz w:val="24"/>
                <w:szCs w:val="24"/>
                <w:lang w:eastAsia="en-MY"/>
              </w:rPr>
              <w:t>0.739</w:t>
            </w:r>
          </w:p>
        </w:tc>
      </w:tr>
    </w:tbl>
    <w:p w14:paraId="5FF1C3CB" w14:textId="77777777" w:rsidR="00C0600B" w:rsidRPr="00ED2D2E" w:rsidRDefault="00C0600B" w:rsidP="00ED2D2E">
      <w:pPr>
        <w:spacing w:after="0" w:line="240" w:lineRule="auto"/>
        <w:ind w:firstLine="0"/>
        <w:rPr>
          <w:rFonts w:ascii="Times New Roman" w:eastAsia="Times New Roman" w:hAnsi="Times New Roman" w:cs="Times New Roman"/>
          <w:sz w:val="24"/>
          <w:szCs w:val="24"/>
          <w:lang w:eastAsia="en-MY"/>
        </w:rPr>
      </w:pPr>
    </w:p>
    <w:p w14:paraId="58F13A2F" w14:textId="35D71104" w:rsidR="00C0600B" w:rsidRPr="00ED2D2E" w:rsidRDefault="00EB1169" w:rsidP="00ED2D2E">
      <w:pPr>
        <w:spacing w:after="0" w:line="240" w:lineRule="auto"/>
        <w:ind w:firstLine="0"/>
        <w:jc w:val="center"/>
        <w:rPr>
          <w:rFonts w:ascii="Times New Roman" w:eastAsia="Times New Roman" w:hAnsi="Times New Roman" w:cs="Times New Roman"/>
          <w:bCs/>
          <w:sz w:val="24"/>
          <w:szCs w:val="24"/>
          <w:lang w:eastAsia="en-MY"/>
        </w:rPr>
      </w:pPr>
      <w:r w:rsidRPr="00ED2D2E">
        <w:rPr>
          <w:rFonts w:ascii="Times New Roman" w:eastAsia="Times New Roman" w:hAnsi="Times New Roman" w:cs="Times New Roman"/>
          <w:b/>
          <w:sz w:val="24"/>
          <w:szCs w:val="24"/>
          <w:lang w:eastAsia="en-MY"/>
        </w:rPr>
        <w:lastRenderedPageBreak/>
        <w:t xml:space="preserve">Table 5. </w:t>
      </w:r>
      <w:proofErr w:type="spellStart"/>
      <w:r w:rsidRPr="00ED2D2E">
        <w:rPr>
          <w:rFonts w:ascii="Times New Roman" w:eastAsia="Times New Roman" w:hAnsi="Times New Roman" w:cs="Times New Roman"/>
          <w:bCs/>
          <w:sz w:val="24"/>
          <w:szCs w:val="24"/>
          <w:lang w:eastAsia="en-MY"/>
        </w:rPr>
        <w:t>Hetereotrait-Monotrait</w:t>
      </w:r>
      <w:proofErr w:type="spellEnd"/>
      <w:r w:rsidRPr="00ED2D2E">
        <w:rPr>
          <w:rFonts w:ascii="Times New Roman" w:eastAsia="Times New Roman" w:hAnsi="Times New Roman" w:cs="Times New Roman"/>
          <w:bCs/>
          <w:sz w:val="24"/>
          <w:szCs w:val="24"/>
          <w:lang w:eastAsia="en-MY"/>
        </w:rPr>
        <w:t xml:space="preserve"> ratio (HTMT) </w:t>
      </w:r>
      <w:r w:rsidR="00ED2D2E">
        <w:rPr>
          <w:rFonts w:ascii="Times New Roman" w:eastAsia="Times New Roman" w:hAnsi="Times New Roman" w:cs="Times New Roman"/>
          <w:bCs/>
          <w:sz w:val="24"/>
          <w:szCs w:val="24"/>
          <w:lang w:eastAsia="en-MY"/>
        </w:rPr>
        <w:t>r</w:t>
      </w:r>
      <w:r w:rsidRPr="00ED2D2E">
        <w:rPr>
          <w:rFonts w:ascii="Times New Roman" w:eastAsia="Times New Roman" w:hAnsi="Times New Roman" w:cs="Times New Roman"/>
          <w:bCs/>
          <w:sz w:val="24"/>
          <w:szCs w:val="24"/>
          <w:lang w:eastAsia="en-MY"/>
        </w:rPr>
        <w:t>esults</w:t>
      </w:r>
    </w:p>
    <w:p w14:paraId="5DC610B5" w14:textId="77777777" w:rsidR="00ED2D2E" w:rsidRPr="00ED2D2E" w:rsidRDefault="00ED2D2E" w:rsidP="00ED2D2E">
      <w:pPr>
        <w:spacing w:after="0" w:line="240" w:lineRule="auto"/>
        <w:ind w:firstLine="0"/>
        <w:jc w:val="center"/>
        <w:rPr>
          <w:rFonts w:ascii="Times New Roman" w:hAnsi="Times New Roman" w:cs="Times New Roman"/>
          <w:sz w:val="24"/>
          <w:szCs w:val="24"/>
          <w:lang w:eastAsia="en-MY"/>
        </w:rPr>
      </w:pPr>
    </w:p>
    <w:tbl>
      <w:tblPr>
        <w:tblStyle w:val="2"/>
        <w:tblW w:w="5485" w:type="dxa"/>
        <w:jc w:val="center"/>
        <w:tblBorders>
          <w:top w:val="single" w:sz="4" w:space="0" w:color="000000"/>
          <w:bottom w:val="single" w:sz="4" w:space="0" w:color="000000"/>
        </w:tblBorders>
        <w:tblLayout w:type="fixed"/>
        <w:tblLook w:val="04A0" w:firstRow="1" w:lastRow="0" w:firstColumn="1" w:lastColumn="0" w:noHBand="0" w:noVBand="1"/>
      </w:tblPr>
      <w:tblGrid>
        <w:gridCol w:w="1481"/>
        <w:gridCol w:w="944"/>
        <w:gridCol w:w="990"/>
        <w:gridCol w:w="990"/>
        <w:gridCol w:w="1080"/>
      </w:tblGrid>
      <w:tr w:rsidR="00C0600B" w:rsidRPr="00ED2D2E" w14:paraId="602D6C2E" w14:textId="77777777" w:rsidTr="00ED2D2E">
        <w:trPr>
          <w:trHeight w:val="288"/>
          <w:jc w:val="center"/>
        </w:trPr>
        <w:tc>
          <w:tcPr>
            <w:tcW w:w="1481" w:type="dxa"/>
            <w:tcBorders>
              <w:top w:val="single" w:sz="4" w:space="0" w:color="000000"/>
              <w:bottom w:val="single" w:sz="4" w:space="0" w:color="000000"/>
            </w:tcBorders>
            <w:shd w:val="clear" w:color="auto" w:fill="8DB3E2" w:themeFill="text2" w:themeFillTint="66"/>
          </w:tcPr>
          <w:p w14:paraId="3951FC16" w14:textId="77777777" w:rsidR="00C0600B" w:rsidRPr="00ED2D2E" w:rsidRDefault="00C0600B" w:rsidP="00ED2D2E">
            <w:pPr>
              <w:spacing w:after="0"/>
              <w:ind w:firstLine="0"/>
              <w:jc w:val="center"/>
              <w:rPr>
                <w:rFonts w:ascii="Times New Roman" w:eastAsia="Times New Roman" w:hAnsi="Times New Roman" w:cs="Times New Roman"/>
                <w:sz w:val="24"/>
                <w:szCs w:val="24"/>
                <w:lang w:eastAsia="en-MY"/>
              </w:rPr>
            </w:pPr>
          </w:p>
        </w:tc>
        <w:tc>
          <w:tcPr>
            <w:tcW w:w="944" w:type="dxa"/>
            <w:tcBorders>
              <w:top w:val="single" w:sz="4" w:space="0" w:color="000000"/>
              <w:bottom w:val="single" w:sz="4" w:space="0" w:color="000000"/>
            </w:tcBorders>
            <w:shd w:val="clear" w:color="auto" w:fill="8DB3E2" w:themeFill="text2" w:themeFillTint="66"/>
          </w:tcPr>
          <w:p w14:paraId="194097C2" w14:textId="77777777" w:rsidR="00C0600B" w:rsidRPr="00ED2D2E" w:rsidRDefault="00EB1169" w:rsidP="00ED2D2E">
            <w:pPr>
              <w:spacing w:after="0"/>
              <w:ind w:firstLine="0"/>
              <w:jc w:val="center"/>
              <w:rPr>
                <w:rFonts w:ascii="Times New Roman" w:eastAsia="Times New Roman" w:hAnsi="Times New Roman" w:cs="Times New Roman"/>
                <w:b/>
                <w:sz w:val="24"/>
                <w:szCs w:val="24"/>
                <w:lang w:eastAsia="en-MY"/>
              </w:rPr>
            </w:pPr>
            <w:r w:rsidRPr="00ED2D2E">
              <w:rPr>
                <w:rFonts w:ascii="Times New Roman" w:eastAsia="Times New Roman" w:hAnsi="Times New Roman" w:cs="Times New Roman"/>
                <w:b/>
                <w:sz w:val="24"/>
                <w:szCs w:val="24"/>
                <w:lang w:eastAsia="en-MY"/>
              </w:rPr>
              <w:t>FM</w:t>
            </w:r>
          </w:p>
        </w:tc>
        <w:tc>
          <w:tcPr>
            <w:tcW w:w="990" w:type="dxa"/>
            <w:tcBorders>
              <w:top w:val="single" w:sz="4" w:space="0" w:color="000000"/>
              <w:bottom w:val="single" w:sz="4" w:space="0" w:color="000000"/>
            </w:tcBorders>
            <w:shd w:val="clear" w:color="auto" w:fill="8DB3E2" w:themeFill="text2" w:themeFillTint="66"/>
          </w:tcPr>
          <w:p w14:paraId="5E0AB70E" w14:textId="77777777" w:rsidR="00C0600B" w:rsidRPr="00ED2D2E" w:rsidRDefault="00EB1169" w:rsidP="00ED2D2E">
            <w:pPr>
              <w:spacing w:after="0"/>
              <w:ind w:firstLine="0"/>
              <w:jc w:val="center"/>
              <w:rPr>
                <w:rFonts w:ascii="Times New Roman" w:eastAsia="Times New Roman" w:hAnsi="Times New Roman" w:cs="Times New Roman"/>
                <w:b/>
                <w:sz w:val="24"/>
                <w:szCs w:val="24"/>
                <w:lang w:eastAsia="en-MY"/>
              </w:rPr>
            </w:pPr>
            <w:r w:rsidRPr="00ED2D2E">
              <w:rPr>
                <w:rFonts w:ascii="Times New Roman" w:eastAsia="Times New Roman" w:hAnsi="Times New Roman" w:cs="Times New Roman"/>
                <w:b/>
                <w:sz w:val="24"/>
                <w:szCs w:val="24"/>
                <w:lang w:eastAsia="en-MY"/>
              </w:rPr>
              <w:t>PI</w:t>
            </w:r>
          </w:p>
        </w:tc>
        <w:tc>
          <w:tcPr>
            <w:tcW w:w="990" w:type="dxa"/>
            <w:tcBorders>
              <w:top w:val="single" w:sz="4" w:space="0" w:color="000000"/>
              <w:bottom w:val="single" w:sz="4" w:space="0" w:color="000000"/>
            </w:tcBorders>
            <w:shd w:val="clear" w:color="auto" w:fill="8DB3E2" w:themeFill="text2" w:themeFillTint="66"/>
          </w:tcPr>
          <w:p w14:paraId="5C1D7C29" w14:textId="77777777" w:rsidR="00C0600B" w:rsidRPr="00ED2D2E" w:rsidRDefault="00EB1169" w:rsidP="00ED2D2E">
            <w:pPr>
              <w:spacing w:after="0"/>
              <w:ind w:firstLine="0"/>
              <w:jc w:val="center"/>
              <w:rPr>
                <w:rFonts w:ascii="Times New Roman" w:eastAsia="Times New Roman" w:hAnsi="Times New Roman" w:cs="Times New Roman"/>
                <w:b/>
                <w:sz w:val="24"/>
                <w:szCs w:val="24"/>
                <w:lang w:eastAsia="en-MY"/>
              </w:rPr>
            </w:pPr>
            <w:r w:rsidRPr="00ED2D2E">
              <w:rPr>
                <w:rFonts w:ascii="Times New Roman" w:eastAsia="Times New Roman" w:hAnsi="Times New Roman" w:cs="Times New Roman"/>
                <w:b/>
                <w:sz w:val="24"/>
                <w:szCs w:val="24"/>
                <w:lang w:eastAsia="en-MY"/>
              </w:rPr>
              <w:t>SI</w:t>
            </w:r>
          </w:p>
        </w:tc>
        <w:tc>
          <w:tcPr>
            <w:tcW w:w="1080" w:type="dxa"/>
            <w:tcBorders>
              <w:top w:val="single" w:sz="4" w:space="0" w:color="000000"/>
              <w:bottom w:val="single" w:sz="4" w:space="0" w:color="000000"/>
            </w:tcBorders>
            <w:shd w:val="clear" w:color="auto" w:fill="8DB3E2" w:themeFill="text2" w:themeFillTint="66"/>
          </w:tcPr>
          <w:p w14:paraId="72311632" w14:textId="77777777" w:rsidR="00C0600B" w:rsidRPr="00ED2D2E" w:rsidRDefault="00EB1169" w:rsidP="00ED2D2E">
            <w:pPr>
              <w:spacing w:after="0"/>
              <w:ind w:firstLine="0"/>
              <w:jc w:val="center"/>
              <w:rPr>
                <w:rFonts w:ascii="Times New Roman" w:eastAsia="Times New Roman" w:hAnsi="Times New Roman" w:cs="Times New Roman"/>
                <w:b/>
                <w:sz w:val="24"/>
                <w:szCs w:val="24"/>
                <w:lang w:eastAsia="en-MY"/>
              </w:rPr>
            </w:pPr>
            <w:r w:rsidRPr="00ED2D2E">
              <w:rPr>
                <w:rFonts w:ascii="Times New Roman" w:eastAsia="Times New Roman" w:hAnsi="Times New Roman" w:cs="Times New Roman"/>
                <w:b/>
                <w:sz w:val="24"/>
                <w:szCs w:val="24"/>
                <w:lang w:eastAsia="en-MY"/>
              </w:rPr>
              <w:t>SC</w:t>
            </w:r>
          </w:p>
        </w:tc>
      </w:tr>
      <w:tr w:rsidR="00C0600B" w:rsidRPr="00ED2D2E" w14:paraId="7C7D2743" w14:textId="77777777" w:rsidTr="00ED2D2E">
        <w:trPr>
          <w:trHeight w:val="288"/>
          <w:jc w:val="center"/>
        </w:trPr>
        <w:tc>
          <w:tcPr>
            <w:tcW w:w="1481" w:type="dxa"/>
            <w:tcBorders>
              <w:top w:val="single" w:sz="4" w:space="0" w:color="000000"/>
            </w:tcBorders>
          </w:tcPr>
          <w:p w14:paraId="499C0FD4" w14:textId="77777777" w:rsidR="00C0600B" w:rsidRPr="00ED2D2E" w:rsidRDefault="00EB1169" w:rsidP="00ED2D2E">
            <w:pPr>
              <w:spacing w:after="0"/>
              <w:ind w:firstLine="0"/>
              <w:jc w:val="center"/>
              <w:rPr>
                <w:rFonts w:ascii="Times New Roman" w:eastAsia="Times New Roman" w:hAnsi="Times New Roman" w:cs="Times New Roman"/>
                <w:b/>
                <w:sz w:val="24"/>
                <w:szCs w:val="24"/>
                <w:lang w:eastAsia="en-MY"/>
              </w:rPr>
            </w:pPr>
            <w:r w:rsidRPr="00ED2D2E">
              <w:rPr>
                <w:rFonts w:ascii="Times New Roman" w:eastAsia="Times New Roman" w:hAnsi="Times New Roman" w:cs="Times New Roman"/>
                <w:b/>
                <w:sz w:val="24"/>
                <w:szCs w:val="24"/>
                <w:lang w:eastAsia="en-MY"/>
              </w:rPr>
              <w:t>FM</w:t>
            </w:r>
          </w:p>
        </w:tc>
        <w:tc>
          <w:tcPr>
            <w:tcW w:w="944" w:type="dxa"/>
            <w:tcBorders>
              <w:top w:val="single" w:sz="4" w:space="0" w:color="000000"/>
            </w:tcBorders>
          </w:tcPr>
          <w:p w14:paraId="0318202C" w14:textId="77777777" w:rsidR="00C0600B" w:rsidRPr="00ED2D2E" w:rsidRDefault="00C0600B" w:rsidP="00ED2D2E">
            <w:pPr>
              <w:spacing w:after="0"/>
              <w:ind w:firstLine="0"/>
              <w:jc w:val="center"/>
              <w:rPr>
                <w:rFonts w:ascii="Times New Roman" w:eastAsia="Times New Roman" w:hAnsi="Times New Roman" w:cs="Times New Roman"/>
                <w:sz w:val="24"/>
                <w:szCs w:val="24"/>
                <w:lang w:eastAsia="en-MY"/>
              </w:rPr>
            </w:pPr>
          </w:p>
        </w:tc>
        <w:tc>
          <w:tcPr>
            <w:tcW w:w="990" w:type="dxa"/>
            <w:tcBorders>
              <w:top w:val="single" w:sz="4" w:space="0" w:color="000000"/>
            </w:tcBorders>
          </w:tcPr>
          <w:p w14:paraId="4F96D787" w14:textId="77777777" w:rsidR="00C0600B" w:rsidRPr="00ED2D2E" w:rsidRDefault="00C0600B" w:rsidP="00ED2D2E">
            <w:pPr>
              <w:spacing w:after="0"/>
              <w:ind w:firstLine="0"/>
              <w:jc w:val="center"/>
              <w:rPr>
                <w:rFonts w:ascii="Times New Roman" w:eastAsia="Times New Roman" w:hAnsi="Times New Roman" w:cs="Times New Roman"/>
                <w:sz w:val="24"/>
                <w:szCs w:val="24"/>
                <w:lang w:eastAsia="en-MY"/>
              </w:rPr>
            </w:pPr>
          </w:p>
        </w:tc>
        <w:tc>
          <w:tcPr>
            <w:tcW w:w="990" w:type="dxa"/>
            <w:tcBorders>
              <w:top w:val="single" w:sz="4" w:space="0" w:color="000000"/>
            </w:tcBorders>
          </w:tcPr>
          <w:p w14:paraId="68D741F1" w14:textId="77777777" w:rsidR="00C0600B" w:rsidRPr="00ED2D2E" w:rsidRDefault="00C0600B" w:rsidP="00ED2D2E">
            <w:pPr>
              <w:spacing w:after="0"/>
              <w:ind w:firstLine="0"/>
              <w:jc w:val="center"/>
              <w:rPr>
                <w:rFonts w:ascii="Times New Roman" w:eastAsia="Times New Roman" w:hAnsi="Times New Roman" w:cs="Times New Roman"/>
                <w:sz w:val="24"/>
                <w:szCs w:val="24"/>
                <w:lang w:eastAsia="en-MY"/>
              </w:rPr>
            </w:pPr>
          </w:p>
        </w:tc>
        <w:tc>
          <w:tcPr>
            <w:tcW w:w="1080" w:type="dxa"/>
            <w:tcBorders>
              <w:top w:val="single" w:sz="4" w:space="0" w:color="000000"/>
            </w:tcBorders>
          </w:tcPr>
          <w:p w14:paraId="25099A9C" w14:textId="77777777" w:rsidR="00C0600B" w:rsidRPr="00ED2D2E" w:rsidRDefault="00C0600B" w:rsidP="00ED2D2E">
            <w:pPr>
              <w:spacing w:after="0"/>
              <w:ind w:firstLine="0"/>
              <w:jc w:val="center"/>
              <w:rPr>
                <w:rFonts w:ascii="Times New Roman" w:eastAsia="Times New Roman" w:hAnsi="Times New Roman" w:cs="Times New Roman"/>
                <w:sz w:val="24"/>
                <w:szCs w:val="24"/>
                <w:lang w:eastAsia="en-MY"/>
              </w:rPr>
            </w:pPr>
          </w:p>
        </w:tc>
      </w:tr>
      <w:tr w:rsidR="00C0600B" w:rsidRPr="00ED2D2E" w14:paraId="649C2618" w14:textId="77777777" w:rsidTr="00ED2D2E">
        <w:trPr>
          <w:trHeight w:val="288"/>
          <w:jc w:val="center"/>
        </w:trPr>
        <w:tc>
          <w:tcPr>
            <w:tcW w:w="1481" w:type="dxa"/>
          </w:tcPr>
          <w:p w14:paraId="68583850" w14:textId="77777777" w:rsidR="00C0600B" w:rsidRPr="00ED2D2E" w:rsidRDefault="00EB1169" w:rsidP="00ED2D2E">
            <w:pPr>
              <w:spacing w:after="0"/>
              <w:ind w:firstLine="0"/>
              <w:jc w:val="center"/>
              <w:rPr>
                <w:rFonts w:ascii="Times New Roman" w:eastAsia="Times New Roman" w:hAnsi="Times New Roman" w:cs="Times New Roman"/>
                <w:b/>
                <w:sz w:val="24"/>
                <w:szCs w:val="24"/>
                <w:lang w:eastAsia="en-MY"/>
              </w:rPr>
            </w:pPr>
            <w:r w:rsidRPr="00ED2D2E">
              <w:rPr>
                <w:rFonts w:ascii="Times New Roman" w:eastAsia="Times New Roman" w:hAnsi="Times New Roman" w:cs="Times New Roman"/>
                <w:b/>
                <w:sz w:val="24"/>
                <w:szCs w:val="24"/>
                <w:lang w:eastAsia="en-MY"/>
              </w:rPr>
              <w:t>PI</w:t>
            </w:r>
          </w:p>
        </w:tc>
        <w:tc>
          <w:tcPr>
            <w:tcW w:w="944" w:type="dxa"/>
          </w:tcPr>
          <w:p w14:paraId="1B754263"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0.173</w:t>
            </w:r>
          </w:p>
        </w:tc>
        <w:tc>
          <w:tcPr>
            <w:tcW w:w="990" w:type="dxa"/>
          </w:tcPr>
          <w:p w14:paraId="7C8083F6" w14:textId="77777777" w:rsidR="00C0600B" w:rsidRPr="00ED2D2E" w:rsidRDefault="00C0600B" w:rsidP="00ED2D2E">
            <w:pPr>
              <w:spacing w:after="0"/>
              <w:ind w:firstLine="0"/>
              <w:jc w:val="center"/>
              <w:rPr>
                <w:rFonts w:ascii="Times New Roman" w:eastAsia="Times New Roman" w:hAnsi="Times New Roman" w:cs="Times New Roman"/>
                <w:sz w:val="24"/>
                <w:szCs w:val="24"/>
                <w:lang w:eastAsia="en-MY"/>
              </w:rPr>
            </w:pPr>
          </w:p>
        </w:tc>
        <w:tc>
          <w:tcPr>
            <w:tcW w:w="990" w:type="dxa"/>
          </w:tcPr>
          <w:p w14:paraId="695376D1" w14:textId="77777777" w:rsidR="00C0600B" w:rsidRPr="00ED2D2E" w:rsidRDefault="00C0600B" w:rsidP="00ED2D2E">
            <w:pPr>
              <w:spacing w:after="0"/>
              <w:ind w:firstLine="0"/>
              <w:jc w:val="center"/>
              <w:rPr>
                <w:rFonts w:ascii="Times New Roman" w:eastAsia="Times New Roman" w:hAnsi="Times New Roman" w:cs="Times New Roman"/>
                <w:sz w:val="24"/>
                <w:szCs w:val="24"/>
                <w:lang w:eastAsia="en-MY"/>
              </w:rPr>
            </w:pPr>
          </w:p>
        </w:tc>
        <w:tc>
          <w:tcPr>
            <w:tcW w:w="1080" w:type="dxa"/>
          </w:tcPr>
          <w:p w14:paraId="420212E8" w14:textId="77777777" w:rsidR="00C0600B" w:rsidRPr="00ED2D2E" w:rsidRDefault="00C0600B" w:rsidP="00ED2D2E">
            <w:pPr>
              <w:spacing w:after="0"/>
              <w:ind w:firstLine="0"/>
              <w:jc w:val="center"/>
              <w:rPr>
                <w:rFonts w:ascii="Times New Roman" w:eastAsia="Times New Roman" w:hAnsi="Times New Roman" w:cs="Times New Roman"/>
                <w:sz w:val="24"/>
                <w:szCs w:val="24"/>
                <w:lang w:eastAsia="en-MY"/>
              </w:rPr>
            </w:pPr>
          </w:p>
        </w:tc>
      </w:tr>
      <w:tr w:rsidR="00C0600B" w:rsidRPr="00ED2D2E" w14:paraId="7096DF1A" w14:textId="77777777" w:rsidTr="00ED2D2E">
        <w:trPr>
          <w:trHeight w:val="288"/>
          <w:jc w:val="center"/>
        </w:trPr>
        <w:tc>
          <w:tcPr>
            <w:tcW w:w="1481" w:type="dxa"/>
          </w:tcPr>
          <w:p w14:paraId="556E626D" w14:textId="77777777" w:rsidR="00C0600B" w:rsidRPr="00ED2D2E" w:rsidRDefault="00EB1169" w:rsidP="00ED2D2E">
            <w:pPr>
              <w:spacing w:after="0"/>
              <w:ind w:firstLine="0"/>
              <w:jc w:val="center"/>
              <w:rPr>
                <w:rFonts w:ascii="Times New Roman" w:eastAsia="Times New Roman" w:hAnsi="Times New Roman" w:cs="Times New Roman"/>
                <w:b/>
                <w:sz w:val="24"/>
                <w:szCs w:val="24"/>
                <w:lang w:eastAsia="en-MY"/>
              </w:rPr>
            </w:pPr>
            <w:r w:rsidRPr="00ED2D2E">
              <w:rPr>
                <w:rFonts w:ascii="Times New Roman" w:eastAsia="Times New Roman" w:hAnsi="Times New Roman" w:cs="Times New Roman"/>
                <w:b/>
                <w:sz w:val="24"/>
                <w:szCs w:val="24"/>
                <w:lang w:eastAsia="en-MY"/>
              </w:rPr>
              <w:t>SI</w:t>
            </w:r>
          </w:p>
        </w:tc>
        <w:tc>
          <w:tcPr>
            <w:tcW w:w="944" w:type="dxa"/>
          </w:tcPr>
          <w:p w14:paraId="06C2C52B"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0.829</w:t>
            </w:r>
          </w:p>
        </w:tc>
        <w:tc>
          <w:tcPr>
            <w:tcW w:w="990" w:type="dxa"/>
          </w:tcPr>
          <w:p w14:paraId="7912C6BA"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0.162</w:t>
            </w:r>
          </w:p>
        </w:tc>
        <w:tc>
          <w:tcPr>
            <w:tcW w:w="990" w:type="dxa"/>
          </w:tcPr>
          <w:p w14:paraId="605ED20B" w14:textId="77777777" w:rsidR="00C0600B" w:rsidRPr="00ED2D2E" w:rsidRDefault="00C0600B" w:rsidP="00ED2D2E">
            <w:pPr>
              <w:spacing w:after="0"/>
              <w:ind w:firstLine="0"/>
              <w:jc w:val="center"/>
              <w:rPr>
                <w:rFonts w:ascii="Times New Roman" w:eastAsia="Times New Roman" w:hAnsi="Times New Roman" w:cs="Times New Roman"/>
                <w:sz w:val="24"/>
                <w:szCs w:val="24"/>
                <w:lang w:eastAsia="en-MY"/>
              </w:rPr>
            </w:pPr>
          </w:p>
        </w:tc>
        <w:tc>
          <w:tcPr>
            <w:tcW w:w="1080" w:type="dxa"/>
          </w:tcPr>
          <w:p w14:paraId="30ACCF3B" w14:textId="77777777" w:rsidR="00C0600B" w:rsidRPr="00ED2D2E" w:rsidRDefault="00C0600B" w:rsidP="00ED2D2E">
            <w:pPr>
              <w:spacing w:after="0"/>
              <w:ind w:firstLine="0"/>
              <w:jc w:val="center"/>
              <w:rPr>
                <w:rFonts w:ascii="Times New Roman" w:eastAsia="Times New Roman" w:hAnsi="Times New Roman" w:cs="Times New Roman"/>
                <w:sz w:val="24"/>
                <w:szCs w:val="24"/>
                <w:lang w:eastAsia="en-MY"/>
              </w:rPr>
            </w:pPr>
          </w:p>
        </w:tc>
      </w:tr>
      <w:tr w:rsidR="00C0600B" w:rsidRPr="00ED2D2E" w14:paraId="7E721FA9" w14:textId="77777777" w:rsidTr="00ED2D2E">
        <w:trPr>
          <w:trHeight w:val="288"/>
          <w:jc w:val="center"/>
        </w:trPr>
        <w:tc>
          <w:tcPr>
            <w:tcW w:w="1481" w:type="dxa"/>
          </w:tcPr>
          <w:p w14:paraId="66F9CC06" w14:textId="77777777" w:rsidR="00C0600B" w:rsidRPr="00ED2D2E" w:rsidRDefault="00EB1169" w:rsidP="00ED2D2E">
            <w:pPr>
              <w:spacing w:after="0"/>
              <w:ind w:firstLine="0"/>
              <w:jc w:val="center"/>
              <w:rPr>
                <w:rFonts w:ascii="Times New Roman" w:eastAsia="Times New Roman" w:hAnsi="Times New Roman" w:cs="Times New Roman"/>
                <w:b/>
                <w:sz w:val="24"/>
                <w:szCs w:val="24"/>
                <w:lang w:eastAsia="en-MY"/>
              </w:rPr>
            </w:pPr>
            <w:r w:rsidRPr="00ED2D2E">
              <w:rPr>
                <w:rFonts w:ascii="Times New Roman" w:eastAsia="Times New Roman" w:hAnsi="Times New Roman" w:cs="Times New Roman"/>
                <w:b/>
                <w:sz w:val="24"/>
                <w:szCs w:val="24"/>
                <w:lang w:eastAsia="en-MY"/>
              </w:rPr>
              <w:t>SC</w:t>
            </w:r>
          </w:p>
        </w:tc>
        <w:tc>
          <w:tcPr>
            <w:tcW w:w="944" w:type="dxa"/>
          </w:tcPr>
          <w:p w14:paraId="1814EB75"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0.815</w:t>
            </w:r>
          </w:p>
        </w:tc>
        <w:tc>
          <w:tcPr>
            <w:tcW w:w="990" w:type="dxa"/>
          </w:tcPr>
          <w:p w14:paraId="7599A2D8"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0.137</w:t>
            </w:r>
          </w:p>
        </w:tc>
        <w:tc>
          <w:tcPr>
            <w:tcW w:w="990" w:type="dxa"/>
          </w:tcPr>
          <w:p w14:paraId="22093347" w14:textId="77777777" w:rsidR="00C0600B" w:rsidRPr="00ED2D2E" w:rsidRDefault="00EB1169" w:rsidP="00ED2D2E">
            <w:pPr>
              <w:spacing w:after="0"/>
              <w:ind w:firstLine="0"/>
              <w:jc w:val="center"/>
              <w:rPr>
                <w:rFonts w:ascii="Times New Roman" w:eastAsia="Times New Roman" w:hAnsi="Times New Roman" w:cs="Times New Roman"/>
                <w:sz w:val="24"/>
                <w:szCs w:val="24"/>
                <w:lang w:eastAsia="en-MY"/>
              </w:rPr>
            </w:pPr>
            <w:r w:rsidRPr="00ED2D2E">
              <w:rPr>
                <w:rFonts w:ascii="Times New Roman" w:eastAsia="Times New Roman" w:hAnsi="Times New Roman" w:cs="Times New Roman"/>
                <w:sz w:val="24"/>
                <w:szCs w:val="24"/>
                <w:lang w:eastAsia="en-MY"/>
              </w:rPr>
              <w:t>0.806</w:t>
            </w:r>
          </w:p>
        </w:tc>
        <w:tc>
          <w:tcPr>
            <w:tcW w:w="1080" w:type="dxa"/>
          </w:tcPr>
          <w:p w14:paraId="5600F98B" w14:textId="77777777" w:rsidR="00C0600B" w:rsidRPr="00ED2D2E" w:rsidRDefault="00C0600B" w:rsidP="00ED2D2E">
            <w:pPr>
              <w:spacing w:after="0"/>
              <w:ind w:firstLine="0"/>
              <w:jc w:val="center"/>
              <w:rPr>
                <w:rFonts w:ascii="Times New Roman" w:eastAsia="Times New Roman" w:hAnsi="Times New Roman" w:cs="Times New Roman"/>
                <w:sz w:val="24"/>
                <w:szCs w:val="24"/>
                <w:lang w:eastAsia="en-MY"/>
              </w:rPr>
            </w:pPr>
          </w:p>
        </w:tc>
      </w:tr>
    </w:tbl>
    <w:p w14:paraId="513884D4" w14:textId="77777777" w:rsidR="00C0600B" w:rsidRPr="00ED2D2E" w:rsidRDefault="00C0600B" w:rsidP="00ED2D2E">
      <w:pPr>
        <w:spacing w:after="0" w:line="240" w:lineRule="auto"/>
        <w:ind w:firstLine="0"/>
        <w:jc w:val="both"/>
        <w:rPr>
          <w:rFonts w:ascii="Times New Roman" w:eastAsia="Times New Roman" w:hAnsi="Times New Roman" w:cs="Times New Roman"/>
          <w:color w:val="000000"/>
          <w:sz w:val="24"/>
          <w:szCs w:val="24"/>
        </w:rPr>
      </w:pPr>
    </w:p>
    <w:p w14:paraId="004CA24B" w14:textId="77777777" w:rsidR="00C0600B" w:rsidRDefault="00EB1169" w:rsidP="00ED2D2E">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structural model describes the relationship between the latent constructs themselves. To measure the structural model, two prominent measures are suggested to be tested, including hypothesis testing and coefficient of determination (R2). The R2 measure is the standard method used to examine the predictive power of the structural model. As shown in Figure 1, the model has a high predictive power, which supports almost 55.8% of the variance in the intention to save. </w:t>
      </w:r>
    </w:p>
    <w:p w14:paraId="16FAD298" w14:textId="77777777" w:rsidR="00C0600B" w:rsidRDefault="00EB1169" w:rsidP="00ED2D2E">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terms of path analysis, Figure 1 and Table 6 demonstrates the path coefficients, p-values and t-values for each hypothesis. It can be noticed that all the hypotheses are supported, which in turn indicates that all the paths are significant by the empirical data. H1 (B = 0.368, p &lt; 0.05) describes the path between financial management and saving intention indicating that the financial management enhances the saving intention. H2 (B = 0.119, p &lt; 0.05) shows the path between peer influence and saving intention, revealing that peer influence positively influences the saving intention.H3 (B = 0.419, p &lt; 0.05) demonstrates the path between self-control and saving intention; revealing that self-control positively influences the saving intention. Based on the data analysis hypothesis H1, H2 and H3 significantly affecting the saving behaviour among youth. These findings are consistent with past studies by Lindner et al. (2015),</w:t>
      </w:r>
    </w:p>
    <w:p w14:paraId="2F6DBF4D" w14:textId="77777777" w:rsidR="00C0600B" w:rsidRDefault="00C0600B" w:rsidP="00ED2D2E">
      <w:pPr>
        <w:spacing w:after="0" w:line="240" w:lineRule="auto"/>
        <w:ind w:firstLine="720"/>
        <w:jc w:val="both"/>
        <w:rPr>
          <w:rFonts w:ascii="Times New Roman" w:eastAsia="Times New Roman" w:hAnsi="Times New Roman" w:cs="Times New Roman"/>
          <w:color w:val="000000"/>
          <w:sz w:val="24"/>
          <w:szCs w:val="24"/>
        </w:rPr>
      </w:pPr>
    </w:p>
    <w:p w14:paraId="2050CA04" w14:textId="21EDE743" w:rsidR="00C0600B" w:rsidRDefault="00EB1169" w:rsidP="00ED2D2E">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
          <w:sz w:val="24"/>
          <w:szCs w:val="24"/>
        </w:rPr>
        <w:t>Table 6</w:t>
      </w:r>
      <w:r w:rsidR="00ED2D2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ED2D2E">
        <w:rPr>
          <w:rFonts w:ascii="Times New Roman" w:eastAsia="Times New Roman" w:hAnsi="Times New Roman" w:cs="Times New Roman"/>
          <w:bCs/>
          <w:sz w:val="24"/>
          <w:szCs w:val="24"/>
        </w:rPr>
        <w:t xml:space="preserve">Hypotheses </w:t>
      </w:r>
      <w:r w:rsidR="00ED2D2E" w:rsidRPr="00ED2D2E">
        <w:rPr>
          <w:rFonts w:ascii="Times New Roman" w:eastAsia="Times New Roman" w:hAnsi="Times New Roman" w:cs="Times New Roman"/>
          <w:bCs/>
          <w:sz w:val="24"/>
          <w:szCs w:val="24"/>
        </w:rPr>
        <w:t>test results</w:t>
      </w:r>
    </w:p>
    <w:p w14:paraId="738D0330" w14:textId="77777777" w:rsidR="00ED2D2E" w:rsidRDefault="00ED2D2E" w:rsidP="00ED2D2E">
      <w:pPr>
        <w:spacing w:after="0" w:line="240" w:lineRule="auto"/>
        <w:jc w:val="center"/>
        <w:rPr>
          <w:rFonts w:ascii="Times New Roman" w:eastAsia="Times New Roman" w:hAnsi="Times New Roman" w:cs="Times New Roman"/>
          <w:b/>
          <w:sz w:val="24"/>
          <w:szCs w:val="24"/>
        </w:rPr>
      </w:pPr>
    </w:p>
    <w:tbl>
      <w:tblPr>
        <w:tblStyle w:val="1"/>
        <w:tblW w:w="9350" w:type="dxa"/>
        <w:tblBorders>
          <w:top w:val="single" w:sz="4" w:space="0" w:color="000000"/>
          <w:bottom w:val="single" w:sz="4" w:space="0" w:color="000000"/>
        </w:tblBorders>
        <w:tblLayout w:type="fixed"/>
        <w:tblLook w:val="04A0" w:firstRow="1" w:lastRow="0" w:firstColumn="1" w:lastColumn="0" w:noHBand="0" w:noVBand="1"/>
      </w:tblPr>
      <w:tblGrid>
        <w:gridCol w:w="1558"/>
        <w:gridCol w:w="1558"/>
        <w:gridCol w:w="1829"/>
        <w:gridCol w:w="1287"/>
        <w:gridCol w:w="1559"/>
        <w:gridCol w:w="1559"/>
      </w:tblGrid>
      <w:tr w:rsidR="00C0600B" w14:paraId="6D8DFCF8" w14:textId="77777777" w:rsidTr="00ED2D2E">
        <w:tc>
          <w:tcPr>
            <w:tcW w:w="1558" w:type="dxa"/>
            <w:tcBorders>
              <w:top w:val="single" w:sz="4" w:space="0" w:color="000000"/>
              <w:bottom w:val="single" w:sz="4" w:space="0" w:color="000000"/>
            </w:tcBorders>
            <w:shd w:val="clear" w:color="auto" w:fill="8DB3E2" w:themeFill="text2" w:themeFillTint="66"/>
          </w:tcPr>
          <w:p w14:paraId="5662CDB9" w14:textId="77777777" w:rsidR="00C0600B" w:rsidRPr="00ED2D2E" w:rsidRDefault="00EB1169" w:rsidP="00ED2D2E">
            <w:pPr>
              <w:spacing w:after="0" w:line="240" w:lineRule="auto"/>
              <w:ind w:firstLine="0"/>
              <w:jc w:val="center"/>
              <w:rPr>
                <w:rFonts w:ascii="Times New Roman" w:eastAsia="Times New Roman" w:hAnsi="Times New Roman" w:cs="Times New Roman"/>
                <w:b/>
                <w:bCs/>
                <w:sz w:val="24"/>
                <w:szCs w:val="24"/>
                <w:lang w:eastAsia="en-MY"/>
              </w:rPr>
            </w:pPr>
            <w:r w:rsidRPr="00ED2D2E">
              <w:rPr>
                <w:rFonts w:ascii="Times New Roman" w:eastAsia="Times New Roman" w:hAnsi="Times New Roman" w:cs="Times New Roman"/>
                <w:b/>
                <w:bCs/>
                <w:sz w:val="24"/>
                <w:szCs w:val="24"/>
                <w:lang w:eastAsia="en-MY"/>
              </w:rPr>
              <w:t>Hypothesis</w:t>
            </w:r>
          </w:p>
        </w:tc>
        <w:tc>
          <w:tcPr>
            <w:tcW w:w="1558" w:type="dxa"/>
            <w:tcBorders>
              <w:top w:val="single" w:sz="4" w:space="0" w:color="000000"/>
              <w:bottom w:val="single" w:sz="4" w:space="0" w:color="000000"/>
            </w:tcBorders>
            <w:shd w:val="clear" w:color="auto" w:fill="8DB3E2" w:themeFill="text2" w:themeFillTint="66"/>
          </w:tcPr>
          <w:p w14:paraId="277B1CFB" w14:textId="77777777" w:rsidR="00C0600B" w:rsidRPr="00ED2D2E" w:rsidRDefault="00EB1169" w:rsidP="00ED2D2E">
            <w:pPr>
              <w:spacing w:after="0" w:line="240" w:lineRule="auto"/>
              <w:ind w:firstLine="0"/>
              <w:jc w:val="center"/>
              <w:rPr>
                <w:rFonts w:ascii="Times New Roman" w:eastAsia="Times New Roman" w:hAnsi="Times New Roman" w:cs="Times New Roman"/>
                <w:b/>
                <w:bCs/>
                <w:sz w:val="24"/>
                <w:szCs w:val="24"/>
                <w:lang w:eastAsia="en-MY"/>
              </w:rPr>
            </w:pPr>
            <w:r w:rsidRPr="00ED2D2E">
              <w:rPr>
                <w:rFonts w:ascii="Times New Roman" w:eastAsia="Times New Roman" w:hAnsi="Times New Roman" w:cs="Times New Roman"/>
                <w:b/>
                <w:bCs/>
                <w:sz w:val="24"/>
                <w:szCs w:val="24"/>
                <w:lang w:eastAsia="en-MY"/>
              </w:rPr>
              <w:t>Path</w:t>
            </w:r>
          </w:p>
        </w:tc>
        <w:tc>
          <w:tcPr>
            <w:tcW w:w="1829" w:type="dxa"/>
            <w:tcBorders>
              <w:top w:val="single" w:sz="4" w:space="0" w:color="000000"/>
              <w:bottom w:val="single" w:sz="4" w:space="0" w:color="000000"/>
            </w:tcBorders>
            <w:shd w:val="clear" w:color="auto" w:fill="8DB3E2" w:themeFill="text2" w:themeFillTint="66"/>
          </w:tcPr>
          <w:p w14:paraId="39139CCE" w14:textId="13452F30" w:rsidR="00C0600B" w:rsidRPr="00ED2D2E" w:rsidRDefault="00567586" w:rsidP="00ED2D2E">
            <w:pPr>
              <w:spacing w:after="0" w:line="240" w:lineRule="auto"/>
              <w:ind w:firstLine="0"/>
              <w:jc w:val="center"/>
              <w:rPr>
                <w:rFonts w:ascii="Times New Roman" w:eastAsia="Times New Roman" w:hAnsi="Times New Roman" w:cs="Times New Roman"/>
                <w:b/>
                <w:bCs/>
                <w:sz w:val="24"/>
                <w:szCs w:val="24"/>
                <w:lang w:eastAsia="en-MY"/>
              </w:rPr>
            </w:pPr>
            <w:r>
              <w:rPr>
                <w:rFonts w:ascii="Times New Roman" w:eastAsia="Times New Roman" w:hAnsi="Times New Roman" w:cs="Times New Roman"/>
                <w:b/>
                <w:bCs/>
                <w:sz w:val="24"/>
                <w:szCs w:val="24"/>
                <w:lang w:eastAsia="en-MY"/>
              </w:rPr>
              <w:t>Path c</w:t>
            </w:r>
            <w:r w:rsidR="00EB1169" w:rsidRPr="00ED2D2E">
              <w:rPr>
                <w:rFonts w:ascii="Times New Roman" w:eastAsia="Times New Roman" w:hAnsi="Times New Roman" w:cs="Times New Roman"/>
                <w:b/>
                <w:bCs/>
                <w:sz w:val="24"/>
                <w:szCs w:val="24"/>
                <w:lang w:eastAsia="en-MY"/>
              </w:rPr>
              <w:t>oefficient</w:t>
            </w:r>
          </w:p>
        </w:tc>
        <w:tc>
          <w:tcPr>
            <w:tcW w:w="1287" w:type="dxa"/>
            <w:tcBorders>
              <w:top w:val="single" w:sz="4" w:space="0" w:color="000000"/>
              <w:bottom w:val="single" w:sz="4" w:space="0" w:color="000000"/>
            </w:tcBorders>
            <w:shd w:val="clear" w:color="auto" w:fill="8DB3E2" w:themeFill="text2" w:themeFillTint="66"/>
          </w:tcPr>
          <w:p w14:paraId="40735996" w14:textId="77777777" w:rsidR="00C0600B" w:rsidRPr="00ED2D2E" w:rsidRDefault="00EB1169" w:rsidP="00ED2D2E">
            <w:pPr>
              <w:spacing w:after="0" w:line="240" w:lineRule="auto"/>
              <w:ind w:firstLine="0"/>
              <w:jc w:val="center"/>
              <w:rPr>
                <w:rFonts w:ascii="Times New Roman" w:eastAsia="Times New Roman" w:hAnsi="Times New Roman" w:cs="Times New Roman"/>
                <w:b/>
                <w:bCs/>
                <w:sz w:val="24"/>
                <w:szCs w:val="24"/>
                <w:lang w:eastAsia="en-MY"/>
              </w:rPr>
            </w:pPr>
            <w:r w:rsidRPr="00ED2D2E">
              <w:rPr>
                <w:rFonts w:ascii="Times New Roman" w:eastAsia="Times New Roman" w:hAnsi="Times New Roman" w:cs="Times New Roman"/>
                <w:b/>
                <w:bCs/>
                <w:i/>
                <w:sz w:val="24"/>
                <w:szCs w:val="24"/>
                <w:lang w:eastAsia="en-MY"/>
              </w:rPr>
              <w:t>p</w:t>
            </w:r>
            <w:r w:rsidRPr="00ED2D2E">
              <w:rPr>
                <w:rFonts w:ascii="Times New Roman" w:eastAsia="Times New Roman" w:hAnsi="Times New Roman" w:cs="Times New Roman"/>
                <w:b/>
                <w:bCs/>
                <w:sz w:val="24"/>
                <w:szCs w:val="24"/>
                <w:lang w:eastAsia="en-MY"/>
              </w:rPr>
              <w:t>-value</w:t>
            </w:r>
          </w:p>
        </w:tc>
        <w:tc>
          <w:tcPr>
            <w:tcW w:w="1559" w:type="dxa"/>
            <w:tcBorders>
              <w:top w:val="single" w:sz="4" w:space="0" w:color="000000"/>
              <w:bottom w:val="single" w:sz="4" w:space="0" w:color="000000"/>
            </w:tcBorders>
            <w:shd w:val="clear" w:color="auto" w:fill="8DB3E2" w:themeFill="text2" w:themeFillTint="66"/>
          </w:tcPr>
          <w:p w14:paraId="2440A5A9" w14:textId="77777777" w:rsidR="00C0600B" w:rsidRPr="00ED2D2E" w:rsidRDefault="00EB1169" w:rsidP="00ED2D2E">
            <w:pPr>
              <w:spacing w:after="0" w:line="240" w:lineRule="auto"/>
              <w:ind w:firstLine="0"/>
              <w:jc w:val="center"/>
              <w:rPr>
                <w:rFonts w:ascii="Times New Roman" w:eastAsia="Times New Roman" w:hAnsi="Times New Roman" w:cs="Times New Roman"/>
                <w:b/>
                <w:bCs/>
                <w:sz w:val="24"/>
                <w:szCs w:val="24"/>
                <w:lang w:eastAsia="en-MY"/>
              </w:rPr>
            </w:pPr>
            <w:r w:rsidRPr="00ED2D2E">
              <w:rPr>
                <w:rFonts w:ascii="Times New Roman" w:eastAsia="Times New Roman" w:hAnsi="Times New Roman" w:cs="Times New Roman"/>
                <w:b/>
                <w:bCs/>
                <w:i/>
                <w:sz w:val="24"/>
                <w:szCs w:val="24"/>
                <w:lang w:eastAsia="en-MY"/>
              </w:rPr>
              <w:t>t</w:t>
            </w:r>
            <w:r w:rsidRPr="00ED2D2E">
              <w:rPr>
                <w:rFonts w:ascii="Times New Roman" w:eastAsia="Times New Roman" w:hAnsi="Times New Roman" w:cs="Times New Roman"/>
                <w:b/>
                <w:bCs/>
                <w:sz w:val="24"/>
                <w:szCs w:val="24"/>
                <w:lang w:eastAsia="en-MY"/>
              </w:rPr>
              <w:t>-value</w:t>
            </w:r>
          </w:p>
        </w:tc>
        <w:tc>
          <w:tcPr>
            <w:tcW w:w="1559" w:type="dxa"/>
            <w:tcBorders>
              <w:top w:val="single" w:sz="4" w:space="0" w:color="000000"/>
              <w:bottom w:val="single" w:sz="4" w:space="0" w:color="000000"/>
            </w:tcBorders>
            <w:shd w:val="clear" w:color="auto" w:fill="8DB3E2" w:themeFill="text2" w:themeFillTint="66"/>
          </w:tcPr>
          <w:p w14:paraId="5F2019E3" w14:textId="77777777" w:rsidR="00C0600B" w:rsidRPr="00ED2D2E" w:rsidRDefault="00EB1169" w:rsidP="00ED2D2E">
            <w:pPr>
              <w:spacing w:after="0" w:line="240" w:lineRule="auto"/>
              <w:ind w:firstLine="0"/>
              <w:jc w:val="center"/>
              <w:rPr>
                <w:rFonts w:ascii="Times New Roman" w:eastAsia="Times New Roman" w:hAnsi="Times New Roman" w:cs="Times New Roman"/>
                <w:b/>
                <w:bCs/>
                <w:sz w:val="24"/>
                <w:szCs w:val="24"/>
                <w:lang w:eastAsia="en-MY"/>
              </w:rPr>
            </w:pPr>
            <w:r w:rsidRPr="00ED2D2E">
              <w:rPr>
                <w:rFonts w:ascii="Times New Roman" w:eastAsia="Times New Roman" w:hAnsi="Times New Roman" w:cs="Times New Roman"/>
                <w:b/>
                <w:bCs/>
                <w:sz w:val="24"/>
                <w:szCs w:val="24"/>
                <w:lang w:eastAsia="en-MY"/>
              </w:rPr>
              <w:t>Decision</w:t>
            </w:r>
          </w:p>
        </w:tc>
      </w:tr>
      <w:tr w:rsidR="00C0600B" w14:paraId="6B977228" w14:textId="77777777" w:rsidTr="00ED2D2E">
        <w:tc>
          <w:tcPr>
            <w:tcW w:w="1558" w:type="dxa"/>
            <w:tcBorders>
              <w:top w:val="single" w:sz="4" w:space="0" w:color="000000"/>
            </w:tcBorders>
          </w:tcPr>
          <w:p w14:paraId="7B2E9852" w14:textId="77777777" w:rsidR="00C0600B" w:rsidRDefault="00EB1169" w:rsidP="00ED2D2E">
            <w:pPr>
              <w:spacing w:after="0" w:line="240" w:lineRule="auto"/>
              <w:ind w:firstLine="0"/>
              <w:jc w:val="center"/>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H1</w:t>
            </w:r>
          </w:p>
        </w:tc>
        <w:tc>
          <w:tcPr>
            <w:tcW w:w="1558" w:type="dxa"/>
            <w:tcBorders>
              <w:top w:val="single" w:sz="4" w:space="0" w:color="000000"/>
            </w:tcBorders>
          </w:tcPr>
          <w:p w14:paraId="45968716" w14:textId="77777777" w:rsidR="00C0600B" w:rsidRDefault="00EB1169" w:rsidP="00ED2D2E">
            <w:pPr>
              <w:spacing w:after="0" w:line="240" w:lineRule="auto"/>
              <w:ind w:firstLine="0"/>
              <w:jc w:val="center"/>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FM - SI</w:t>
            </w:r>
          </w:p>
        </w:tc>
        <w:tc>
          <w:tcPr>
            <w:tcW w:w="1829" w:type="dxa"/>
            <w:tcBorders>
              <w:top w:val="single" w:sz="4" w:space="0" w:color="000000"/>
            </w:tcBorders>
          </w:tcPr>
          <w:p w14:paraId="3AC9363A" w14:textId="77777777" w:rsidR="00C0600B" w:rsidRDefault="00EB1169" w:rsidP="00ED2D2E">
            <w:pPr>
              <w:spacing w:after="0" w:line="240" w:lineRule="auto"/>
              <w:ind w:firstLine="0"/>
              <w:jc w:val="center"/>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0.368</w:t>
            </w:r>
          </w:p>
        </w:tc>
        <w:tc>
          <w:tcPr>
            <w:tcW w:w="1287" w:type="dxa"/>
            <w:tcBorders>
              <w:top w:val="single" w:sz="4" w:space="0" w:color="000000"/>
            </w:tcBorders>
          </w:tcPr>
          <w:p w14:paraId="543223BD" w14:textId="77777777" w:rsidR="00C0600B" w:rsidRDefault="00EB1169" w:rsidP="00ED2D2E">
            <w:pPr>
              <w:spacing w:after="0" w:line="240" w:lineRule="auto"/>
              <w:ind w:firstLine="0"/>
              <w:jc w:val="center"/>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0.000</w:t>
            </w:r>
          </w:p>
        </w:tc>
        <w:tc>
          <w:tcPr>
            <w:tcW w:w="1559" w:type="dxa"/>
            <w:tcBorders>
              <w:top w:val="single" w:sz="4" w:space="0" w:color="000000"/>
            </w:tcBorders>
          </w:tcPr>
          <w:p w14:paraId="2291ED3E" w14:textId="77777777" w:rsidR="00C0600B" w:rsidRDefault="00EB1169" w:rsidP="00ED2D2E">
            <w:pPr>
              <w:spacing w:after="0" w:line="240" w:lineRule="auto"/>
              <w:ind w:firstLine="0"/>
              <w:jc w:val="center"/>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9.370</w:t>
            </w:r>
          </w:p>
        </w:tc>
        <w:tc>
          <w:tcPr>
            <w:tcW w:w="1559" w:type="dxa"/>
            <w:tcBorders>
              <w:top w:val="single" w:sz="4" w:space="0" w:color="000000"/>
            </w:tcBorders>
          </w:tcPr>
          <w:p w14:paraId="5347265C" w14:textId="77777777" w:rsidR="00C0600B" w:rsidRDefault="00EB1169" w:rsidP="00ED2D2E">
            <w:pPr>
              <w:spacing w:after="0" w:line="240" w:lineRule="auto"/>
              <w:ind w:firstLine="0"/>
              <w:jc w:val="center"/>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Supported</w:t>
            </w:r>
          </w:p>
        </w:tc>
      </w:tr>
      <w:tr w:rsidR="00C0600B" w14:paraId="5B58C5CA" w14:textId="77777777" w:rsidTr="00ED2D2E">
        <w:tc>
          <w:tcPr>
            <w:tcW w:w="1558" w:type="dxa"/>
          </w:tcPr>
          <w:p w14:paraId="2C036776" w14:textId="77777777" w:rsidR="00C0600B" w:rsidRDefault="00EB1169" w:rsidP="00ED2D2E">
            <w:pPr>
              <w:spacing w:after="0" w:line="240" w:lineRule="auto"/>
              <w:ind w:firstLine="0"/>
              <w:jc w:val="center"/>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H2</w:t>
            </w:r>
          </w:p>
        </w:tc>
        <w:tc>
          <w:tcPr>
            <w:tcW w:w="1558" w:type="dxa"/>
          </w:tcPr>
          <w:p w14:paraId="19A4E852" w14:textId="77777777" w:rsidR="00C0600B" w:rsidRDefault="00EB1169" w:rsidP="00ED2D2E">
            <w:pPr>
              <w:spacing w:after="0" w:line="240" w:lineRule="auto"/>
              <w:ind w:firstLine="0"/>
              <w:jc w:val="center"/>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PI- SI</w:t>
            </w:r>
          </w:p>
        </w:tc>
        <w:tc>
          <w:tcPr>
            <w:tcW w:w="1829" w:type="dxa"/>
          </w:tcPr>
          <w:p w14:paraId="66714C15" w14:textId="77777777" w:rsidR="00C0600B" w:rsidRDefault="00EB1169" w:rsidP="00ED2D2E">
            <w:pPr>
              <w:spacing w:after="0" w:line="240" w:lineRule="auto"/>
              <w:ind w:firstLine="0"/>
              <w:jc w:val="center"/>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0.119</w:t>
            </w:r>
          </w:p>
        </w:tc>
        <w:tc>
          <w:tcPr>
            <w:tcW w:w="1287" w:type="dxa"/>
          </w:tcPr>
          <w:p w14:paraId="2380A79C" w14:textId="77777777" w:rsidR="00C0600B" w:rsidRDefault="00EB1169" w:rsidP="00ED2D2E">
            <w:pPr>
              <w:spacing w:after="0" w:line="240" w:lineRule="auto"/>
              <w:ind w:firstLine="0"/>
              <w:jc w:val="center"/>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0.000</w:t>
            </w:r>
          </w:p>
        </w:tc>
        <w:tc>
          <w:tcPr>
            <w:tcW w:w="1559" w:type="dxa"/>
          </w:tcPr>
          <w:p w14:paraId="19AAC751" w14:textId="77777777" w:rsidR="00C0600B" w:rsidRDefault="00EB1169" w:rsidP="00ED2D2E">
            <w:pPr>
              <w:spacing w:after="0" w:line="240" w:lineRule="auto"/>
              <w:ind w:firstLine="0"/>
              <w:jc w:val="center"/>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5.895</w:t>
            </w:r>
          </w:p>
        </w:tc>
        <w:tc>
          <w:tcPr>
            <w:tcW w:w="1559" w:type="dxa"/>
          </w:tcPr>
          <w:p w14:paraId="47AD3861" w14:textId="77777777" w:rsidR="00C0600B" w:rsidRDefault="00EB1169" w:rsidP="00ED2D2E">
            <w:pPr>
              <w:spacing w:after="0" w:line="240" w:lineRule="auto"/>
              <w:ind w:firstLine="0"/>
              <w:jc w:val="center"/>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Supported</w:t>
            </w:r>
          </w:p>
        </w:tc>
      </w:tr>
      <w:tr w:rsidR="00C0600B" w14:paraId="65B44A0C" w14:textId="77777777" w:rsidTr="00ED2D2E">
        <w:tc>
          <w:tcPr>
            <w:tcW w:w="1558" w:type="dxa"/>
          </w:tcPr>
          <w:p w14:paraId="77A8CD71" w14:textId="77777777" w:rsidR="00C0600B" w:rsidRDefault="00EB1169" w:rsidP="00ED2D2E">
            <w:pPr>
              <w:spacing w:after="0" w:line="240" w:lineRule="auto"/>
              <w:ind w:firstLine="0"/>
              <w:jc w:val="center"/>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H3</w:t>
            </w:r>
          </w:p>
        </w:tc>
        <w:tc>
          <w:tcPr>
            <w:tcW w:w="1558" w:type="dxa"/>
          </w:tcPr>
          <w:p w14:paraId="21DE59F2" w14:textId="77777777" w:rsidR="00C0600B" w:rsidRDefault="00EB1169" w:rsidP="00ED2D2E">
            <w:pPr>
              <w:spacing w:after="0" w:line="240" w:lineRule="auto"/>
              <w:ind w:firstLine="0"/>
              <w:jc w:val="center"/>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SC - SI</w:t>
            </w:r>
          </w:p>
        </w:tc>
        <w:tc>
          <w:tcPr>
            <w:tcW w:w="1829" w:type="dxa"/>
          </w:tcPr>
          <w:p w14:paraId="6A2D4FFC" w14:textId="77777777" w:rsidR="00C0600B" w:rsidRDefault="00EB1169" w:rsidP="00ED2D2E">
            <w:pPr>
              <w:spacing w:after="0" w:line="240" w:lineRule="auto"/>
              <w:ind w:firstLine="0"/>
              <w:jc w:val="center"/>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0.419</w:t>
            </w:r>
          </w:p>
        </w:tc>
        <w:tc>
          <w:tcPr>
            <w:tcW w:w="1287" w:type="dxa"/>
          </w:tcPr>
          <w:p w14:paraId="676263CA" w14:textId="77777777" w:rsidR="00C0600B" w:rsidRDefault="00EB1169" w:rsidP="00ED2D2E">
            <w:pPr>
              <w:spacing w:after="0" w:line="240" w:lineRule="auto"/>
              <w:ind w:firstLine="0"/>
              <w:jc w:val="center"/>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0.000</w:t>
            </w:r>
          </w:p>
        </w:tc>
        <w:tc>
          <w:tcPr>
            <w:tcW w:w="1559" w:type="dxa"/>
          </w:tcPr>
          <w:p w14:paraId="449B3624" w14:textId="77777777" w:rsidR="00C0600B" w:rsidRDefault="00EB1169" w:rsidP="00ED2D2E">
            <w:pPr>
              <w:spacing w:after="0" w:line="240" w:lineRule="auto"/>
              <w:ind w:firstLine="0"/>
              <w:jc w:val="center"/>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10.889</w:t>
            </w:r>
          </w:p>
        </w:tc>
        <w:tc>
          <w:tcPr>
            <w:tcW w:w="1559" w:type="dxa"/>
          </w:tcPr>
          <w:p w14:paraId="1178E34A" w14:textId="77777777" w:rsidR="00C0600B" w:rsidRDefault="00EB1169" w:rsidP="00ED2D2E">
            <w:pPr>
              <w:spacing w:after="0" w:line="240" w:lineRule="auto"/>
              <w:ind w:firstLine="0"/>
              <w:jc w:val="center"/>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Supported</w:t>
            </w:r>
          </w:p>
        </w:tc>
      </w:tr>
    </w:tbl>
    <w:p w14:paraId="5089A917" w14:textId="03C048DE" w:rsidR="00C0600B" w:rsidRDefault="00EB1169" w:rsidP="00ED2D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Two tailed – t-value over 1.96, p-value &lt;0.05, significant</w:t>
      </w:r>
    </w:p>
    <w:p w14:paraId="4C28C56D" w14:textId="77777777" w:rsidR="00C0600B" w:rsidRDefault="00C0600B">
      <w:pPr>
        <w:spacing w:after="0" w:line="240" w:lineRule="auto"/>
        <w:ind w:firstLine="720"/>
        <w:jc w:val="both"/>
        <w:rPr>
          <w:rFonts w:ascii="Times New Roman" w:eastAsia="Times New Roman" w:hAnsi="Times New Roman" w:cs="Times New Roman"/>
          <w:color w:val="000000"/>
          <w:sz w:val="24"/>
          <w:szCs w:val="24"/>
        </w:rPr>
      </w:pPr>
    </w:p>
    <w:p w14:paraId="532AB9EB" w14:textId="77777777" w:rsidR="00C0600B" w:rsidRPr="00ED2D2E" w:rsidRDefault="00EB1169" w:rsidP="00ED2D2E">
      <w:pPr>
        <w:spacing w:after="0" w:line="240" w:lineRule="auto"/>
        <w:ind w:firstLine="0"/>
        <w:jc w:val="center"/>
        <w:rPr>
          <w:rFonts w:ascii="Times New Roman" w:eastAsia="Times New Roman" w:hAnsi="Times New Roman" w:cs="Times New Roman"/>
          <w:color w:val="000000"/>
          <w:sz w:val="24"/>
          <w:szCs w:val="24"/>
        </w:rPr>
      </w:pPr>
      <w:r w:rsidRPr="00ED2D2E">
        <w:rPr>
          <w:rFonts w:ascii="Times New Roman" w:eastAsia="Times New Roman" w:hAnsi="Times New Roman" w:cs="Times New Roman"/>
          <w:noProof/>
          <w:sz w:val="24"/>
          <w:szCs w:val="24"/>
          <w:lang w:eastAsia="en-MY"/>
        </w:rPr>
        <w:lastRenderedPageBreak/>
        <w:drawing>
          <wp:inline distT="114300" distB="114300" distL="114300" distR="114300" wp14:anchorId="3D3AFDA9" wp14:editId="1B220D78">
            <wp:extent cx="5490845" cy="34575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8"/>
                    <a:srcRect/>
                    <a:stretch>
                      <a:fillRect/>
                    </a:stretch>
                  </pic:blipFill>
                  <pic:spPr>
                    <a:xfrm>
                      <a:off x="0" y="0"/>
                      <a:ext cx="5491163" cy="3457575"/>
                    </a:xfrm>
                    <a:prstGeom prst="rect">
                      <a:avLst/>
                    </a:prstGeom>
                  </pic:spPr>
                </pic:pic>
              </a:graphicData>
            </a:graphic>
          </wp:inline>
        </w:drawing>
      </w:r>
    </w:p>
    <w:p w14:paraId="292B459D" w14:textId="77777777" w:rsidR="00C0600B" w:rsidRPr="00ED2D2E" w:rsidRDefault="00C0600B" w:rsidP="00ED2D2E">
      <w:pPr>
        <w:spacing w:after="0" w:line="240" w:lineRule="auto"/>
        <w:ind w:hanging="2"/>
        <w:jc w:val="center"/>
        <w:rPr>
          <w:rFonts w:ascii="Times New Roman" w:eastAsia="Times New Roman" w:hAnsi="Times New Roman" w:cs="Times New Roman"/>
          <w:sz w:val="24"/>
          <w:szCs w:val="24"/>
        </w:rPr>
      </w:pPr>
    </w:p>
    <w:p w14:paraId="7C1A5852" w14:textId="6EA3A70D" w:rsidR="00C0600B" w:rsidRPr="00ED2D2E" w:rsidRDefault="00EB1169" w:rsidP="00ED2D2E">
      <w:pPr>
        <w:spacing w:after="0" w:line="240" w:lineRule="auto"/>
        <w:jc w:val="center"/>
        <w:rPr>
          <w:rFonts w:ascii="Times New Roman" w:eastAsia="Times New Roman" w:hAnsi="Times New Roman" w:cs="Times New Roman"/>
          <w:sz w:val="24"/>
          <w:szCs w:val="24"/>
        </w:rPr>
      </w:pPr>
      <w:r w:rsidRPr="00ED2D2E">
        <w:rPr>
          <w:rFonts w:ascii="Times New Roman" w:eastAsia="Times New Roman" w:hAnsi="Times New Roman" w:cs="Times New Roman"/>
          <w:b/>
          <w:bCs/>
          <w:sz w:val="24"/>
          <w:szCs w:val="24"/>
        </w:rPr>
        <w:t>Figure 1.</w:t>
      </w:r>
      <w:r w:rsidRPr="00ED2D2E">
        <w:rPr>
          <w:rFonts w:ascii="Times New Roman" w:eastAsia="Times New Roman" w:hAnsi="Times New Roman" w:cs="Times New Roman"/>
          <w:sz w:val="24"/>
          <w:szCs w:val="24"/>
        </w:rPr>
        <w:t xml:space="preserve"> Path </w:t>
      </w:r>
      <w:r w:rsidR="00ED2D2E" w:rsidRPr="00ED2D2E">
        <w:rPr>
          <w:rFonts w:ascii="Times New Roman" w:eastAsia="Times New Roman" w:hAnsi="Times New Roman" w:cs="Times New Roman"/>
          <w:sz w:val="24"/>
          <w:szCs w:val="24"/>
        </w:rPr>
        <w:t>analysis results</w:t>
      </w:r>
    </w:p>
    <w:p w14:paraId="19BB3C26" w14:textId="77777777" w:rsidR="00C0600B" w:rsidRDefault="00C0600B" w:rsidP="00ED2D2E">
      <w:pPr>
        <w:spacing w:after="0" w:line="240" w:lineRule="auto"/>
        <w:jc w:val="center"/>
        <w:rPr>
          <w:rFonts w:ascii="Times New Roman" w:eastAsia="Times New Roman" w:hAnsi="Times New Roman" w:cs="Times New Roman"/>
          <w:sz w:val="24"/>
          <w:szCs w:val="24"/>
        </w:rPr>
      </w:pPr>
    </w:p>
    <w:p w14:paraId="3EFF491C" w14:textId="4ABD6C26" w:rsidR="00C0600B" w:rsidRDefault="00EB1169" w:rsidP="00ED2D2E">
      <w:pPr>
        <w:spacing w:after="0" w:line="240" w:lineRule="auto"/>
        <w:ind w:hanging="2"/>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Binary </w:t>
      </w:r>
      <w:r w:rsidR="00ED5B39">
        <w:rPr>
          <w:rFonts w:ascii="Times New Roman" w:eastAsia="Times New Roman" w:hAnsi="Times New Roman" w:cs="Times New Roman"/>
          <w:i/>
          <w:iCs/>
          <w:sz w:val="24"/>
          <w:szCs w:val="24"/>
        </w:rPr>
        <w:t xml:space="preserve">logistic regression </w:t>
      </w:r>
      <w:r w:rsidR="00ED2D2E">
        <w:rPr>
          <w:rFonts w:ascii="Times New Roman" w:eastAsia="Times New Roman" w:hAnsi="Times New Roman" w:cs="Times New Roman"/>
          <w:i/>
          <w:iCs/>
          <w:sz w:val="24"/>
          <w:szCs w:val="24"/>
        </w:rPr>
        <w:t>r</w:t>
      </w:r>
      <w:r>
        <w:rPr>
          <w:rFonts w:ascii="Times New Roman" w:eastAsia="Times New Roman" w:hAnsi="Times New Roman" w:cs="Times New Roman"/>
          <w:i/>
          <w:iCs/>
          <w:sz w:val="24"/>
          <w:szCs w:val="24"/>
        </w:rPr>
        <w:t>esult</w:t>
      </w:r>
    </w:p>
    <w:p w14:paraId="37BE28E4" w14:textId="77777777" w:rsidR="00ED2D2E" w:rsidRDefault="00ED2D2E" w:rsidP="00ED2D2E">
      <w:pPr>
        <w:spacing w:after="0" w:line="240" w:lineRule="auto"/>
        <w:ind w:hanging="2"/>
        <w:jc w:val="both"/>
        <w:rPr>
          <w:rFonts w:ascii="Times New Roman" w:eastAsia="Times New Roman" w:hAnsi="Times New Roman" w:cs="Times New Roman"/>
          <w:i/>
          <w:iCs/>
          <w:sz w:val="24"/>
          <w:szCs w:val="24"/>
        </w:rPr>
      </w:pPr>
    </w:p>
    <w:p w14:paraId="62A47FB3" w14:textId="77777777" w:rsidR="00C0600B" w:rsidRDefault="00EB1169" w:rsidP="00ED2D2E">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Binary logistic regression applied to identify the variables associated with the saving behaviour. In addition, the joint effect of all predictor variables on dependent variables is also determined by using the </w:t>
      </w:r>
      <w:proofErr w:type="spellStart"/>
      <w:r>
        <w:rPr>
          <w:rFonts w:ascii="Times New Roman" w:eastAsia="Times New Roman" w:hAnsi="Times New Roman" w:cs="Times New Roman"/>
          <w:sz w:val="24"/>
          <w:szCs w:val="24"/>
        </w:rPr>
        <w:t>Nagelkerke</w:t>
      </w:r>
      <w:proofErr w:type="spellEnd"/>
      <w:r>
        <w:rPr>
          <w:rFonts w:ascii="Times New Roman" w:eastAsia="Times New Roman" w:hAnsi="Times New Roman" w:cs="Times New Roman"/>
          <w:sz w:val="24"/>
          <w:szCs w:val="24"/>
        </w:rPr>
        <w:t xml:space="preserve"> R2 concept which is explained in the summary model. The most common assessment of the overall model fit in logistic regression is the probability ratio test, which is the difference when squared between the null model i.e., with constants only and the model contains a predictor. Based on table 3 below we can see the Model Summary that the Log -2 Probability statistic is 448.126. This shows how weakly the model predicts saving behaviour in the ok state, the smaller the value the better the model. Cox and Snell or </w:t>
      </w:r>
      <w:proofErr w:type="spellStart"/>
      <w:r>
        <w:rPr>
          <w:rFonts w:ascii="Times New Roman" w:eastAsia="Times New Roman" w:hAnsi="Times New Roman" w:cs="Times New Roman"/>
          <w:sz w:val="24"/>
          <w:szCs w:val="24"/>
        </w:rPr>
        <w:t>Nagelkerke</w:t>
      </w:r>
      <w:proofErr w:type="spellEnd"/>
      <w:r>
        <w:rPr>
          <w:rFonts w:ascii="Times New Roman" w:eastAsia="Times New Roman" w:hAnsi="Times New Roman" w:cs="Times New Roman"/>
          <w:sz w:val="24"/>
          <w:szCs w:val="24"/>
        </w:rPr>
        <w:t xml:space="preserve"> R2 are statistics analogous in logistic regression to the determination coefficient R2 in linear regression. The model summary provides some statistical R2 estimates in logistic regression.</w:t>
      </w:r>
    </w:p>
    <w:p w14:paraId="5BC3EFA2" w14:textId="77777777" w:rsidR="00C0600B" w:rsidRDefault="00C0600B" w:rsidP="00ED2D2E">
      <w:pPr>
        <w:spacing w:after="0" w:line="240" w:lineRule="auto"/>
        <w:ind w:hanging="2"/>
        <w:jc w:val="both"/>
        <w:rPr>
          <w:rFonts w:ascii="Times New Roman" w:eastAsia="Times New Roman" w:hAnsi="Times New Roman" w:cs="Times New Roman"/>
          <w:sz w:val="24"/>
          <w:szCs w:val="24"/>
        </w:rPr>
      </w:pPr>
    </w:p>
    <w:p w14:paraId="06CD127D" w14:textId="11068D36" w:rsidR="00C0600B" w:rsidRDefault="00EB1169" w:rsidP="00ED2D2E">
      <w:pPr>
        <w:widowControl w:val="0"/>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b/>
          <w:sz w:val="24"/>
          <w:szCs w:val="24"/>
        </w:rPr>
        <w:t>Table 7.</w:t>
      </w:r>
      <w:r>
        <w:rPr>
          <w:rFonts w:ascii="Times New Roman" w:eastAsia="Times New Roman" w:hAnsi="Times New Roman" w:cs="Times New Roman"/>
          <w:b/>
          <w:iCs/>
          <w:sz w:val="24"/>
          <w:szCs w:val="24"/>
        </w:rPr>
        <w:t xml:space="preserve"> </w:t>
      </w:r>
      <w:r w:rsidRPr="001E1E62">
        <w:rPr>
          <w:rFonts w:ascii="Times New Roman" w:eastAsia="Times New Roman" w:hAnsi="Times New Roman" w:cs="Times New Roman"/>
          <w:bCs/>
          <w:iCs/>
          <w:sz w:val="24"/>
          <w:szCs w:val="24"/>
        </w:rPr>
        <w:t xml:space="preserve">Model </w:t>
      </w:r>
      <w:r w:rsidR="00ED2D2E" w:rsidRPr="001E1E62">
        <w:rPr>
          <w:rFonts w:ascii="Times New Roman" w:eastAsia="Times New Roman" w:hAnsi="Times New Roman" w:cs="Times New Roman"/>
          <w:bCs/>
          <w:iCs/>
          <w:sz w:val="24"/>
          <w:szCs w:val="24"/>
        </w:rPr>
        <w:t>s</w:t>
      </w:r>
      <w:r w:rsidRPr="001E1E62">
        <w:rPr>
          <w:rFonts w:ascii="Times New Roman" w:eastAsia="Times New Roman" w:hAnsi="Times New Roman" w:cs="Times New Roman"/>
          <w:bCs/>
          <w:iCs/>
          <w:sz w:val="24"/>
          <w:szCs w:val="24"/>
        </w:rPr>
        <w:t>ummary</w:t>
      </w:r>
    </w:p>
    <w:p w14:paraId="044B09D3" w14:textId="77777777" w:rsidR="00C0600B" w:rsidRDefault="00C0600B" w:rsidP="00ED2D2E">
      <w:pPr>
        <w:widowControl w:val="0"/>
        <w:spacing w:after="0" w:line="240" w:lineRule="auto"/>
        <w:jc w:val="center"/>
        <w:rPr>
          <w:rFonts w:ascii="Times New Roman" w:eastAsia="Times New Roman" w:hAnsi="Times New Roman" w:cs="Times New Roman"/>
          <w:b/>
          <w:i/>
          <w:sz w:val="24"/>
          <w:szCs w:val="24"/>
        </w:rPr>
      </w:pPr>
    </w:p>
    <w:tbl>
      <w:tblPr>
        <w:tblStyle w:val="4"/>
        <w:tblW w:w="9350" w:type="dxa"/>
        <w:tblLayout w:type="fixed"/>
        <w:tblLook w:val="04A0" w:firstRow="1" w:lastRow="0" w:firstColumn="1" w:lastColumn="0" w:noHBand="0" w:noVBand="1"/>
      </w:tblPr>
      <w:tblGrid>
        <w:gridCol w:w="2337"/>
        <w:gridCol w:w="2199"/>
        <w:gridCol w:w="2476"/>
        <w:gridCol w:w="2338"/>
      </w:tblGrid>
      <w:tr w:rsidR="00C0600B" w14:paraId="1D1C2404" w14:textId="77777777" w:rsidTr="00FB3F45">
        <w:tc>
          <w:tcPr>
            <w:tcW w:w="2337" w:type="dxa"/>
            <w:tcBorders>
              <w:top w:val="single" w:sz="4" w:space="0" w:color="000000"/>
              <w:bottom w:val="single" w:sz="4" w:space="0" w:color="000000"/>
            </w:tcBorders>
            <w:shd w:val="clear" w:color="auto" w:fill="8DB3E2" w:themeFill="text2" w:themeFillTint="66"/>
          </w:tcPr>
          <w:p w14:paraId="4DC490E9" w14:textId="77777777" w:rsidR="00C0600B" w:rsidRPr="00567586" w:rsidRDefault="00EB1169" w:rsidP="001E1E62">
            <w:pPr>
              <w:spacing w:after="0" w:line="240" w:lineRule="auto"/>
              <w:ind w:firstLine="0"/>
              <w:jc w:val="center"/>
              <w:rPr>
                <w:rFonts w:ascii="Times New Roman" w:eastAsia="Times New Roman" w:hAnsi="Times New Roman" w:cs="Times New Roman"/>
                <w:b/>
                <w:sz w:val="24"/>
                <w:szCs w:val="24"/>
                <w:lang w:eastAsia="en-MY"/>
              </w:rPr>
            </w:pPr>
            <w:r w:rsidRPr="00567586">
              <w:rPr>
                <w:rFonts w:ascii="Times New Roman" w:eastAsia="Times New Roman" w:hAnsi="Times New Roman" w:cs="Times New Roman"/>
                <w:b/>
                <w:sz w:val="24"/>
                <w:szCs w:val="24"/>
                <w:lang w:eastAsia="en-MY"/>
              </w:rPr>
              <w:t>Model summary</w:t>
            </w:r>
          </w:p>
        </w:tc>
        <w:tc>
          <w:tcPr>
            <w:tcW w:w="2199" w:type="dxa"/>
            <w:tcBorders>
              <w:top w:val="single" w:sz="4" w:space="0" w:color="000000"/>
              <w:bottom w:val="single" w:sz="4" w:space="0" w:color="000000"/>
            </w:tcBorders>
            <w:shd w:val="clear" w:color="auto" w:fill="8DB3E2" w:themeFill="text2" w:themeFillTint="66"/>
          </w:tcPr>
          <w:p w14:paraId="08F80966" w14:textId="77777777" w:rsidR="00C0600B" w:rsidRPr="00567586" w:rsidRDefault="00C0600B" w:rsidP="001E1E62">
            <w:pPr>
              <w:spacing w:after="0" w:line="240" w:lineRule="auto"/>
              <w:ind w:firstLine="0"/>
              <w:jc w:val="center"/>
              <w:rPr>
                <w:rFonts w:ascii="Times New Roman" w:eastAsia="Times New Roman" w:hAnsi="Times New Roman" w:cs="Times New Roman"/>
                <w:b/>
                <w:sz w:val="24"/>
                <w:szCs w:val="24"/>
                <w:lang w:eastAsia="en-MY"/>
              </w:rPr>
            </w:pPr>
          </w:p>
        </w:tc>
        <w:tc>
          <w:tcPr>
            <w:tcW w:w="2476" w:type="dxa"/>
            <w:tcBorders>
              <w:top w:val="single" w:sz="4" w:space="0" w:color="000000"/>
              <w:bottom w:val="single" w:sz="4" w:space="0" w:color="000000"/>
            </w:tcBorders>
            <w:shd w:val="clear" w:color="auto" w:fill="8DB3E2" w:themeFill="text2" w:themeFillTint="66"/>
          </w:tcPr>
          <w:p w14:paraId="2E8D3DDC" w14:textId="77777777" w:rsidR="00C0600B" w:rsidRPr="00567586" w:rsidRDefault="00C0600B" w:rsidP="001E1E62">
            <w:pPr>
              <w:spacing w:after="0" w:line="240" w:lineRule="auto"/>
              <w:ind w:firstLine="0"/>
              <w:jc w:val="center"/>
              <w:rPr>
                <w:rFonts w:ascii="Times New Roman" w:eastAsia="Times New Roman" w:hAnsi="Times New Roman" w:cs="Times New Roman"/>
                <w:b/>
                <w:sz w:val="24"/>
                <w:szCs w:val="24"/>
                <w:lang w:eastAsia="en-MY"/>
              </w:rPr>
            </w:pPr>
          </w:p>
        </w:tc>
        <w:tc>
          <w:tcPr>
            <w:tcW w:w="2338" w:type="dxa"/>
            <w:tcBorders>
              <w:top w:val="single" w:sz="4" w:space="0" w:color="000000"/>
              <w:bottom w:val="single" w:sz="4" w:space="0" w:color="000000"/>
            </w:tcBorders>
            <w:shd w:val="clear" w:color="auto" w:fill="8DB3E2" w:themeFill="text2" w:themeFillTint="66"/>
          </w:tcPr>
          <w:p w14:paraId="7B8AF669" w14:textId="77777777" w:rsidR="00C0600B" w:rsidRPr="00567586" w:rsidRDefault="00C0600B" w:rsidP="001E1E62">
            <w:pPr>
              <w:spacing w:after="0" w:line="240" w:lineRule="auto"/>
              <w:ind w:firstLine="0"/>
              <w:jc w:val="center"/>
              <w:rPr>
                <w:rFonts w:ascii="Times New Roman" w:eastAsia="Times New Roman" w:hAnsi="Times New Roman" w:cs="Times New Roman"/>
                <w:b/>
                <w:sz w:val="24"/>
                <w:szCs w:val="24"/>
                <w:lang w:eastAsia="en-MY"/>
              </w:rPr>
            </w:pPr>
          </w:p>
        </w:tc>
      </w:tr>
      <w:tr w:rsidR="00C0600B" w14:paraId="70BF6C54" w14:textId="77777777" w:rsidTr="00FB3F45">
        <w:tc>
          <w:tcPr>
            <w:tcW w:w="2337" w:type="dxa"/>
            <w:tcBorders>
              <w:top w:val="single" w:sz="4" w:space="0" w:color="000000"/>
            </w:tcBorders>
          </w:tcPr>
          <w:p w14:paraId="5B9E6952" w14:textId="686B702F" w:rsidR="00C0600B" w:rsidRDefault="00EB1169" w:rsidP="001E1E62">
            <w:pPr>
              <w:spacing w:after="0" w:line="240" w:lineRule="auto"/>
              <w:ind w:firstLine="0"/>
              <w:jc w:val="center"/>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Step</w:t>
            </w:r>
          </w:p>
        </w:tc>
        <w:tc>
          <w:tcPr>
            <w:tcW w:w="2199" w:type="dxa"/>
            <w:tcBorders>
              <w:top w:val="single" w:sz="4" w:space="0" w:color="000000"/>
            </w:tcBorders>
          </w:tcPr>
          <w:p w14:paraId="673B4DA5" w14:textId="77777777" w:rsidR="00C0600B" w:rsidRDefault="00EB1169" w:rsidP="001E1E62">
            <w:pPr>
              <w:spacing w:after="0" w:line="240" w:lineRule="auto"/>
              <w:ind w:firstLine="0"/>
              <w:jc w:val="center"/>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 xml:space="preserve">-2 Log </w:t>
            </w:r>
            <w:proofErr w:type="spellStart"/>
            <w:r>
              <w:rPr>
                <w:rFonts w:ascii="Times New Roman" w:eastAsia="Times New Roman" w:hAnsi="Times New Roman" w:cs="Times New Roman"/>
                <w:sz w:val="24"/>
                <w:szCs w:val="24"/>
                <w:lang w:eastAsia="en-MY"/>
              </w:rPr>
              <w:t>Likehood</w:t>
            </w:r>
            <w:proofErr w:type="spellEnd"/>
          </w:p>
        </w:tc>
        <w:tc>
          <w:tcPr>
            <w:tcW w:w="2476" w:type="dxa"/>
            <w:tcBorders>
              <w:top w:val="single" w:sz="4" w:space="0" w:color="000000"/>
            </w:tcBorders>
          </w:tcPr>
          <w:p w14:paraId="691EB17E" w14:textId="77777777" w:rsidR="00C0600B" w:rsidRDefault="00EB1169" w:rsidP="001E1E62">
            <w:pPr>
              <w:spacing w:after="0" w:line="240" w:lineRule="auto"/>
              <w:ind w:firstLine="0"/>
              <w:jc w:val="center"/>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Cox &amp; Snell R Square</w:t>
            </w:r>
          </w:p>
        </w:tc>
        <w:tc>
          <w:tcPr>
            <w:tcW w:w="2338" w:type="dxa"/>
            <w:tcBorders>
              <w:top w:val="single" w:sz="4" w:space="0" w:color="000000"/>
            </w:tcBorders>
          </w:tcPr>
          <w:p w14:paraId="598C26F5" w14:textId="77777777" w:rsidR="00C0600B" w:rsidRDefault="00EB1169" w:rsidP="001E1E62">
            <w:pPr>
              <w:spacing w:after="0" w:line="240" w:lineRule="auto"/>
              <w:ind w:firstLine="0"/>
              <w:jc w:val="center"/>
              <w:rPr>
                <w:rFonts w:ascii="Times New Roman" w:eastAsia="Times New Roman" w:hAnsi="Times New Roman" w:cs="Times New Roman"/>
                <w:sz w:val="24"/>
                <w:szCs w:val="24"/>
                <w:lang w:eastAsia="en-MY"/>
              </w:rPr>
            </w:pPr>
            <w:proofErr w:type="spellStart"/>
            <w:r>
              <w:rPr>
                <w:rFonts w:ascii="Times New Roman" w:eastAsia="Times New Roman" w:hAnsi="Times New Roman" w:cs="Times New Roman"/>
                <w:sz w:val="24"/>
                <w:szCs w:val="24"/>
                <w:lang w:eastAsia="en-MY"/>
              </w:rPr>
              <w:t>Nagelkerke</w:t>
            </w:r>
            <w:proofErr w:type="spellEnd"/>
            <w:r>
              <w:rPr>
                <w:rFonts w:ascii="Times New Roman" w:eastAsia="Times New Roman" w:hAnsi="Times New Roman" w:cs="Times New Roman"/>
                <w:sz w:val="24"/>
                <w:szCs w:val="24"/>
                <w:lang w:eastAsia="en-MY"/>
              </w:rPr>
              <w:t xml:space="preserve"> R Square</w:t>
            </w:r>
          </w:p>
        </w:tc>
      </w:tr>
      <w:tr w:rsidR="00C0600B" w14:paraId="73C3786D" w14:textId="77777777" w:rsidTr="00FB3F45">
        <w:tc>
          <w:tcPr>
            <w:tcW w:w="2337" w:type="dxa"/>
            <w:tcBorders>
              <w:bottom w:val="single" w:sz="4" w:space="0" w:color="000000"/>
            </w:tcBorders>
          </w:tcPr>
          <w:p w14:paraId="7AABBEDC" w14:textId="77777777" w:rsidR="00C0600B" w:rsidRDefault="00EB1169" w:rsidP="001E1E62">
            <w:pPr>
              <w:spacing w:after="0" w:line="240" w:lineRule="auto"/>
              <w:ind w:firstLine="0"/>
              <w:jc w:val="center"/>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1</w:t>
            </w:r>
          </w:p>
        </w:tc>
        <w:tc>
          <w:tcPr>
            <w:tcW w:w="2199" w:type="dxa"/>
            <w:tcBorders>
              <w:bottom w:val="single" w:sz="4" w:space="0" w:color="000000"/>
            </w:tcBorders>
          </w:tcPr>
          <w:p w14:paraId="29C5F0F0" w14:textId="77777777" w:rsidR="00C0600B" w:rsidRDefault="00EB1169" w:rsidP="001E1E62">
            <w:pPr>
              <w:spacing w:after="0" w:line="240" w:lineRule="auto"/>
              <w:ind w:firstLine="0"/>
              <w:jc w:val="center"/>
              <w:rPr>
                <w:rFonts w:ascii="Times New Roman" w:eastAsia="Times New Roman" w:hAnsi="Times New Roman" w:cs="Times New Roman"/>
                <w:sz w:val="24"/>
                <w:szCs w:val="24"/>
                <w:vertAlign w:val="superscript"/>
                <w:lang w:eastAsia="en-MY"/>
              </w:rPr>
            </w:pPr>
            <w:r>
              <w:rPr>
                <w:rFonts w:ascii="Times New Roman" w:eastAsia="Times New Roman" w:hAnsi="Times New Roman" w:cs="Times New Roman"/>
                <w:sz w:val="24"/>
                <w:szCs w:val="24"/>
                <w:lang w:eastAsia="en-MY"/>
              </w:rPr>
              <w:t>448.126</w:t>
            </w:r>
            <w:r>
              <w:rPr>
                <w:rFonts w:ascii="Times New Roman" w:eastAsia="Times New Roman" w:hAnsi="Times New Roman" w:cs="Times New Roman"/>
                <w:sz w:val="24"/>
                <w:szCs w:val="24"/>
                <w:vertAlign w:val="superscript"/>
                <w:lang w:eastAsia="en-MY"/>
              </w:rPr>
              <w:t>a</w:t>
            </w:r>
          </w:p>
        </w:tc>
        <w:tc>
          <w:tcPr>
            <w:tcW w:w="2476" w:type="dxa"/>
            <w:tcBorders>
              <w:bottom w:val="single" w:sz="4" w:space="0" w:color="000000"/>
            </w:tcBorders>
          </w:tcPr>
          <w:p w14:paraId="29B8FA23" w14:textId="77777777" w:rsidR="00C0600B" w:rsidRDefault="00EB1169" w:rsidP="001E1E62">
            <w:pPr>
              <w:spacing w:after="0" w:line="240" w:lineRule="auto"/>
              <w:ind w:firstLine="0"/>
              <w:jc w:val="center"/>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0.068</w:t>
            </w:r>
          </w:p>
        </w:tc>
        <w:tc>
          <w:tcPr>
            <w:tcW w:w="2338" w:type="dxa"/>
            <w:tcBorders>
              <w:bottom w:val="single" w:sz="4" w:space="0" w:color="000000"/>
            </w:tcBorders>
          </w:tcPr>
          <w:p w14:paraId="3860C71D" w14:textId="77777777" w:rsidR="00C0600B" w:rsidRDefault="00EB1169" w:rsidP="001E1E62">
            <w:pPr>
              <w:spacing w:after="0" w:line="240" w:lineRule="auto"/>
              <w:ind w:firstLine="0"/>
              <w:jc w:val="center"/>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0.110</w:t>
            </w:r>
          </w:p>
        </w:tc>
      </w:tr>
    </w:tbl>
    <w:p w14:paraId="2CEFE615" w14:textId="77777777" w:rsidR="00C0600B" w:rsidRDefault="00C0600B" w:rsidP="00ED2D2E">
      <w:pPr>
        <w:spacing w:after="0" w:line="240" w:lineRule="auto"/>
        <w:jc w:val="both"/>
        <w:rPr>
          <w:rFonts w:ascii="Times New Roman" w:eastAsia="Times New Roman" w:hAnsi="Times New Roman" w:cs="Times New Roman"/>
          <w:sz w:val="24"/>
          <w:szCs w:val="24"/>
        </w:rPr>
      </w:pPr>
    </w:p>
    <w:p w14:paraId="0A5A9078" w14:textId="77777777" w:rsidR="00C0600B" w:rsidRDefault="00EB1169" w:rsidP="001E1E6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table 8, it shows that the P-value is 0.149 is smaller than the significance level at 5%. We can conclude that the data do not fit this model. Since the p-value is 0.149 we reject the null hypothesis.</w:t>
      </w:r>
    </w:p>
    <w:p w14:paraId="4F650118" w14:textId="77777777" w:rsidR="00C0600B" w:rsidRDefault="00C0600B" w:rsidP="00ED2D2E">
      <w:pPr>
        <w:spacing w:after="0" w:line="240" w:lineRule="auto"/>
        <w:jc w:val="both"/>
        <w:rPr>
          <w:rFonts w:ascii="Times New Roman" w:eastAsia="Times New Roman" w:hAnsi="Times New Roman" w:cs="Times New Roman"/>
          <w:sz w:val="24"/>
          <w:szCs w:val="24"/>
        </w:rPr>
      </w:pPr>
    </w:p>
    <w:p w14:paraId="70E7C3B7" w14:textId="77777777" w:rsidR="00C0600B" w:rsidRDefault="00C0600B">
      <w:pPr>
        <w:spacing w:after="0" w:line="240" w:lineRule="auto"/>
        <w:jc w:val="both"/>
        <w:rPr>
          <w:rFonts w:ascii="Times New Roman" w:eastAsia="Times New Roman" w:hAnsi="Times New Roman" w:cs="Times New Roman"/>
          <w:sz w:val="24"/>
          <w:szCs w:val="24"/>
        </w:rPr>
      </w:pPr>
    </w:p>
    <w:p w14:paraId="064C470F" w14:textId="77777777" w:rsidR="00C0600B" w:rsidRPr="001E1E62" w:rsidRDefault="00EB1169" w:rsidP="001E1E62">
      <w:pPr>
        <w:widowControl w:val="0"/>
        <w:spacing w:after="0" w:line="240" w:lineRule="auto"/>
        <w:jc w:val="center"/>
        <w:rPr>
          <w:rFonts w:ascii="Times New Roman" w:eastAsia="Times New Roman" w:hAnsi="Times New Roman" w:cs="Times New Roman"/>
          <w:b/>
          <w:sz w:val="24"/>
          <w:szCs w:val="24"/>
        </w:rPr>
      </w:pPr>
      <w:r w:rsidRPr="001E1E62">
        <w:rPr>
          <w:rFonts w:ascii="Times New Roman" w:eastAsia="Times New Roman" w:hAnsi="Times New Roman" w:cs="Times New Roman"/>
          <w:b/>
          <w:sz w:val="24"/>
          <w:szCs w:val="24"/>
        </w:rPr>
        <w:lastRenderedPageBreak/>
        <w:t xml:space="preserve">Table 8. </w:t>
      </w:r>
      <w:r w:rsidRPr="001E1E62">
        <w:rPr>
          <w:rFonts w:ascii="Times New Roman" w:eastAsia="Times New Roman" w:hAnsi="Times New Roman" w:cs="Times New Roman"/>
          <w:bCs/>
          <w:sz w:val="24"/>
          <w:szCs w:val="24"/>
        </w:rPr>
        <w:t>Model diagnostic</w:t>
      </w:r>
    </w:p>
    <w:p w14:paraId="374EBC6D" w14:textId="77777777" w:rsidR="00C0600B" w:rsidRPr="001E1E62" w:rsidRDefault="00C0600B" w:rsidP="001E1E62">
      <w:pPr>
        <w:widowControl w:val="0"/>
        <w:spacing w:after="0" w:line="240" w:lineRule="auto"/>
        <w:jc w:val="both"/>
        <w:rPr>
          <w:rFonts w:ascii="Times New Roman" w:eastAsia="Times New Roman" w:hAnsi="Times New Roman" w:cs="Times New Roman"/>
          <w:sz w:val="24"/>
          <w:szCs w:val="24"/>
        </w:rPr>
      </w:pPr>
    </w:p>
    <w:tbl>
      <w:tblPr>
        <w:tblStyle w:val="3"/>
        <w:tblW w:w="8363" w:type="dxa"/>
        <w:jc w:val="center"/>
        <w:tblLayout w:type="fixed"/>
        <w:tblLook w:val="04A0" w:firstRow="1" w:lastRow="0" w:firstColumn="1" w:lastColumn="0" w:noHBand="0" w:noVBand="1"/>
      </w:tblPr>
      <w:tblGrid>
        <w:gridCol w:w="2835"/>
        <w:gridCol w:w="1984"/>
        <w:gridCol w:w="1909"/>
        <w:gridCol w:w="1635"/>
      </w:tblGrid>
      <w:tr w:rsidR="00C0600B" w:rsidRPr="001E1E62" w14:paraId="00D49B4A" w14:textId="77777777" w:rsidTr="00FB3F45">
        <w:trPr>
          <w:jc w:val="center"/>
        </w:trPr>
        <w:tc>
          <w:tcPr>
            <w:tcW w:w="2835" w:type="dxa"/>
            <w:tcBorders>
              <w:top w:val="single" w:sz="4" w:space="0" w:color="000000"/>
              <w:bottom w:val="single" w:sz="4" w:space="0" w:color="000000"/>
            </w:tcBorders>
            <w:shd w:val="clear" w:color="auto" w:fill="8DB3E2" w:themeFill="text2" w:themeFillTint="66"/>
          </w:tcPr>
          <w:p w14:paraId="629F815B" w14:textId="77777777" w:rsidR="00C0600B" w:rsidRPr="00567586" w:rsidRDefault="00EB1169" w:rsidP="00ED5B39">
            <w:pPr>
              <w:spacing w:after="0" w:line="240" w:lineRule="auto"/>
              <w:ind w:firstLine="0"/>
              <w:jc w:val="center"/>
              <w:rPr>
                <w:rFonts w:ascii="Times New Roman" w:eastAsia="Times New Roman" w:hAnsi="Times New Roman" w:cs="Times New Roman"/>
                <w:b/>
                <w:sz w:val="24"/>
                <w:szCs w:val="24"/>
                <w:lang w:eastAsia="en-MY"/>
              </w:rPr>
            </w:pPr>
            <w:proofErr w:type="spellStart"/>
            <w:r w:rsidRPr="00567586">
              <w:rPr>
                <w:rFonts w:ascii="Times New Roman" w:eastAsia="Times New Roman" w:hAnsi="Times New Roman" w:cs="Times New Roman"/>
                <w:b/>
                <w:sz w:val="24"/>
                <w:szCs w:val="24"/>
                <w:lang w:eastAsia="en-MY"/>
              </w:rPr>
              <w:t>HosmerLemeshow</w:t>
            </w:r>
            <w:proofErr w:type="spellEnd"/>
            <w:r w:rsidRPr="00567586">
              <w:rPr>
                <w:rFonts w:ascii="Times New Roman" w:eastAsia="Times New Roman" w:hAnsi="Times New Roman" w:cs="Times New Roman"/>
                <w:b/>
                <w:sz w:val="24"/>
                <w:szCs w:val="24"/>
                <w:lang w:eastAsia="en-MY"/>
              </w:rPr>
              <w:t xml:space="preserve"> Teat</w:t>
            </w:r>
          </w:p>
        </w:tc>
        <w:tc>
          <w:tcPr>
            <w:tcW w:w="1984" w:type="dxa"/>
            <w:tcBorders>
              <w:top w:val="single" w:sz="4" w:space="0" w:color="000000"/>
              <w:bottom w:val="single" w:sz="4" w:space="0" w:color="000000"/>
            </w:tcBorders>
            <w:shd w:val="clear" w:color="auto" w:fill="8DB3E2" w:themeFill="text2" w:themeFillTint="66"/>
          </w:tcPr>
          <w:p w14:paraId="1C325F25" w14:textId="77777777" w:rsidR="00C0600B" w:rsidRPr="00567586" w:rsidRDefault="00C0600B" w:rsidP="00ED5B39">
            <w:pPr>
              <w:spacing w:after="0" w:line="240" w:lineRule="auto"/>
              <w:ind w:firstLine="0"/>
              <w:jc w:val="center"/>
              <w:rPr>
                <w:rFonts w:ascii="Times New Roman" w:eastAsia="Times New Roman" w:hAnsi="Times New Roman" w:cs="Times New Roman"/>
                <w:b/>
                <w:sz w:val="24"/>
                <w:szCs w:val="24"/>
                <w:lang w:eastAsia="en-MY"/>
              </w:rPr>
            </w:pPr>
          </w:p>
        </w:tc>
        <w:tc>
          <w:tcPr>
            <w:tcW w:w="1909" w:type="dxa"/>
            <w:tcBorders>
              <w:top w:val="single" w:sz="4" w:space="0" w:color="000000"/>
              <w:bottom w:val="single" w:sz="4" w:space="0" w:color="000000"/>
            </w:tcBorders>
            <w:shd w:val="clear" w:color="auto" w:fill="8DB3E2" w:themeFill="text2" w:themeFillTint="66"/>
          </w:tcPr>
          <w:p w14:paraId="5378D52C" w14:textId="77777777" w:rsidR="00C0600B" w:rsidRPr="00567586" w:rsidRDefault="00C0600B" w:rsidP="00ED5B39">
            <w:pPr>
              <w:spacing w:after="0" w:line="240" w:lineRule="auto"/>
              <w:ind w:firstLine="0"/>
              <w:jc w:val="center"/>
              <w:rPr>
                <w:rFonts w:ascii="Times New Roman" w:eastAsia="Times New Roman" w:hAnsi="Times New Roman" w:cs="Times New Roman"/>
                <w:b/>
                <w:sz w:val="24"/>
                <w:szCs w:val="24"/>
                <w:lang w:eastAsia="en-MY"/>
              </w:rPr>
            </w:pPr>
          </w:p>
        </w:tc>
        <w:tc>
          <w:tcPr>
            <w:tcW w:w="1635" w:type="dxa"/>
            <w:tcBorders>
              <w:top w:val="single" w:sz="4" w:space="0" w:color="000000"/>
              <w:bottom w:val="single" w:sz="4" w:space="0" w:color="000000"/>
            </w:tcBorders>
            <w:shd w:val="clear" w:color="auto" w:fill="8DB3E2" w:themeFill="text2" w:themeFillTint="66"/>
          </w:tcPr>
          <w:p w14:paraId="5D96E4CE" w14:textId="77777777" w:rsidR="00C0600B" w:rsidRPr="00567586" w:rsidRDefault="00C0600B" w:rsidP="00ED5B39">
            <w:pPr>
              <w:spacing w:after="0" w:line="240" w:lineRule="auto"/>
              <w:ind w:firstLine="0"/>
              <w:jc w:val="center"/>
              <w:rPr>
                <w:rFonts w:ascii="Times New Roman" w:eastAsia="Times New Roman" w:hAnsi="Times New Roman" w:cs="Times New Roman"/>
                <w:b/>
                <w:sz w:val="24"/>
                <w:szCs w:val="24"/>
                <w:lang w:eastAsia="en-MY"/>
              </w:rPr>
            </w:pPr>
          </w:p>
        </w:tc>
      </w:tr>
      <w:tr w:rsidR="00C0600B" w:rsidRPr="001E1E62" w14:paraId="4047E715" w14:textId="77777777" w:rsidTr="00FB3F45">
        <w:trPr>
          <w:jc w:val="center"/>
        </w:trPr>
        <w:tc>
          <w:tcPr>
            <w:tcW w:w="2835" w:type="dxa"/>
            <w:tcBorders>
              <w:top w:val="single" w:sz="4" w:space="0" w:color="000000"/>
            </w:tcBorders>
          </w:tcPr>
          <w:p w14:paraId="7756214C" w14:textId="77777777" w:rsidR="00C0600B" w:rsidRPr="001E1E62" w:rsidRDefault="00EB1169" w:rsidP="00ED5B39">
            <w:pPr>
              <w:spacing w:after="0" w:line="240" w:lineRule="auto"/>
              <w:ind w:firstLine="0"/>
              <w:jc w:val="center"/>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Step</w:t>
            </w:r>
          </w:p>
        </w:tc>
        <w:tc>
          <w:tcPr>
            <w:tcW w:w="1984" w:type="dxa"/>
            <w:tcBorders>
              <w:top w:val="single" w:sz="4" w:space="0" w:color="000000"/>
            </w:tcBorders>
          </w:tcPr>
          <w:p w14:paraId="3E486263" w14:textId="77777777" w:rsidR="00C0600B" w:rsidRPr="001E1E62" w:rsidRDefault="00EB1169" w:rsidP="00ED5B39">
            <w:pPr>
              <w:spacing w:after="0" w:line="240" w:lineRule="auto"/>
              <w:ind w:firstLine="0"/>
              <w:jc w:val="center"/>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Chi-square</w:t>
            </w:r>
          </w:p>
        </w:tc>
        <w:tc>
          <w:tcPr>
            <w:tcW w:w="1909" w:type="dxa"/>
            <w:tcBorders>
              <w:top w:val="single" w:sz="4" w:space="0" w:color="000000"/>
            </w:tcBorders>
          </w:tcPr>
          <w:p w14:paraId="79F3460E" w14:textId="77777777" w:rsidR="00C0600B" w:rsidRPr="001E1E62" w:rsidRDefault="00EB1169" w:rsidP="00ED5B39">
            <w:pPr>
              <w:spacing w:after="0" w:line="240" w:lineRule="auto"/>
              <w:ind w:firstLine="0"/>
              <w:jc w:val="center"/>
              <w:rPr>
                <w:rFonts w:ascii="Times New Roman" w:eastAsia="Times New Roman" w:hAnsi="Times New Roman" w:cs="Times New Roman"/>
                <w:sz w:val="24"/>
                <w:szCs w:val="24"/>
                <w:lang w:eastAsia="en-MY"/>
              </w:rPr>
            </w:pPr>
            <w:proofErr w:type="spellStart"/>
            <w:r w:rsidRPr="001E1E62">
              <w:rPr>
                <w:rFonts w:ascii="Times New Roman" w:eastAsia="Times New Roman" w:hAnsi="Times New Roman" w:cs="Times New Roman"/>
                <w:sz w:val="24"/>
                <w:szCs w:val="24"/>
                <w:lang w:eastAsia="en-MY"/>
              </w:rPr>
              <w:t>df</w:t>
            </w:r>
            <w:proofErr w:type="spellEnd"/>
          </w:p>
        </w:tc>
        <w:tc>
          <w:tcPr>
            <w:tcW w:w="1635" w:type="dxa"/>
            <w:tcBorders>
              <w:top w:val="single" w:sz="4" w:space="0" w:color="000000"/>
            </w:tcBorders>
          </w:tcPr>
          <w:p w14:paraId="04D37BFA" w14:textId="77777777" w:rsidR="00C0600B" w:rsidRPr="001E1E62" w:rsidRDefault="00EB1169" w:rsidP="00ED5B39">
            <w:pPr>
              <w:spacing w:after="0" w:line="240" w:lineRule="auto"/>
              <w:ind w:firstLine="0"/>
              <w:jc w:val="center"/>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Sig.</w:t>
            </w:r>
          </w:p>
        </w:tc>
      </w:tr>
      <w:tr w:rsidR="00C0600B" w:rsidRPr="001E1E62" w14:paraId="2A9C0727" w14:textId="77777777" w:rsidTr="00FB3F45">
        <w:trPr>
          <w:jc w:val="center"/>
        </w:trPr>
        <w:tc>
          <w:tcPr>
            <w:tcW w:w="2835" w:type="dxa"/>
            <w:tcBorders>
              <w:bottom w:val="single" w:sz="4" w:space="0" w:color="000000"/>
            </w:tcBorders>
          </w:tcPr>
          <w:p w14:paraId="2178F27D" w14:textId="77777777" w:rsidR="00C0600B" w:rsidRPr="001E1E62" w:rsidRDefault="00EB1169" w:rsidP="00ED5B39">
            <w:pPr>
              <w:spacing w:after="0" w:line="240" w:lineRule="auto"/>
              <w:ind w:firstLine="0"/>
              <w:jc w:val="center"/>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1</w:t>
            </w:r>
          </w:p>
        </w:tc>
        <w:tc>
          <w:tcPr>
            <w:tcW w:w="1984" w:type="dxa"/>
            <w:tcBorders>
              <w:bottom w:val="single" w:sz="4" w:space="0" w:color="000000"/>
            </w:tcBorders>
          </w:tcPr>
          <w:p w14:paraId="37FB616E" w14:textId="77777777" w:rsidR="00C0600B" w:rsidRPr="001E1E62" w:rsidRDefault="00EB1169" w:rsidP="00ED5B39">
            <w:pPr>
              <w:spacing w:after="0" w:line="240" w:lineRule="auto"/>
              <w:ind w:firstLine="0"/>
              <w:jc w:val="center"/>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12.043</w:t>
            </w:r>
          </w:p>
        </w:tc>
        <w:tc>
          <w:tcPr>
            <w:tcW w:w="1909" w:type="dxa"/>
            <w:tcBorders>
              <w:bottom w:val="single" w:sz="4" w:space="0" w:color="000000"/>
            </w:tcBorders>
          </w:tcPr>
          <w:p w14:paraId="41D57F65" w14:textId="77777777" w:rsidR="00C0600B" w:rsidRPr="001E1E62" w:rsidRDefault="00EB1169" w:rsidP="00ED5B39">
            <w:pPr>
              <w:spacing w:after="0" w:line="240" w:lineRule="auto"/>
              <w:ind w:firstLine="0"/>
              <w:jc w:val="center"/>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8</w:t>
            </w:r>
          </w:p>
        </w:tc>
        <w:tc>
          <w:tcPr>
            <w:tcW w:w="1635" w:type="dxa"/>
            <w:tcBorders>
              <w:bottom w:val="single" w:sz="4" w:space="0" w:color="000000"/>
            </w:tcBorders>
          </w:tcPr>
          <w:p w14:paraId="368515A4" w14:textId="77777777" w:rsidR="00C0600B" w:rsidRPr="001E1E62" w:rsidRDefault="00EB1169" w:rsidP="00ED5B39">
            <w:pPr>
              <w:spacing w:after="0" w:line="240" w:lineRule="auto"/>
              <w:ind w:firstLine="0"/>
              <w:jc w:val="center"/>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0.149</w:t>
            </w:r>
          </w:p>
        </w:tc>
      </w:tr>
    </w:tbl>
    <w:p w14:paraId="3ECB1D17" w14:textId="77777777" w:rsidR="00C0600B" w:rsidRPr="001E1E62" w:rsidRDefault="00C0600B" w:rsidP="001E1E62">
      <w:pPr>
        <w:spacing w:after="0" w:line="240" w:lineRule="auto"/>
        <w:jc w:val="both"/>
        <w:rPr>
          <w:rFonts w:ascii="Times New Roman" w:eastAsia="Times New Roman" w:hAnsi="Times New Roman" w:cs="Times New Roman"/>
          <w:sz w:val="24"/>
          <w:szCs w:val="24"/>
        </w:rPr>
      </w:pPr>
    </w:p>
    <w:p w14:paraId="1127BE7F" w14:textId="77777777" w:rsidR="00C0600B" w:rsidRPr="001E1E62" w:rsidRDefault="00EB1169" w:rsidP="001E1E62">
      <w:pPr>
        <w:widowControl w:val="0"/>
        <w:spacing w:after="0" w:line="240" w:lineRule="auto"/>
        <w:jc w:val="center"/>
        <w:rPr>
          <w:rFonts w:ascii="Times New Roman" w:eastAsia="Times New Roman" w:hAnsi="Times New Roman" w:cs="Times New Roman"/>
          <w:b/>
          <w:sz w:val="24"/>
          <w:szCs w:val="24"/>
        </w:rPr>
      </w:pPr>
      <w:r w:rsidRPr="001E1E62">
        <w:rPr>
          <w:rFonts w:ascii="Times New Roman" w:eastAsia="Times New Roman" w:hAnsi="Times New Roman" w:cs="Times New Roman"/>
          <w:b/>
          <w:sz w:val="24"/>
          <w:szCs w:val="24"/>
        </w:rPr>
        <w:t xml:space="preserve">Table 9. </w:t>
      </w:r>
      <w:r w:rsidRPr="00ED5B39">
        <w:rPr>
          <w:rFonts w:ascii="Times New Roman" w:eastAsia="Times New Roman" w:hAnsi="Times New Roman" w:cs="Times New Roman"/>
          <w:bCs/>
          <w:sz w:val="24"/>
          <w:szCs w:val="24"/>
        </w:rPr>
        <w:t>Binary logistic regression model result</w:t>
      </w:r>
    </w:p>
    <w:p w14:paraId="3CC3B806" w14:textId="77777777" w:rsidR="00C0600B" w:rsidRPr="001E1E62" w:rsidRDefault="00C0600B" w:rsidP="001E1E62">
      <w:pPr>
        <w:widowControl w:val="0"/>
        <w:spacing w:after="0" w:line="240" w:lineRule="auto"/>
        <w:jc w:val="center"/>
        <w:rPr>
          <w:rFonts w:ascii="Times New Roman" w:eastAsia="Times New Roman" w:hAnsi="Times New Roman" w:cs="Times New Roman"/>
          <w:sz w:val="24"/>
          <w:szCs w:val="24"/>
        </w:rPr>
      </w:pPr>
    </w:p>
    <w:tbl>
      <w:tblPr>
        <w:tblStyle w:val="2"/>
        <w:tblW w:w="8510" w:type="dxa"/>
        <w:jc w:val="center"/>
        <w:tblLayout w:type="fixed"/>
        <w:tblLook w:val="04A0" w:firstRow="1" w:lastRow="0" w:firstColumn="1" w:lastColumn="0" w:noHBand="0" w:noVBand="1"/>
      </w:tblPr>
      <w:tblGrid>
        <w:gridCol w:w="2553"/>
        <w:gridCol w:w="909"/>
        <w:gridCol w:w="1261"/>
        <w:gridCol w:w="1263"/>
        <w:gridCol w:w="1263"/>
        <w:gridCol w:w="1261"/>
      </w:tblGrid>
      <w:tr w:rsidR="00C0600B" w:rsidRPr="001E1E62" w14:paraId="2A680C21" w14:textId="77777777" w:rsidTr="00ED5B39">
        <w:trPr>
          <w:trHeight w:val="276"/>
          <w:jc w:val="center"/>
        </w:trPr>
        <w:tc>
          <w:tcPr>
            <w:tcW w:w="2553" w:type="dxa"/>
            <w:tcBorders>
              <w:top w:val="single" w:sz="4" w:space="0" w:color="auto"/>
              <w:bottom w:val="single" w:sz="4" w:space="0" w:color="auto"/>
            </w:tcBorders>
            <w:shd w:val="clear" w:color="auto" w:fill="8DB3E2" w:themeFill="text2" w:themeFillTint="66"/>
          </w:tcPr>
          <w:p w14:paraId="3B778643" w14:textId="77777777" w:rsidR="00C0600B" w:rsidRPr="00ED5B39" w:rsidRDefault="00C0600B" w:rsidP="001E1E62">
            <w:pPr>
              <w:spacing w:after="0" w:line="240" w:lineRule="auto"/>
              <w:ind w:firstLine="0"/>
              <w:jc w:val="both"/>
              <w:rPr>
                <w:rFonts w:ascii="Times New Roman" w:eastAsia="Times New Roman" w:hAnsi="Times New Roman" w:cs="Times New Roman"/>
                <w:b/>
                <w:bCs/>
                <w:sz w:val="24"/>
                <w:szCs w:val="24"/>
                <w:lang w:eastAsia="en-MY"/>
              </w:rPr>
            </w:pPr>
          </w:p>
        </w:tc>
        <w:tc>
          <w:tcPr>
            <w:tcW w:w="909" w:type="dxa"/>
            <w:tcBorders>
              <w:top w:val="single" w:sz="4" w:space="0" w:color="auto"/>
              <w:bottom w:val="single" w:sz="4" w:space="0" w:color="auto"/>
            </w:tcBorders>
            <w:shd w:val="clear" w:color="auto" w:fill="8DB3E2" w:themeFill="text2" w:themeFillTint="66"/>
          </w:tcPr>
          <w:p w14:paraId="73668823" w14:textId="77777777" w:rsidR="00C0600B" w:rsidRPr="00ED5B39" w:rsidRDefault="00EB1169" w:rsidP="001E1E62">
            <w:pPr>
              <w:spacing w:after="0" w:line="240" w:lineRule="auto"/>
              <w:ind w:firstLine="0"/>
              <w:jc w:val="center"/>
              <w:rPr>
                <w:rFonts w:ascii="Times New Roman" w:eastAsia="Times New Roman" w:hAnsi="Times New Roman" w:cs="Times New Roman"/>
                <w:b/>
                <w:bCs/>
                <w:sz w:val="24"/>
                <w:szCs w:val="24"/>
                <w:lang w:eastAsia="en-MY"/>
              </w:rPr>
            </w:pPr>
            <w:r w:rsidRPr="00ED5B39">
              <w:rPr>
                <w:rFonts w:ascii="Times New Roman" w:eastAsia="Times New Roman" w:hAnsi="Times New Roman" w:cs="Times New Roman"/>
                <w:b/>
                <w:bCs/>
                <w:sz w:val="24"/>
                <w:szCs w:val="24"/>
                <w:lang w:eastAsia="en-MY"/>
              </w:rPr>
              <w:t>B</w:t>
            </w:r>
          </w:p>
        </w:tc>
        <w:tc>
          <w:tcPr>
            <w:tcW w:w="1261" w:type="dxa"/>
            <w:tcBorders>
              <w:top w:val="single" w:sz="4" w:space="0" w:color="auto"/>
              <w:bottom w:val="single" w:sz="4" w:space="0" w:color="auto"/>
            </w:tcBorders>
            <w:shd w:val="clear" w:color="auto" w:fill="8DB3E2" w:themeFill="text2" w:themeFillTint="66"/>
          </w:tcPr>
          <w:p w14:paraId="3F8191B6" w14:textId="77777777" w:rsidR="00C0600B" w:rsidRPr="00ED5B39" w:rsidRDefault="00EB1169" w:rsidP="001E1E62">
            <w:pPr>
              <w:spacing w:after="0" w:line="240" w:lineRule="auto"/>
              <w:ind w:firstLine="0"/>
              <w:jc w:val="center"/>
              <w:rPr>
                <w:rFonts w:ascii="Times New Roman" w:eastAsia="Times New Roman" w:hAnsi="Times New Roman" w:cs="Times New Roman"/>
                <w:b/>
                <w:bCs/>
                <w:sz w:val="24"/>
                <w:szCs w:val="24"/>
                <w:lang w:eastAsia="en-MY"/>
              </w:rPr>
            </w:pPr>
            <w:r w:rsidRPr="00ED5B39">
              <w:rPr>
                <w:rFonts w:ascii="Times New Roman" w:eastAsia="Times New Roman" w:hAnsi="Times New Roman" w:cs="Times New Roman"/>
                <w:b/>
                <w:bCs/>
                <w:sz w:val="24"/>
                <w:szCs w:val="24"/>
                <w:lang w:eastAsia="en-MY"/>
              </w:rPr>
              <w:t>S.E.</w:t>
            </w:r>
          </w:p>
        </w:tc>
        <w:tc>
          <w:tcPr>
            <w:tcW w:w="1263" w:type="dxa"/>
            <w:tcBorders>
              <w:top w:val="single" w:sz="4" w:space="0" w:color="auto"/>
              <w:bottom w:val="single" w:sz="4" w:space="0" w:color="auto"/>
            </w:tcBorders>
            <w:shd w:val="clear" w:color="auto" w:fill="8DB3E2" w:themeFill="text2" w:themeFillTint="66"/>
          </w:tcPr>
          <w:p w14:paraId="68BFDBA4" w14:textId="77777777" w:rsidR="00C0600B" w:rsidRPr="00ED5B39" w:rsidRDefault="00EB1169" w:rsidP="001E1E62">
            <w:pPr>
              <w:spacing w:after="0" w:line="240" w:lineRule="auto"/>
              <w:ind w:firstLine="0"/>
              <w:jc w:val="center"/>
              <w:rPr>
                <w:rFonts w:ascii="Times New Roman" w:eastAsia="Times New Roman" w:hAnsi="Times New Roman" w:cs="Times New Roman"/>
                <w:b/>
                <w:bCs/>
                <w:sz w:val="24"/>
                <w:szCs w:val="24"/>
                <w:lang w:eastAsia="en-MY"/>
              </w:rPr>
            </w:pPr>
            <w:r w:rsidRPr="00ED5B39">
              <w:rPr>
                <w:rFonts w:ascii="Times New Roman" w:eastAsia="Times New Roman" w:hAnsi="Times New Roman" w:cs="Times New Roman"/>
                <w:b/>
                <w:bCs/>
                <w:sz w:val="24"/>
                <w:szCs w:val="24"/>
                <w:lang w:eastAsia="en-MY"/>
              </w:rPr>
              <w:t>Wald</w:t>
            </w:r>
          </w:p>
        </w:tc>
        <w:tc>
          <w:tcPr>
            <w:tcW w:w="1263" w:type="dxa"/>
            <w:tcBorders>
              <w:top w:val="single" w:sz="4" w:space="0" w:color="auto"/>
              <w:bottom w:val="single" w:sz="4" w:space="0" w:color="auto"/>
            </w:tcBorders>
            <w:shd w:val="clear" w:color="auto" w:fill="8DB3E2" w:themeFill="text2" w:themeFillTint="66"/>
          </w:tcPr>
          <w:p w14:paraId="235A0B54" w14:textId="77777777" w:rsidR="00C0600B" w:rsidRPr="00ED5B39" w:rsidRDefault="00EB1169" w:rsidP="001E1E62">
            <w:pPr>
              <w:spacing w:after="0" w:line="240" w:lineRule="auto"/>
              <w:ind w:firstLine="0"/>
              <w:jc w:val="center"/>
              <w:rPr>
                <w:rFonts w:ascii="Times New Roman" w:eastAsia="Times New Roman" w:hAnsi="Times New Roman" w:cs="Times New Roman"/>
                <w:b/>
                <w:bCs/>
                <w:sz w:val="24"/>
                <w:szCs w:val="24"/>
                <w:lang w:eastAsia="en-MY"/>
              </w:rPr>
            </w:pPr>
            <w:r w:rsidRPr="00ED5B39">
              <w:rPr>
                <w:rFonts w:ascii="Times New Roman" w:eastAsia="Times New Roman" w:hAnsi="Times New Roman" w:cs="Times New Roman"/>
                <w:b/>
                <w:bCs/>
                <w:sz w:val="24"/>
                <w:szCs w:val="24"/>
                <w:lang w:eastAsia="en-MY"/>
              </w:rPr>
              <w:t>Sig</w:t>
            </w:r>
          </w:p>
        </w:tc>
        <w:tc>
          <w:tcPr>
            <w:tcW w:w="1261" w:type="dxa"/>
            <w:tcBorders>
              <w:top w:val="single" w:sz="4" w:space="0" w:color="auto"/>
              <w:bottom w:val="single" w:sz="4" w:space="0" w:color="auto"/>
            </w:tcBorders>
            <w:shd w:val="clear" w:color="auto" w:fill="8DB3E2" w:themeFill="text2" w:themeFillTint="66"/>
          </w:tcPr>
          <w:p w14:paraId="50716CCE" w14:textId="77777777" w:rsidR="00C0600B" w:rsidRPr="00ED5B39" w:rsidRDefault="00EB1169" w:rsidP="001E1E62">
            <w:pPr>
              <w:spacing w:after="0" w:line="240" w:lineRule="auto"/>
              <w:ind w:firstLine="0"/>
              <w:jc w:val="center"/>
              <w:rPr>
                <w:rFonts w:ascii="Times New Roman" w:eastAsia="Times New Roman" w:hAnsi="Times New Roman" w:cs="Times New Roman"/>
                <w:b/>
                <w:bCs/>
                <w:sz w:val="24"/>
                <w:szCs w:val="24"/>
                <w:lang w:eastAsia="en-MY"/>
              </w:rPr>
            </w:pPr>
            <w:proofErr w:type="spellStart"/>
            <w:r w:rsidRPr="00ED5B39">
              <w:rPr>
                <w:rFonts w:ascii="Times New Roman" w:eastAsia="Times New Roman" w:hAnsi="Times New Roman" w:cs="Times New Roman"/>
                <w:b/>
                <w:bCs/>
                <w:sz w:val="24"/>
                <w:szCs w:val="24"/>
                <w:lang w:eastAsia="en-MY"/>
              </w:rPr>
              <w:t>Exp</w:t>
            </w:r>
            <w:proofErr w:type="spellEnd"/>
            <w:r w:rsidRPr="00ED5B39">
              <w:rPr>
                <w:rFonts w:ascii="Times New Roman" w:eastAsia="Times New Roman" w:hAnsi="Times New Roman" w:cs="Times New Roman"/>
                <w:b/>
                <w:bCs/>
                <w:sz w:val="24"/>
                <w:szCs w:val="24"/>
                <w:lang w:eastAsia="en-MY"/>
              </w:rPr>
              <w:t xml:space="preserve"> (B)</w:t>
            </w:r>
          </w:p>
        </w:tc>
      </w:tr>
      <w:tr w:rsidR="00C0600B" w:rsidRPr="001E1E62" w14:paraId="47E4BE44" w14:textId="77777777" w:rsidTr="00ED5B39">
        <w:trPr>
          <w:trHeight w:val="276"/>
          <w:jc w:val="center"/>
        </w:trPr>
        <w:tc>
          <w:tcPr>
            <w:tcW w:w="2553" w:type="dxa"/>
            <w:tcBorders>
              <w:top w:val="single" w:sz="4" w:space="0" w:color="auto"/>
            </w:tcBorders>
          </w:tcPr>
          <w:p w14:paraId="74A61A0A" w14:textId="77777777" w:rsidR="00C0600B" w:rsidRPr="001E1E62" w:rsidRDefault="00EB1169" w:rsidP="001E1E62">
            <w:pPr>
              <w:spacing w:after="0" w:line="240" w:lineRule="auto"/>
              <w:ind w:firstLine="0"/>
              <w:jc w:val="both"/>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Gender</w:t>
            </w:r>
          </w:p>
        </w:tc>
        <w:tc>
          <w:tcPr>
            <w:tcW w:w="909" w:type="dxa"/>
            <w:tcBorders>
              <w:top w:val="single" w:sz="4" w:space="0" w:color="auto"/>
            </w:tcBorders>
          </w:tcPr>
          <w:p w14:paraId="2341D97C" w14:textId="77777777" w:rsidR="00C0600B" w:rsidRPr="001E1E62" w:rsidRDefault="00EB1169" w:rsidP="001E1E62">
            <w:pPr>
              <w:spacing w:after="0" w:line="240" w:lineRule="auto"/>
              <w:ind w:firstLine="0"/>
              <w:jc w:val="center"/>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-0.239</w:t>
            </w:r>
          </w:p>
        </w:tc>
        <w:tc>
          <w:tcPr>
            <w:tcW w:w="1261" w:type="dxa"/>
            <w:tcBorders>
              <w:top w:val="single" w:sz="4" w:space="0" w:color="auto"/>
            </w:tcBorders>
          </w:tcPr>
          <w:p w14:paraId="30413A99" w14:textId="77777777" w:rsidR="00C0600B" w:rsidRPr="001E1E62" w:rsidRDefault="00EB1169" w:rsidP="001E1E62">
            <w:pPr>
              <w:spacing w:after="0" w:line="240" w:lineRule="auto"/>
              <w:ind w:firstLine="0"/>
              <w:jc w:val="center"/>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0.247</w:t>
            </w:r>
          </w:p>
        </w:tc>
        <w:tc>
          <w:tcPr>
            <w:tcW w:w="1263" w:type="dxa"/>
            <w:tcBorders>
              <w:top w:val="single" w:sz="4" w:space="0" w:color="auto"/>
            </w:tcBorders>
          </w:tcPr>
          <w:p w14:paraId="5171BD2C" w14:textId="77777777" w:rsidR="00C0600B" w:rsidRPr="001E1E62" w:rsidRDefault="00EB1169" w:rsidP="001E1E62">
            <w:pPr>
              <w:spacing w:after="0" w:line="240" w:lineRule="auto"/>
              <w:ind w:firstLine="0"/>
              <w:jc w:val="center"/>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0.936</w:t>
            </w:r>
          </w:p>
        </w:tc>
        <w:tc>
          <w:tcPr>
            <w:tcW w:w="1263" w:type="dxa"/>
            <w:tcBorders>
              <w:top w:val="single" w:sz="4" w:space="0" w:color="auto"/>
            </w:tcBorders>
          </w:tcPr>
          <w:p w14:paraId="137326AA" w14:textId="77777777" w:rsidR="00C0600B" w:rsidRPr="001E1E62" w:rsidRDefault="00EB1169" w:rsidP="001E1E62">
            <w:pPr>
              <w:spacing w:after="0" w:line="240" w:lineRule="auto"/>
              <w:ind w:firstLine="0"/>
              <w:jc w:val="center"/>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0.333</w:t>
            </w:r>
          </w:p>
        </w:tc>
        <w:tc>
          <w:tcPr>
            <w:tcW w:w="1261" w:type="dxa"/>
            <w:tcBorders>
              <w:top w:val="single" w:sz="4" w:space="0" w:color="auto"/>
            </w:tcBorders>
          </w:tcPr>
          <w:p w14:paraId="439F0DE4" w14:textId="77777777" w:rsidR="00C0600B" w:rsidRPr="001E1E62" w:rsidRDefault="00EB1169" w:rsidP="001E1E62">
            <w:pPr>
              <w:spacing w:after="0" w:line="240" w:lineRule="auto"/>
              <w:ind w:firstLine="0"/>
              <w:jc w:val="center"/>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0.788</w:t>
            </w:r>
          </w:p>
        </w:tc>
      </w:tr>
      <w:tr w:rsidR="00C0600B" w:rsidRPr="001E1E62" w14:paraId="6738E8E4" w14:textId="77777777" w:rsidTr="00ED5B39">
        <w:trPr>
          <w:trHeight w:val="276"/>
          <w:jc w:val="center"/>
        </w:trPr>
        <w:tc>
          <w:tcPr>
            <w:tcW w:w="2553" w:type="dxa"/>
          </w:tcPr>
          <w:p w14:paraId="2D6419C3" w14:textId="77777777" w:rsidR="00C0600B" w:rsidRPr="001E1E62" w:rsidRDefault="00EB1169" w:rsidP="001E1E62">
            <w:pPr>
              <w:spacing w:after="0" w:line="240" w:lineRule="auto"/>
              <w:ind w:firstLine="0"/>
              <w:jc w:val="both"/>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Ethnic</w:t>
            </w:r>
          </w:p>
        </w:tc>
        <w:tc>
          <w:tcPr>
            <w:tcW w:w="909" w:type="dxa"/>
          </w:tcPr>
          <w:p w14:paraId="743D0642" w14:textId="77777777" w:rsidR="00C0600B" w:rsidRPr="001E1E62" w:rsidRDefault="00EB1169" w:rsidP="001E1E62">
            <w:pPr>
              <w:spacing w:after="0" w:line="240" w:lineRule="auto"/>
              <w:ind w:firstLine="0"/>
              <w:jc w:val="center"/>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0.281</w:t>
            </w:r>
          </w:p>
        </w:tc>
        <w:tc>
          <w:tcPr>
            <w:tcW w:w="1261" w:type="dxa"/>
          </w:tcPr>
          <w:p w14:paraId="6426098F" w14:textId="77777777" w:rsidR="00C0600B" w:rsidRPr="001E1E62" w:rsidRDefault="00EB1169" w:rsidP="001E1E62">
            <w:pPr>
              <w:spacing w:after="0" w:line="240" w:lineRule="auto"/>
              <w:ind w:firstLine="0"/>
              <w:jc w:val="center"/>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0.191</w:t>
            </w:r>
          </w:p>
        </w:tc>
        <w:tc>
          <w:tcPr>
            <w:tcW w:w="1263" w:type="dxa"/>
          </w:tcPr>
          <w:p w14:paraId="2249AF42" w14:textId="77777777" w:rsidR="00C0600B" w:rsidRPr="001E1E62" w:rsidRDefault="00EB1169" w:rsidP="001E1E62">
            <w:pPr>
              <w:spacing w:after="0" w:line="240" w:lineRule="auto"/>
              <w:ind w:firstLine="0"/>
              <w:jc w:val="center"/>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2.163</w:t>
            </w:r>
          </w:p>
        </w:tc>
        <w:tc>
          <w:tcPr>
            <w:tcW w:w="1263" w:type="dxa"/>
          </w:tcPr>
          <w:p w14:paraId="7FD53790" w14:textId="77777777" w:rsidR="00C0600B" w:rsidRPr="001E1E62" w:rsidRDefault="00EB1169" w:rsidP="001E1E62">
            <w:pPr>
              <w:spacing w:after="0" w:line="240" w:lineRule="auto"/>
              <w:ind w:firstLine="0"/>
              <w:jc w:val="center"/>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0.141</w:t>
            </w:r>
          </w:p>
        </w:tc>
        <w:tc>
          <w:tcPr>
            <w:tcW w:w="1261" w:type="dxa"/>
          </w:tcPr>
          <w:p w14:paraId="31C17F2E" w14:textId="77777777" w:rsidR="00C0600B" w:rsidRPr="001E1E62" w:rsidRDefault="00EB1169" w:rsidP="001E1E62">
            <w:pPr>
              <w:spacing w:after="0" w:line="240" w:lineRule="auto"/>
              <w:ind w:firstLine="0"/>
              <w:jc w:val="center"/>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1.324</w:t>
            </w:r>
          </w:p>
        </w:tc>
      </w:tr>
      <w:tr w:rsidR="00C0600B" w:rsidRPr="001E1E62" w14:paraId="76B57A6D" w14:textId="77777777" w:rsidTr="00ED5B39">
        <w:trPr>
          <w:trHeight w:val="276"/>
          <w:jc w:val="center"/>
        </w:trPr>
        <w:tc>
          <w:tcPr>
            <w:tcW w:w="2553" w:type="dxa"/>
          </w:tcPr>
          <w:p w14:paraId="0D4B6339" w14:textId="77777777" w:rsidR="00C0600B" w:rsidRPr="001E1E62" w:rsidRDefault="00EB1169" w:rsidP="001E1E62">
            <w:pPr>
              <w:spacing w:after="0" w:line="240" w:lineRule="auto"/>
              <w:ind w:firstLine="0"/>
              <w:jc w:val="both"/>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Residence area</w:t>
            </w:r>
          </w:p>
        </w:tc>
        <w:tc>
          <w:tcPr>
            <w:tcW w:w="909" w:type="dxa"/>
          </w:tcPr>
          <w:p w14:paraId="202A46DE" w14:textId="77777777" w:rsidR="00C0600B" w:rsidRPr="001E1E62" w:rsidRDefault="00EB1169" w:rsidP="001E1E62">
            <w:pPr>
              <w:spacing w:after="0" w:line="240" w:lineRule="auto"/>
              <w:ind w:firstLine="0"/>
              <w:jc w:val="center"/>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-0.041</w:t>
            </w:r>
          </w:p>
        </w:tc>
        <w:tc>
          <w:tcPr>
            <w:tcW w:w="1261" w:type="dxa"/>
          </w:tcPr>
          <w:p w14:paraId="10ED7F3A" w14:textId="77777777" w:rsidR="00C0600B" w:rsidRPr="001E1E62" w:rsidRDefault="00EB1169" w:rsidP="001E1E62">
            <w:pPr>
              <w:spacing w:after="0" w:line="240" w:lineRule="auto"/>
              <w:ind w:firstLine="0"/>
              <w:jc w:val="center"/>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0.324</w:t>
            </w:r>
          </w:p>
        </w:tc>
        <w:tc>
          <w:tcPr>
            <w:tcW w:w="1263" w:type="dxa"/>
          </w:tcPr>
          <w:p w14:paraId="02369FFA" w14:textId="77777777" w:rsidR="00C0600B" w:rsidRPr="001E1E62" w:rsidRDefault="00EB1169" w:rsidP="001E1E62">
            <w:pPr>
              <w:spacing w:after="0" w:line="240" w:lineRule="auto"/>
              <w:ind w:firstLine="0"/>
              <w:jc w:val="center"/>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0.016</w:t>
            </w:r>
          </w:p>
        </w:tc>
        <w:tc>
          <w:tcPr>
            <w:tcW w:w="1263" w:type="dxa"/>
          </w:tcPr>
          <w:p w14:paraId="04A3ED60" w14:textId="77777777" w:rsidR="00C0600B" w:rsidRPr="001E1E62" w:rsidRDefault="00EB1169" w:rsidP="001E1E62">
            <w:pPr>
              <w:spacing w:after="0" w:line="240" w:lineRule="auto"/>
              <w:ind w:firstLine="0"/>
              <w:jc w:val="center"/>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0.899</w:t>
            </w:r>
          </w:p>
        </w:tc>
        <w:tc>
          <w:tcPr>
            <w:tcW w:w="1261" w:type="dxa"/>
          </w:tcPr>
          <w:p w14:paraId="1FD62E28" w14:textId="77777777" w:rsidR="00C0600B" w:rsidRPr="001E1E62" w:rsidRDefault="00EB1169" w:rsidP="001E1E62">
            <w:pPr>
              <w:spacing w:after="0" w:line="240" w:lineRule="auto"/>
              <w:ind w:firstLine="0"/>
              <w:jc w:val="center"/>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0.959</w:t>
            </w:r>
          </w:p>
        </w:tc>
      </w:tr>
      <w:tr w:rsidR="00C0600B" w:rsidRPr="001E1E62" w14:paraId="4894856B" w14:textId="77777777" w:rsidTr="00ED5B39">
        <w:trPr>
          <w:trHeight w:val="237"/>
          <w:jc w:val="center"/>
        </w:trPr>
        <w:tc>
          <w:tcPr>
            <w:tcW w:w="2553" w:type="dxa"/>
          </w:tcPr>
          <w:p w14:paraId="2B26AA9D" w14:textId="77777777" w:rsidR="00C0600B" w:rsidRPr="001E1E62" w:rsidRDefault="00EB1169" w:rsidP="001E1E62">
            <w:pPr>
              <w:spacing w:after="0" w:line="240" w:lineRule="auto"/>
              <w:ind w:firstLine="0"/>
              <w:jc w:val="both"/>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Education level</w:t>
            </w:r>
          </w:p>
        </w:tc>
        <w:tc>
          <w:tcPr>
            <w:tcW w:w="909" w:type="dxa"/>
          </w:tcPr>
          <w:p w14:paraId="056C0069" w14:textId="77777777" w:rsidR="00C0600B" w:rsidRPr="001E1E62" w:rsidRDefault="00EB1169" w:rsidP="001E1E62">
            <w:pPr>
              <w:spacing w:after="0" w:line="240" w:lineRule="auto"/>
              <w:ind w:firstLine="0"/>
              <w:jc w:val="center"/>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-0.103</w:t>
            </w:r>
          </w:p>
        </w:tc>
        <w:tc>
          <w:tcPr>
            <w:tcW w:w="1261" w:type="dxa"/>
          </w:tcPr>
          <w:p w14:paraId="1B58788A" w14:textId="77777777" w:rsidR="00C0600B" w:rsidRPr="001E1E62" w:rsidRDefault="00EB1169" w:rsidP="001E1E62">
            <w:pPr>
              <w:spacing w:after="0" w:line="240" w:lineRule="auto"/>
              <w:ind w:firstLine="0"/>
              <w:jc w:val="center"/>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0.162</w:t>
            </w:r>
          </w:p>
        </w:tc>
        <w:tc>
          <w:tcPr>
            <w:tcW w:w="1263" w:type="dxa"/>
          </w:tcPr>
          <w:p w14:paraId="2C15090C" w14:textId="77777777" w:rsidR="00C0600B" w:rsidRPr="001E1E62" w:rsidRDefault="00EB1169" w:rsidP="001E1E62">
            <w:pPr>
              <w:spacing w:after="0" w:line="240" w:lineRule="auto"/>
              <w:ind w:firstLine="0"/>
              <w:jc w:val="center"/>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0.409</w:t>
            </w:r>
          </w:p>
        </w:tc>
        <w:tc>
          <w:tcPr>
            <w:tcW w:w="1263" w:type="dxa"/>
          </w:tcPr>
          <w:p w14:paraId="3E08CCB4" w14:textId="77777777" w:rsidR="00C0600B" w:rsidRPr="001E1E62" w:rsidRDefault="00EB1169" w:rsidP="001E1E62">
            <w:pPr>
              <w:spacing w:after="0" w:line="240" w:lineRule="auto"/>
              <w:ind w:firstLine="0"/>
              <w:jc w:val="center"/>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0.523</w:t>
            </w:r>
          </w:p>
        </w:tc>
        <w:tc>
          <w:tcPr>
            <w:tcW w:w="1261" w:type="dxa"/>
          </w:tcPr>
          <w:p w14:paraId="72A1E9D5" w14:textId="77777777" w:rsidR="00C0600B" w:rsidRPr="001E1E62" w:rsidRDefault="00EB1169" w:rsidP="001E1E62">
            <w:pPr>
              <w:spacing w:after="0" w:line="240" w:lineRule="auto"/>
              <w:ind w:firstLine="0"/>
              <w:jc w:val="center"/>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0.902</w:t>
            </w:r>
          </w:p>
        </w:tc>
      </w:tr>
      <w:tr w:rsidR="00C0600B" w:rsidRPr="001E1E62" w14:paraId="1447DF66" w14:textId="77777777" w:rsidTr="00ED5B39">
        <w:trPr>
          <w:trHeight w:val="276"/>
          <w:jc w:val="center"/>
        </w:trPr>
        <w:tc>
          <w:tcPr>
            <w:tcW w:w="2553" w:type="dxa"/>
          </w:tcPr>
          <w:p w14:paraId="04CF2939" w14:textId="77777777" w:rsidR="00C0600B" w:rsidRPr="001E1E62" w:rsidRDefault="00EB1169" w:rsidP="001E1E62">
            <w:pPr>
              <w:spacing w:after="0" w:line="240" w:lineRule="auto"/>
              <w:ind w:firstLine="0"/>
              <w:jc w:val="both"/>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Occupation</w:t>
            </w:r>
          </w:p>
        </w:tc>
        <w:tc>
          <w:tcPr>
            <w:tcW w:w="909" w:type="dxa"/>
          </w:tcPr>
          <w:p w14:paraId="1A6D30E6" w14:textId="77777777" w:rsidR="00C0600B" w:rsidRPr="001E1E62" w:rsidRDefault="00EB1169" w:rsidP="001E1E62">
            <w:pPr>
              <w:spacing w:after="0" w:line="240" w:lineRule="auto"/>
              <w:ind w:firstLine="0"/>
              <w:jc w:val="center"/>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0.510</w:t>
            </w:r>
          </w:p>
        </w:tc>
        <w:tc>
          <w:tcPr>
            <w:tcW w:w="1261" w:type="dxa"/>
          </w:tcPr>
          <w:p w14:paraId="69F99C14" w14:textId="77777777" w:rsidR="00C0600B" w:rsidRPr="001E1E62" w:rsidRDefault="00EB1169" w:rsidP="001E1E62">
            <w:pPr>
              <w:spacing w:after="0" w:line="240" w:lineRule="auto"/>
              <w:ind w:firstLine="0"/>
              <w:jc w:val="center"/>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0.125</w:t>
            </w:r>
          </w:p>
        </w:tc>
        <w:tc>
          <w:tcPr>
            <w:tcW w:w="1263" w:type="dxa"/>
          </w:tcPr>
          <w:p w14:paraId="27E591C5" w14:textId="77777777" w:rsidR="00C0600B" w:rsidRPr="001E1E62" w:rsidRDefault="00EB1169" w:rsidP="001E1E62">
            <w:pPr>
              <w:spacing w:after="0" w:line="240" w:lineRule="auto"/>
              <w:ind w:firstLine="0"/>
              <w:jc w:val="center"/>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16.563</w:t>
            </w:r>
          </w:p>
        </w:tc>
        <w:tc>
          <w:tcPr>
            <w:tcW w:w="1263" w:type="dxa"/>
          </w:tcPr>
          <w:p w14:paraId="2D15F8A0" w14:textId="77777777" w:rsidR="00C0600B" w:rsidRPr="001E1E62" w:rsidRDefault="00EB1169" w:rsidP="001E1E62">
            <w:pPr>
              <w:spacing w:after="0" w:line="240" w:lineRule="auto"/>
              <w:ind w:firstLine="0"/>
              <w:jc w:val="center"/>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&lt;0.001</w:t>
            </w:r>
          </w:p>
        </w:tc>
        <w:tc>
          <w:tcPr>
            <w:tcW w:w="1261" w:type="dxa"/>
          </w:tcPr>
          <w:p w14:paraId="3EEFE598" w14:textId="77777777" w:rsidR="00C0600B" w:rsidRPr="001E1E62" w:rsidRDefault="00EB1169" w:rsidP="001E1E62">
            <w:pPr>
              <w:spacing w:after="0" w:line="240" w:lineRule="auto"/>
              <w:ind w:firstLine="0"/>
              <w:jc w:val="center"/>
              <w:rPr>
                <w:rFonts w:ascii="Times New Roman" w:eastAsia="Times New Roman" w:hAnsi="Times New Roman" w:cs="Times New Roman"/>
                <w:bCs/>
                <w:sz w:val="24"/>
                <w:szCs w:val="24"/>
                <w:lang w:eastAsia="en-MY"/>
              </w:rPr>
            </w:pPr>
            <w:r w:rsidRPr="001E1E62">
              <w:rPr>
                <w:rFonts w:ascii="Times New Roman" w:eastAsia="Times New Roman" w:hAnsi="Times New Roman" w:cs="Times New Roman"/>
                <w:bCs/>
                <w:sz w:val="24"/>
                <w:szCs w:val="24"/>
                <w:lang w:eastAsia="en-MY"/>
              </w:rPr>
              <w:t>1.666</w:t>
            </w:r>
          </w:p>
        </w:tc>
      </w:tr>
      <w:tr w:rsidR="00C0600B" w:rsidRPr="001E1E62" w14:paraId="41EC503F" w14:textId="77777777" w:rsidTr="00ED5B39">
        <w:trPr>
          <w:trHeight w:val="276"/>
          <w:jc w:val="center"/>
        </w:trPr>
        <w:tc>
          <w:tcPr>
            <w:tcW w:w="2553" w:type="dxa"/>
          </w:tcPr>
          <w:p w14:paraId="2452041A" w14:textId="77777777" w:rsidR="00C0600B" w:rsidRPr="001E1E62" w:rsidRDefault="00EB1169" w:rsidP="001E1E62">
            <w:pPr>
              <w:spacing w:after="0" w:line="240" w:lineRule="auto"/>
              <w:ind w:firstLine="0"/>
              <w:jc w:val="both"/>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Income</w:t>
            </w:r>
          </w:p>
        </w:tc>
        <w:tc>
          <w:tcPr>
            <w:tcW w:w="909" w:type="dxa"/>
          </w:tcPr>
          <w:p w14:paraId="79742E30" w14:textId="77777777" w:rsidR="00C0600B" w:rsidRPr="001E1E62" w:rsidRDefault="00EB1169" w:rsidP="001E1E62">
            <w:pPr>
              <w:spacing w:after="0" w:line="240" w:lineRule="auto"/>
              <w:ind w:firstLine="0"/>
              <w:jc w:val="center"/>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-0.191</w:t>
            </w:r>
          </w:p>
        </w:tc>
        <w:tc>
          <w:tcPr>
            <w:tcW w:w="1261" w:type="dxa"/>
          </w:tcPr>
          <w:p w14:paraId="791CD1FB" w14:textId="77777777" w:rsidR="00C0600B" w:rsidRPr="001E1E62" w:rsidRDefault="00EB1169" w:rsidP="001E1E62">
            <w:pPr>
              <w:spacing w:after="0" w:line="240" w:lineRule="auto"/>
              <w:ind w:firstLine="0"/>
              <w:jc w:val="center"/>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0.103</w:t>
            </w:r>
          </w:p>
        </w:tc>
        <w:tc>
          <w:tcPr>
            <w:tcW w:w="1263" w:type="dxa"/>
          </w:tcPr>
          <w:p w14:paraId="61B095C6" w14:textId="77777777" w:rsidR="00C0600B" w:rsidRPr="001E1E62" w:rsidRDefault="00EB1169" w:rsidP="001E1E62">
            <w:pPr>
              <w:spacing w:after="0" w:line="240" w:lineRule="auto"/>
              <w:ind w:firstLine="0"/>
              <w:jc w:val="center"/>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3.443</w:t>
            </w:r>
          </w:p>
        </w:tc>
        <w:tc>
          <w:tcPr>
            <w:tcW w:w="1263" w:type="dxa"/>
          </w:tcPr>
          <w:p w14:paraId="4E6EB60E" w14:textId="77777777" w:rsidR="00C0600B" w:rsidRPr="001E1E62" w:rsidRDefault="00EB1169" w:rsidP="001E1E62">
            <w:pPr>
              <w:spacing w:after="0" w:line="240" w:lineRule="auto"/>
              <w:ind w:firstLine="0"/>
              <w:jc w:val="center"/>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0.064</w:t>
            </w:r>
          </w:p>
        </w:tc>
        <w:tc>
          <w:tcPr>
            <w:tcW w:w="1261" w:type="dxa"/>
          </w:tcPr>
          <w:p w14:paraId="084B0ADC" w14:textId="77777777" w:rsidR="00C0600B" w:rsidRPr="001E1E62" w:rsidRDefault="00EB1169" w:rsidP="001E1E62">
            <w:pPr>
              <w:spacing w:after="0" w:line="240" w:lineRule="auto"/>
              <w:ind w:firstLine="0"/>
              <w:jc w:val="center"/>
              <w:rPr>
                <w:rFonts w:ascii="Times New Roman" w:eastAsia="Times New Roman" w:hAnsi="Times New Roman" w:cs="Times New Roman"/>
                <w:bCs/>
                <w:sz w:val="24"/>
                <w:szCs w:val="24"/>
                <w:lang w:eastAsia="en-MY"/>
              </w:rPr>
            </w:pPr>
            <w:r w:rsidRPr="001E1E62">
              <w:rPr>
                <w:rFonts w:ascii="Times New Roman" w:eastAsia="Times New Roman" w:hAnsi="Times New Roman" w:cs="Times New Roman"/>
                <w:bCs/>
                <w:sz w:val="24"/>
                <w:szCs w:val="24"/>
                <w:lang w:eastAsia="en-MY"/>
              </w:rPr>
              <w:t>0.826</w:t>
            </w:r>
          </w:p>
        </w:tc>
      </w:tr>
      <w:tr w:rsidR="00C0600B" w:rsidRPr="001E1E62" w14:paraId="5B88ABD9" w14:textId="77777777" w:rsidTr="00ED5B39">
        <w:trPr>
          <w:trHeight w:val="276"/>
          <w:jc w:val="center"/>
        </w:trPr>
        <w:tc>
          <w:tcPr>
            <w:tcW w:w="2553" w:type="dxa"/>
          </w:tcPr>
          <w:p w14:paraId="21CF4ED0" w14:textId="77777777" w:rsidR="00C0600B" w:rsidRPr="001E1E62" w:rsidRDefault="00EB1169" w:rsidP="001E1E62">
            <w:pPr>
              <w:spacing w:after="0" w:line="240" w:lineRule="auto"/>
              <w:ind w:firstLine="0"/>
              <w:jc w:val="both"/>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Marital status</w:t>
            </w:r>
          </w:p>
        </w:tc>
        <w:tc>
          <w:tcPr>
            <w:tcW w:w="909" w:type="dxa"/>
          </w:tcPr>
          <w:p w14:paraId="290F57CF" w14:textId="77777777" w:rsidR="00C0600B" w:rsidRPr="001E1E62" w:rsidRDefault="00EB1169" w:rsidP="001E1E62">
            <w:pPr>
              <w:spacing w:after="0" w:line="240" w:lineRule="auto"/>
              <w:ind w:firstLine="0"/>
              <w:jc w:val="center"/>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0.872</w:t>
            </w:r>
          </w:p>
        </w:tc>
        <w:tc>
          <w:tcPr>
            <w:tcW w:w="1261" w:type="dxa"/>
          </w:tcPr>
          <w:p w14:paraId="4CA8564C" w14:textId="77777777" w:rsidR="00C0600B" w:rsidRPr="001E1E62" w:rsidRDefault="00EB1169" w:rsidP="001E1E62">
            <w:pPr>
              <w:spacing w:after="0" w:line="240" w:lineRule="auto"/>
              <w:ind w:firstLine="0"/>
              <w:jc w:val="center"/>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0.457</w:t>
            </w:r>
          </w:p>
        </w:tc>
        <w:tc>
          <w:tcPr>
            <w:tcW w:w="1263" w:type="dxa"/>
          </w:tcPr>
          <w:p w14:paraId="710380FE" w14:textId="77777777" w:rsidR="00C0600B" w:rsidRPr="001E1E62" w:rsidRDefault="00EB1169" w:rsidP="001E1E62">
            <w:pPr>
              <w:spacing w:after="0" w:line="240" w:lineRule="auto"/>
              <w:ind w:firstLine="0"/>
              <w:jc w:val="center"/>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3.642</w:t>
            </w:r>
          </w:p>
        </w:tc>
        <w:tc>
          <w:tcPr>
            <w:tcW w:w="1263" w:type="dxa"/>
          </w:tcPr>
          <w:p w14:paraId="2E7872E1" w14:textId="77777777" w:rsidR="00C0600B" w:rsidRPr="001E1E62" w:rsidRDefault="00EB1169" w:rsidP="001E1E62">
            <w:pPr>
              <w:spacing w:after="0" w:line="240" w:lineRule="auto"/>
              <w:ind w:firstLine="0"/>
              <w:jc w:val="center"/>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0.056</w:t>
            </w:r>
          </w:p>
        </w:tc>
        <w:tc>
          <w:tcPr>
            <w:tcW w:w="1261" w:type="dxa"/>
          </w:tcPr>
          <w:p w14:paraId="5DDBFD13" w14:textId="77777777" w:rsidR="00C0600B" w:rsidRPr="001E1E62" w:rsidRDefault="00EB1169" w:rsidP="001E1E62">
            <w:pPr>
              <w:spacing w:after="0" w:line="240" w:lineRule="auto"/>
              <w:ind w:firstLine="0"/>
              <w:jc w:val="center"/>
              <w:rPr>
                <w:rFonts w:ascii="Times New Roman" w:eastAsia="Times New Roman" w:hAnsi="Times New Roman" w:cs="Times New Roman"/>
                <w:bCs/>
                <w:sz w:val="24"/>
                <w:szCs w:val="24"/>
                <w:lang w:eastAsia="en-MY"/>
              </w:rPr>
            </w:pPr>
            <w:r w:rsidRPr="001E1E62">
              <w:rPr>
                <w:rFonts w:ascii="Times New Roman" w:eastAsia="Times New Roman" w:hAnsi="Times New Roman" w:cs="Times New Roman"/>
                <w:bCs/>
                <w:sz w:val="24"/>
                <w:szCs w:val="24"/>
                <w:lang w:eastAsia="en-MY"/>
              </w:rPr>
              <w:t>2.393</w:t>
            </w:r>
          </w:p>
        </w:tc>
      </w:tr>
      <w:tr w:rsidR="00C0600B" w:rsidRPr="001E1E62" w14:paraId="5B5ED075" w14:textId="77777777" w:rsidTr="00ED5B39">
        <w:trPr>
          <w:trHeight w:val="80"/>
          <w:jc w:val="center"/>
        </w:trPr>
        <w:tc>
          <w:tcPr>
            <w:tcW w:w="2553" w:type="dxa"/>
          </w:tcPr>
          <w:p w14:paraId="25359DE4" w14:textId="282448B0" w:rsidR="00C0600B" w:rsidRPr="001E1E62" w:rsidRDefault="00EB1169" w:rsidP="001E1E62">
            <w:pPr>
              <w:spacing w:after="0" w:line="240" w:lineRule="auto"/>
              <w:ind w:firstLine="0"/>
              <w:jc w:val="both"/>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 xml:space="preserve">Number of </w:t>
            </w:r>
            <w:r w:rsidR="00ED5B39">
              <w:rPr>
                <w:rFonts w:ascii="Times New Roman" w:eastAsia="Times New Roman" w:hAnsi="Times New Roman" w:cs="Times New Roman"/>
                <w:sz w:val="24"/>
                <w:szCs w:val="24"/>
                <w:lang w:eastAsia="en-MY"/>
              </w:rPr>
              <w:t>d</w:t>
            </w:r>
            <w:r w:rsidRPr="001E1E62">
              <w:rPr>
                <w:rFonts w:ascii="Times New Roman" w:eastAsia="Times New Roman" w:hAnsi="Times New Roman" w:cs="Times New Roman"/>
                <w:sz w:val="24"/>
                <w:szCs w:val="24"/>
                <w:lang w:eastAsia="en-MY"/>
              </w:rPr>
              <w:t>ependents</w:t>
            </w:r>
          </w:p>
        </w:tc>
        <w:tc>
          <w:tcPr>
            <w:tcW w:w="909" w:type="dxa"/>
          </w:tcPr>
          <w:p w14:paraId="14F7098D" w14:textId="77777777" w:rsidR="00C0600B" w:rsidRPr="001E1E62" w:rsidRDefault="00EB1169" w:rsidP="001E1E62">
            <w:pPr>
              <w:spacing w:after="0" w:line="240" w:lineRule="auto"/>
              <w:ind w:firstLine="0"/>
              <w:jc w:val="center"/>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0.107</w:t>
            </w:r>
          </w:p>
        </w:tc>
        <w:tc>
          <w:tcPr>
            <w:tcW w:w="1261" w:type="dxa"/>
          </w:tcPr>
          <w:p w14:paraId="643611E7" w14:textId="77777777" w:rsidR="00C0600B" w:rsidRPr="001E1E62" w:rsidRDefault="00EB1169" w:rsidP="001E1E62">
            <w:pPr>
              <w:spacing w:after="0" w:line="240" w:lineRule="auto"/>
              <w:ind w:firstLine="0"/>
              <w:jc w:val="center"/>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0.120</w:t>
            </w:r>
          </w:p>
        </w:tc>
        <w:tc>
          <w:tcPr>
            <w:tcW w:w="1263" w:type="dxa"/>
          </w:tcPr>
          <w:p w14:paraId="0959C727" w14:textId="77777777" w:rsidR="00C0600B" w:rsidRPr="001E1E62" w:rsidRDefault="00EB1169" w:rsidP="001E1E62">
            <w:pPr>
              <w:spacing w:after="0" w:line="240" w:lineRule="auto"/>
              <w:ind w:firstLine="0"/>
              <w:jc w:val="center"/>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0.802</w:t>
            </w:r>
          </w:p>
        </w:tc>
        <w:tc>
          <w:tcPr>
            <w:tcW w:w="1263" w:type="dxa"/>
          </w:tcPr>
          <w:p w14:paraId="5439DCC9" w14:textId="77777777" w:rsidR="00C0600B" w:rsidRPr="001E1E62" w:rsidRDefault="00EB1169" w:rsidP="001E1E62">
            <w:pPr>
              <w:spacing w:after="0" w:line="240" w:lineRule="auto"/>
              <w:ind w:firstLine="0"/>
              <w:jc w:val="center"/>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0.370</w:t>
            </w:r>
          </w:p>
        </w:tc>
        <w:tc>
          <w:tcPr>
            <w:tcW w:w="1261" w:type="dxa"/>
          </w:tcPr>
          <w:p w14:paraId="4AD7FF02" w14:textId="77777777" w:rsidR="00C0600B" w:rsidRPr="001E1E62" w:rsidRDefault="00EB1169" w:rsidP="001E1E62">
            <w:pPr>
              <w:spacing w:after="0" w:line="240" w:lineRule="auto"/>
              <w:ind w:firstLine="0"/>
              <w:jc w:val="center"/>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1.113</w:t>
            </w:r>
          </w:p>
        </w:tc>
      </w:tr>
      <w:tr w:rsidR="00C0600B" w:rsidRPr="001E1E62" w14:paraId="140C9A3B" w14:textId="77777777" w:rsidTr="00ED5B39">
        <w:trPr>
          <w:trHeight w:val="264"/>
          <w:jc w:val="center"/>
        </w:trPr>
        <w:tc>
          <w:tcPr>
            <w:tcW w:w="2553" w:type="dxa"/>
            <w:tcBorders>
              <w:bottom w:val="single" w:sz="4" w:space="0" w:color="auto"/>
            </w:tcBorders>
          </w:tcPr>
          <w:p w14:paraId="5F700573" w14:textId="77777777" w:rsidR="00C0600B" w:rsidRPr="001E1E62" w:rsidRDefault="00EB1169" w:rsidP="001E1E62">
            <w:pPr>
              <w:spacing w:after="0" w:line="240" w:lineRule="auto"/>
              <w:ind w:firstLine="0"/>
              <w:jc w:val="both"/>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Constant</w:t>
            </w:r>
          </w:p>
        </w:tc>
        <w:tc>
          <w:tcPr>
            <w:tcW w:w="909" w:type="dxa"/>
            <w:tcBorders>
              <w:bottom w:val="single" w:sz="4" w:space="0" w:color="auto"/>
            </w:tcBorders>
          </w:tcPr>
          <w:p w14:paraId="678DEAA9" w14:textId="77777777" w:rsidR="00C0600B" w:rsidRPr="001E1E62" w:rsidRDefault="00EB1169" w:rsidP="001E1E62">
            <w:pPr>
              <w:spacing w:after="0" w:line="240" w:lineRule="auto"/>
              <w:ind w:firstLine="0"/>
              <w:jc w:val="center"/>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-4.170</w:t>
            </w:r>
          </w:p>
        </w:tc>
        <w:tc>
          <w:tcPr>
            <w:tcW w:w="1261" w:type="dxa"/>
            <w:tcBorders>
              <w:bottom w:val="single" w:sz="4" w:space="0" w:color="auto"/>
            </w:tcBorders>
          </w:tcPr>
          <w:p w14:paraId="4A704616" w14:textId="77777777" w:rsidR="00C0600B" w:rsidRPr="001E1E62" w:rsidRDefault="00EB1169" w:rsidP="001E1E62">
            <w:pPr>
              <w:spacing w:after="0" w:line="240" w:lineRule="auto"/>
              <w:ind w:firstLine="0"/>
              <w:jc w:val="center"/>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1.245</w:t>
            </w:r>
          </w:p>
        </w:tc>
        <w:tc>
          <w:tcPr>
            <w:tcW w:w="1263" w:type="dxa"/>
            <w:tcBorders>
              <w:bottom w:val="single" w:sz="4" w:space="0" w:color="auto"/>
            </w:tcBorders>
          </w:tcPr>
          <w:p w14:paraId="503D9B06" w14:textId="77777777" w:rsidR="00C0600B" w:rsidRPr="001E1E62" w:rsidRDefault="00EB1169" w:rsidP="001E1E62">
            <w:pPr>
              <w:spacing w:after="0" w:line="240" w:lineRule="auto"/>
              <w:ind w:firstLine="0"/>
              <w:jc w:val="center"/>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11.216</w:t>
            </w:r>
          </w:p>
        </w:tc>
        <w:tc>
          <w:tcPr>
            <w:tcW w:w="1263" w:type="dxa"/>
            <w:tcBorders>
              <w:bottom w:val="single" w:sz="4" w:space="0" w:color="auto"/>
            </w:tcBorders>
          </w:tcPr>
          <w:p w14:paraId="667117A2" w14:textId="77777777" w:rsidR="00C0600B" w:rsidRPr="001E1E62" w:rsidRDefault="00EB1169" w:rsidP="001E1E62">
            <w:pPr>
              <w:spacing w:after="0" w:line="240" w:lineRule="auto"/>
              <w:ind w:firstLine="0"/>
              <w:jc w:val="center"/>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&lt;0.001</w:t>
            </w:r>
          </w:p>
        </w:tc>
        <w:tc>
          <w:tcPr>
            <w:tcW w:w="1261" w:type="dxa"/>
            <w:tcBorders>
              <w:bottom w:val="single" w:sz="4" w:space="0" w:color="auto"/>
            </w:tcBorders>
          </w:tcPr>
          <w:p w14:paraId="1BA4959E" w14:textId="77777777" w:rsidR="00C0600B" w:rsidRPr="001E1E62" w:rsidRDefault="00EB1169" w:rsidP="001E1E62">
            <w:pPr>
              <w:spacing w:after="0" w:line="240" w:lineRule="auto"/>
              <w:ind w:firstLine="0"/>
              <w:jc w:val="center"/>
              <w:rPr>
                <w:rFonts w:ascii="Times New Roman" w:eastAsia="Times New Roman" w:hAnsi="Times New Roman" w:cs="Times New Roman"/>
                <w:sz w:val="24"/>
                <w:szCs w:val="24"/>
                <w:lang w:eastAsia="en-MY"/>
              </w:rPr>
            </w:pPr>
            <w:r w:rsidRPr="001E1E62">
              <w:rPr>
                <w:rFonts w:ascii="Times New Roman" w:eastAsia="Times New Roman" w:hAnsi="Times New Roman" w:cs="Times New Roman"/>
                <w:sz w:val="24"/>
                <w:szCs w:val="24"/>
                <w:lang w:eastAsia="en-MY"/>
              </w:rPr>
              <w:t>0.012</w:t>
            </w:r>
          </w:p>
        </w:tc>
      </w:tr>
    </w:tbl>
    <w:p w14:paraId="42857604" w14:textId="77777777" w:rsidR="00C0600B" w:rsidRPr="001E1E62" w:rsidRDefault="00C0600B" w:rsidP="00ED5B39">
      <w:pPr>
        <w:spacing w:after="0" w:line="240" w:lineRule="auto"/>
        <w:jc w:val="both"/>
        <w:rPr>
          <w:rFonts w:ascii="Times New Roman" w:eastAsia="Times New Roman" w:hAnsi="Times New Roman" w:cs="Times New Roman"/>
          <w:sz w:val="24"/>
          <w:szCs w:val="24"/>
        </w:rPr>
      </w:pPr>
    </w:p>
    <w:p w14:paraId="150D5438" w14:textId="0274CC29" w:rsidR="00C0600B" w:rsidRPr="001E1E62" w:rsidRDefault="00EB1169" w:rsidP="00ED5B39">
      <w:pPr>
        <w:spacing w:after="0" w:line="240" w:lineRule="auto"/>
        <w:ind w:firstLine="720"/>
        <w:jc w:val="both"/>
        <w:rPr>
          <w:rFonts w:ascii="Times New Roman" w:eastAsia="Times New Roman" w:hAnsi="Times New Roman" w:cs="Times New Roman"/>
          <w:sz w:val="24"/>
          <w:szCs w:val="24"/>
        </w:rPr>
      </w:pPr>
      <w:r w:rsidRPr="001E1E62">
        <w:rPr>
          <w:rFonts w:ascii="Times New Roman" w:eastAsia="Times New Roman" w:hAnsi="Times New Roman" w:cs="Times New Roman"/>
          <w:sz w:val="24"/>
          <w:szCs w:val="24"/>
        </w:rPr>
        <w:t>The binary logistic regression results show that gender, ethnicity, area of residence, education level</w:t>
      </w:r>
      <w:r w:rsidR="00ED5B39">
        <w:rPr>
          <w:rFonts w:ascii="Times New Roman" w:eastAsia="Times New Roman" w:hAnsi="Times New Roman" w:cs="Times New Roman"/>
          <w:sz w:val="24"/>
          <w:szCs w:val="24"/>
        </w:rPr>
        <w:t xml:space="preserve"> </w:t>
      </w:r>
      <w:r w:rsidRPr="001E1E62">
        <w:rPr>
          <w:rFonts w:ascii="Times New Roman" w:eastAsia="Times New Roman" w:hAnsi="Times New Roman" w:cs="Times New Roman"/>
          <w:sz w:val="24"/>
          <w:szCs w:val="24"/>
        </w:rPr>
        <w:t xml:space="preserve">and number of dependents have no significant effect on saving </w:t>
      </w:r>
      <w:proofErr w:type="spellStart"/>
      <w:r w:rsidRPr="001E1E62">
        <w:rPr>
          <w:rFonts w:ascii="Times New Roman" w:eastAsia="Times New Roman" w:hAnsi="Times New Roman" w:cs="Times New Roman"/>
          <w:sz w:val="24"/>
          <w:szCs w:val="24"/>
        </w:rPr>
        <w:t>behavior</w:t>
      </w:r>
      <w:proofErr w:type="spellEnd"/>
      <w:r w:rsidRPr="001E1E62">
        <w:rPr>
          <w:rFonts w:ascii="Times New Roman" w:eastAsia="Times New Roman" w:hAnsi="Times New Roman" w:cs="Times New Roman"/>
          <w:sz w:val="24"/>
          <w:szCs w:val="24"/>
        </w:rPr>
        <w:t xml:space="preserve">. Meanwhile, occupation sector, income level and marital status exhibit a significant influence on the probability of saving. Based on Table 9, the estimated odds ratio for occupation sector is 1.666, indicating that the odds of saving for individuals working in the non-government sector are 66% higher compared to those employed in the government sector. This finding supports the results of </w:t>
      </w:r>
      <w:proofErr w:type="spellStart"/>
      <w:r w:rsidRPr="001E1E62">
        <w:rPr>
          <w:rFonts w:ascii="Times New Roman" w:eastAsia="Times New Roman" w:hAnsi="Times New Roman" w:cs="Times New Roman"/>
          <w:sz w:val="24"/>
          <w:szCs w:val="24"/>
        </w:rPr>
        <w:t>Rath</w:t>
      </w:r>
      <w:proofErr w:type="spellEnd"/>
      <w:r w:rsidRPr="001E1E62">
        <w:rPr>
          <w:rFonts w:ascii="Times New Roman" w:eastAsia="Times New Roman" w:hAnsi="Times New Roman" w:cs="Times New Roman"/>
          <w:sz w:val="24"/>
          <w:szCs w:val="24"/>
        </w:rPr>
        <w:t xml:space="preserve"> </w:t>
      </w:r>
      <w:r w:rsidR="00ED5B39">
        <w:rPr>
          <w:rFonts w:ascii="Times New Roman" w:eastAsia="Times New Roman" w:hAnsi="Times New Roman" w:cs="Times New Roman"/>
          <w:sz w:val="24"/>
          <w:szCs w:val="24"/>
        </w:rPr>
        <w:t>and</w:t>
      </w:r>
      <w:r w:rsidRPr="001E1E62">
        <w:rPr>
          <w:rFonts w:ascii="Times New Roman" w:eastAsia="Times New Roman" w:hAnsi="Times New Roman" w:cs="Times New Roman"/>
          <w:sz w:val="24"/>
          <w:szCs w:val="24"/>
        </w:rPr>
        <w:t xml:space="preserve"> Kaur (2017). One possible explanation is that government employees often benefit from comprehensive pension schemes, health insurance and other financial benefits, which may reduce the urgency to save aggressively for the future. In contrast, individuals in the non-government or private sector</w:t>
      </w:r>
      <w:r w:rsidR="00ED5B39">
        <w:rPr>
          <w:rFonts w:ascii="Times New Roman" w:eastAsia="Times New Roman" w:hAnsi="Times New Roman" w:cs="Times New Roman"/>
          <w:sz w:val="24"/>
          <w:szCs w:val="24"/>
        </w:rPr>
        <w:t xml:space="preserve"> </w:t>
      </w:r>
      <w:r w:rsidRPr="001E1E62">
        <w:rPr>
          <w:rFonts w:ascii="Times New Roman" w:eastAsia="Times New Roman" w:hAnsi="Times New Roman" w:cs="Times New Roman"/>
          <w:sz w:val="24"/>
          <w:szCs w:val="24"/>
        </w:rPr>
        <w:t>especially those without formal pension plans or with limited benefits</w:t>
      </w:r>
      <w:r w:rsidR="00ED5B39">
        <w:rPr>
          <w:rFonts w:ascii="Times New Roman" w:eastAsia="Times New Roman" w:hAnsi="Times New Roman" w:cs="Times New Roman"/>
          <w:sz w:val="24"/>
          <w:szCs w:val="24"/>
        </w:rPr>
        <w:t xml:space="preserve"> </w:t>
      </w:r>
      <w:r w:rsidRPr="001E1E62">
        <w:rPr>
          <w:rFonts w:ascii="Times New Roman" w:eastAsia="Times New Roman" w:hAnsi="Times New Roman" w:cs="Times New Roman"/>
          <w:sz w:val="24"/>
          <w:szCs w:val="24"/>
        </w:rPr>
        <w:t xml:space="preserve">may need to save more independently to secure their retirement and cover potential healthcare expenses. Furthermore, the coefficient of -0.191 for income suggests that earning a higher income is associated with a decrease in the log-odds of saving by 0.191. The corresponding odds ratio of 0.826 indicates that individuals with an income of RM2,500 and above are 17.4% less likely to save compared to those earning below RM2,500. This may be explained by </w:t>
      </w:r>
      <w:proofErr w:type="spellStart"/>
      <w:r w:rsidRPr="001E1E62">
        <w:rPr>
          <w:rFonts w:ascii="Times New Roman" w:eastAsia="Times New Roman" w:hAnsi="Times New Roman" w:cs="Times New Roman"/>
          <w:sz w:val="24"/>
          <w:szCs w:val="24"/>
        </w:rPr>
        <w:t>behavioral</w:t>
      </w:r>
      <w:proofErr w:type="spellEnd"/>
      <w:r w:rsidRPr="001E1E62">
        <w:rPr>
          <w:rFonts w:ascii="Times New Roman" w:eastAsia="Times New Roman" w:hAnsi="Times New Roman" w:cs="Times New Roman"/>
          <w:sz w:val="24"/>
          <w:szCs w:val="24"/>
        </w:rPr>
        <w:t xml:space="preserve"> economics, which suggests that lower-income individuals tend to be more risk-averse and prioritize financial security, prompting them to save more in anticipation of unforeseen emergencies. On the other hand, higher-income individuals may exhibit greater risk tolerance, relying on their wealth or job security</w:t>
      </w:r>
      <w:r w:rsidR="00ED5B39">
        <w:rPr>
          <w:rFonts w:ascii="Times New Roman" w:eastAsia="Times New Roman" w:hAnsi="Times New Roman" w:cs="Times New Roman"/>
          <w:sz w:val="24"/>
          <w:szCs w:val="24"/>
        </w:rPr>
        <w:t xml:space="preserve"> </w:t>
      </w:r>
      <w:r w:rsidRPr="001E1E62">
        <w:rPr>
          <w:rFonts w:ascii="Times New Roman" w:eastAsia="Times New Roman" w:hAnsi="Times New Roman" w:cs="Times New Roman"/>
          <w:sz w:val="24"/>
          <w:szCs w:val="24"/>
        </w:rPr>
        <w:t xml:space="preserve">and therefore may not prioritize saving to the same extent. In addition, the coefficient for marital status is 0.872, indicating that being married is associated with an increase in the log-odds of saving by 0.872. The corresponding odds ratio of 2.393 means that the odds of saving are 139% higher for married individuals compared to single individuals. This finding is consistent with the study by Chen </w:t>
      </w:r>
      <w:r w:rsidR="00ED5B39">
        <w:rPr>
          <w:rFonts w:ascii="Times New Roman" w:eastAsia="Times New Roman" w:hAnsi="Times New Roman" w:cs="Times New Roman"/>
          <w:sz w:val="24"/>
          <w:szCs w:val="24"/>
        </w:rPr>
        <w:t>and</w:t>
      </w:r>
      <w:r w:rsidRPr="001E1E62">
        <w:rPr>
          <w:rFonts w:ascii="Times New Roman" w:eastAsia="Times New Roman" w:hAnsi="Times New Roman" w:cs="Times New Roman"/>
          <w:sz w:val="24"/>
          <w:szCs w:val="24"/>
        </w:rPr>
        <w:t xml:space="preserve"> Li (2013), which found that married individuals tend to prioritize saving for their family's future, while single individuals are often less focused on long-term financial goals.</w:t>
      </w:r>
    </w:p>
    <w:p w14:paraId="3B6496E0" w14:textId="77777777" w:rsidR="00C0600B" w:rsidRDefault="00C0600B" w:rsidP="00ED5B39">
      <w:pPr>
        <w:spacing w:after="0" w:line="240" w:lineRule="auto"/>
        <w:ind w:firstLine="0"/>
        <w:jc w:val="both"/>
        <w:rPr>
          <w:rFonts w:ascii="Times New Roman" w:eastAsia="Times New Roman" w:hAnsi="Times New Roman" w:cs="Times New Roman"/>
          <w:sz w:val="24"/>
          <w:szCs w:val="24"/>
        </w:rPr>
      </w:pPr>
    </w:p>
    <w:p w14:paraId="1A8A2439" w14:textId="77777777" w:rsidR="00ED5B39" w:rsidRDefault="00ED5B39" w:rsidP="00ED5B39">
      <w:pPr>
        <w:spacing w:after="0" w:line="240" w:lineRule="auto"/>
        <w:ind w:firstLine="0"/>
        <w:jc w:val="both"/>
        <w:rPr>
          <w:rFonts w:ascii="Times New Roman" w:eastAsia="Times New Roman" w:hAnsi="Times New Roman" w:cs="Times New Roman"/>
          <w:sz w:val="24"/>
          <w:szCs w:val="24"/>
        </w:rPr>
      </w:pPr>
    </w:p>
    <w:p w14:paraId="47F587A7" w14:textId="77777777" w:rsidR="00ED5B39" w:rsidRPr="001E1E62" w:rsidRDefault="00ED5B39" w:rsidP="00ED5B39">
      <w:pPr>
        <w:spacing w:after="0" w:line="240" w:lineRule="auto"/>
        <w:ind w:firstLine="0"/>
        <w:jc w:val="both"/>
        <w:rPr>
          <w:rFonts w:ascii="Times New Roman" w:eastAsia="Times New Roman" w:hAnsi="Times New Roman" w:cs="Times New Roman"/>
          <w:sz w:val="24"/>
          <w:szCs w:val="24"/>
        </w:rPr>
      </w:pPr>
    </w:p>
    <w:p w14:paraId="1CFCE180" w14:textId="77777777" w:rsidR="00C0600B" w:rsidRDefault="00EB1169" w:rsidP="00ED5B39">
      <w:pPr>
        <w:spacing w:after="0" w:line="240" w:lineRule="auto"/>
        <w:ind w:hanging="2"/>
        <w:rPr>
          <w:rFonts w:ascii="Times New Roman" w:eastAsia="Times New Roman" w:hAnsi="Times New Roman" w:cs="Times New Roman"/>
          <w:b/>
          <w:sz w:val="24"/>
          <w:szCs w:val="24"/>
        </w:rPr>
      </w:pPr>
      <w:r w:rsidRPr="001E1E62">
        <w:rPr>
          <w:rFonts w:ascii="Times New Roman" w:eastAsia="Times New Roman" w:hAnsi="Times New Roman" w:cs="Times New Roman"/>
          <w:b/>
          <w:sz w:val="24"/>
          <w:szCs w:val="24"/>
        </w:rPr>
        <w:lastRenderedPageBreak/>
        <w:t xml:space="preserve">Conclusion </w:t>
      </w:r>
    </w:p>
    <w:p w14:paraId="13165D1A" w14:textId="77777777" w:rsidR="00ED5B39" w:rsidRPr="001E1E62" w:rsidRDefault="00ED5B39" w:rsidP="00ED5B39">
      <w:pPr>
        <w:spacing w:after="0" w:line="240" w:lineRule="auto"/>
        <w:ind w:hanging="2"/>
        <w:rPr>
          <w:rFonts w:ascii="Times New Roman" w:eastAsia="Times New Roman" w:hAnsi="Times New Roman" w:cs="Times New Roman"/>
          <w:sz w:val="24"/>
          <w:szCs w:val="24"/>
        </w:rPr>
      </w:pPr>
    </w:p>
    <w:p w14:paraId="2C63A1F9" w14:textId="46B6FDC1" w:rsidR="00C0600B" w:rsidRPr="001E1E62" w:rsidRDefault="00EB1169" w:rsidP="001E1E62">
      <w:pPr>
        <w:spacing w:after="0" w:line="240" w:lineRule="auto"/>
        <w:ind w:hanging="2"/>
        <w:jc w:val="both"/>
        <w:rPr>
          <w:rFonts w:ascii="Times New Roman" w:eastAsia="Times New Roman" w:hAnsi="Times New Roman" w:cs="Times New Roman"/>
          <w:sz w:val="24"/>
          <w:szCs w:val="24"/>
        </w:rPr>
      </w:pPr>
      <w:r w:rsidRPr="001E1E62">
        <w:rPr>
          <w:rFonts w:ascii="Times New Roman" w:eastAsia="Times New Roman" w:hAnsi="Times New Roman" w:cs="Times New Roman"/>
          <w:sz w:val="24"/>
          <w:szCs w:val="24"/>
        </w:rPr>
        <w:t>This research aimed to examine the factors influencing saving behaviours among youth in Malaysia, particularly in the context of the post-COVID-19 economic landscape. The empirical analysis found that self-control, financial management and peer influence significantly and positively impact the intention to save. These psychological and behavioural factors play a crucial role in shaping how young people approach financial planning and savings. Moreover, the study revealed that certain demographic groups, specifically married individuals, non-government workers and low-income earners have higher odds of saving. This suggests that life responsibilities, financial insecurity in private-sector jobs and economic vulnerability among low-income earners may act as motivators for developing saving habits.</w:t>
      </w:r>
    </w:p>
    <w:p w14:paraId="0549A953" w14:textId="3280C64C" w:rsidR="00C0600B" w:rsidRPr="001E1E62" w:rsidRDefault="00EB1169" w:rsidP="001E1E62">
      <w:pPr>
        <w:spacing w:after="0" w:line="240" w:lineRule="auto"/>
        <w:ind w:firstLine="720"/>
        <w:jc w:val="both"/>
        <w:rPr>
          <w:rFonts w:ascii="Times New Roman" w:eastAsia="Times New Roman" w:hAnsi="Times New Roman" w:cs="Times New Roman"/>
          <w:sz w:val="24"/>
          <w:szCs w:val="24"/>
        </w:rPr>
      </w:pPr>
      <w:r w:rsidRPr="001E1E62">
        <w:rPr>
          <w:rFonts w:ascii="Times New Roman" w:eastAsia="Times New Roman" w:hAnsi="Times New Roman" w:cs="Times New Roman"/>
          <w:sz w:val="24"/>
          <w:szCs w:val="24"/>
        </w:rPr>
        <w:t>Based on these findings, the government is urged to intensify efforts to promote financial education programs. Financial literacy initiatives should go beyond basic knowledge and include training in self-control, budgeting and decision-making. Interactive workshops and digital tools aimed at improving financial self-discipline could be implemented in schools, universities and community centres. Peer-led financial awareness campaigns could also be introduced as part of extracurricular activities in educational institutions. Additionally, given that non-government workers are more likely to save due to the lack of formal financial safety nets, the government should encourage saving through incentivized micro-savings schemes, matched savings programs or private pension plans tailored to the private and gig economy workforce. Policymakers could also develop tailored savings incentives for young married couples and low-income youth to support long-term saving goals and reduce future financial vulnerability. The insights from this study can inform more inclusive and effective financial policies that support the long-term financial well-being of Malaysia's younger generation.</w:t>
      </w:r>
    </w:p>
    <w:p w14:paraId="75F17CC9" w14:textId="77777777" w:rsidR="00C0600B" w:rsidRPr="001E1E62" w:rsidRDefault="00EB1169" w:rsidP="001E1E62">
      <w:pPr>
        <w:spacing w:after="0" w:line="240" w:lineRule="auto"/>
        <w:ind w:firstLine="720"/>
        <w:jc w:val="both"/>
        <w:rPr>
          <w:rFonts w:ascii="Times New Roman" w:eastAsia="Times New Roman" w:hAnsi="Times New Roman" w:cs="Times New Roman"/>
          <w:sz w:val="24"/>
          <w:szCs w:val="24"/>
        </w:rPr>
      </w:pPr>
      <w:r w:rsidRPr="001E1E62">
        <w:rPr>
          <w:rFonts w:ascii="Times New Roman" w:eastAsia="Times New Roman" w:hAnsi="Times New Roman" w:cs="Times New Roman"/>
          <w:sz w:val="24"/>
          <w:szCs w:val="24"/>
        </w:rPr>
        <w:t>However, a key limitation of this research is its reliance on a cross-sectional survey, which captures data at a single point in time. This limits the ability to infer causal relationships between the independent variables and saving behaviour. Future research should consider employing longitudinal data, which would be more robust in identifying behavioural trends and changes over time.</w:t>
      </w:r>
    </w:p>
    <w:p w14:paraId="4C4D2E98" w14:textId="77777777" w:rsidR="00C0600B" w:rsidRPr="001E1E62" w:rsidRDefault="00C0600B" w:rsidP="001E1E62">
      <w:pPr>
        <w:spacing w:after="0" w:line="240" w:lineRule="auto"/>
        <w:ind w:hanging="2"/>
        <w:jc w:val="both"/>
        <w:rPr>
          <w:rFonts w:ascii="Times New Roman" w:eastAsia="Times New Roman" w:hAnsi="Times New Roman" w:cs="Times New Roman"/>
          <w:sz w:val="24"/>
          <w:szCs w:val="24"/>
        </w:rPr>
      </w:pPr>
    </w:p>
    <w:p w14:paraId="4801558F" w14:textId="77777777" w:rsidR="00C0600B" w:rsidRPr="001E1E62" w:rsidRDefault="00C0600B" w:rsidP="001E1E62">
      <w:pPr>
        <w:spacing w:after="0" w:line="240" w:lineRule="auto"/>
        <w:ind w:hanging="2"/>
        <w:jc w:val="both"/>
        <w:rPr>
          <w:rFonts w:ascii="Times New Roman" w:eastAsia="Times New Roman" w:hAnsi="Times New Roman" w:cs="Times New Roman"/>
          <w:sz w:val="24"/>
          <w:szCs w:val="24"/>
        </w:rPr>
      </w:pPr>
    </w:p>
    <w:p w14:paraId="763C2EB4" w14:textId="77777777" w:rsidR="00C0600B" w:rsidRPr="001E1E62" w:rsidRDefault="00EB1169" w:rsidP="001E1E62">
      <w:pPr>
        <w:spacing w:after="0" w:line="240" w:lineRule="auto"/>
        <w:ind w:hanging="2"/>
        <w:rPr>
          <w:rFonts w:ascii="Times New Roman" w:eastAsia="Times New Roman" w:hAnsi="Times New Roman" w:cs="Times New Roman"/>
          <w:sz w:val="24"/>
          <w:szCs w:val="24"/>
        </w:rPr>
      </w:pPr>
      <w:r w:rsidRPr="001E1E62">
        <w:rPr>
          <w:rFonts w:ascii="Times New Roman" w:eastAsia="Times New Roman" w:hAnsi="Times New Roman" w:cs="Times New Roman"/>
          <w:b/>
          <w:sz w:val="24"/>
          <w:szCs w:val="24"/>
        </w:rPr>
        <w:t xml:space="preserve">Acknowledgement </w:t>
      </w:r>
    </w:p>
    <w:p w14:paraId="7DD8B4D6" w14:textId="77777777" w:rsidR="00C0600B" w:rsidRPr="001E1E62" w:rsidRDefault="00EB1169" w:rsidP="001E1E62">
      <w:pPr>
        <w:spacing w:after="0" w:line="240" w:lineRule="auto"/>
        <w:ind w:hanging="2"/>
        <w:rPr>
          <w:rFonts w:ascii="Times New Roman" w:eastAsia="Times New Roman" w:hAnsi="Times New Roman" w:cs="Times New Roman"/>
          <w:sz w:val="24"/>
          <w:szCs w:val="24"/>
        </w:rPr>
      </w:pPr>
      <w:r w:rsidRPr="001E1E62">
        <w:rPr>
          <w:rFonts w:ascii="Times New Roman" w:eastAsia="Times New Roman" w:hAnsi="Times New Roman" w:cs="Times New Roman"/>
          <w:sz w:val="24"/>
          <w:szCs w:val="24"/>
        </w:rPr>
        <w:t xml:space="preserve"> </w:t>
      </w:r>
    </w:p>
    <w:p w14:paraId="7D9E62E9" w14:textId="77777777" w:rsidR="00C0600B" w:rsidRPr="001E1E62" w:rsidRDefault="00EB1169" w:rsidP="001E1E62">
      <w:pPr>
        <w:spacing w:after="0" w:line="240" w:lineRule="auto"/>
        <w:ind w:hanging="2"/>
        <w:jc w:val="both"/>
        <w:rPr>
          <w:rFonts w:ascii="Times New Roman" w:eastAsia="Times New Roman" w:hAnsi="Times New Roman" w:cs="Times New Roman"/>
          <w:sz w:val="24"/>
          <w:szCs w:val="24"/>
        </w:rPr>
      </w:pPr>
      <w:r w:rsidRPr="001E1E62">
        <w:rPr>
          <w:rFonts w:ascii="Times New Roman" w:eastAsia="Times New Roman" w:hAnsi="Times New Roman" w:cs="Times New Roman"/>
          <w:sz w:val="24"/>
          <w:szCs w:val="24"/>
        </w:rPr>
        <w:t>We would like to thank RHB endowment fund for providing the research grant code RHB-UKM-2021-003.</w:t>
      </w:r>
    </w:p>
    <w:p w14:paraId="40457783" w14:textId="77777777" w:rsidR="00C0600B" w:rsidRDefault="00EB1169">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4406A199" w14:textId="77777777" w:rsidR="00C0600B" w:rsidRDefault="00EB1169">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4D724F96" w14:textId="77777777" w:rsidR="00C0600B" w:rsidRDefault="00EB1169">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References  </w:t>
      </w:r>
    </w:p>
    <w:p w14:paraId="356401A3" w14:textId="77777777" w:rsidR="00C0600B" w:rsidRDefault="00C0600B">
      <w:pPr>
        <w:spacing w:after="0" w:line="240" w:lineRule="auto"/>
        <w:ind w:firstLine="540"/>
        <w:rPr>
          <w:rFonts w:ascii="Times New Roman" w:eastAsia="Times New Roman" w:hAnsi="Times New Roman" w:cs="Times New Roman"/>
          <w:sz w:val="24"/>
          <w:szCs w:val="24"/>
        </w:rPr>
      </w:pPr>
    </w:p>
    <w:p w14:paraId="58CA7FD4" w14:textId="77777777" w:rsidR="009D4FB3" w:rsidRPr="00E2012A" w:rsidRDefault="009D4FB3">
      <w:pPr>
        <w:spacing w:after="0" w:line="24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Alwi</w:t>
      </w:r>
      <w:proofErr w:type="spellEnd"/>
      <w:r>
        <w:rPr>
          <w:rFonts w:ascii="Times New Roman" w:eastAsia="Times New Roman" w:hAnsi="Times New Roman" w:cs="Times New Roman"/>
          <w:sz w:val="24"/>
          <w:szCs w:val="24"/>
        </w:rPr>
        <w:t xml:space="preserve">, S., Amir </w:t>
      </w:r>
      <w:proofErr w:type="spellStart"/>
      <w:r>
        <w:rPr>
          <w:rFonts w:ascii="Times New Roman" w:eastAsia="Times New Roman" w:hAnsi="Times New Roman" w:cs="Times New Roman"/>
          <w:sz w:val="24"/>
          <w:szCs w:val="24"/>
        </w:rPr>
        <w:t>Hashim</w:t>
      </w:r>
      <w:proofErr w:type="spellEnd"/>
      <w:r>
        <w:rPr>
          <w:rFonts w:ascii="Times New Roman" w:eastAsia="Times New Roman" w:hAnsi="Times New Roman" w:cs="Times New Roman"/>
          <w:sz w:val="24"/>
          <w:szCs w:val="24"/>
        </w:rPr>
        <w:t xml:space="preserve">, I. Z., &amp; Ali, M. S. (2015, August 7-9) Factors affecting savings habits within millennials in </w:t>
      </w:r>
      <w:proofErr w:type="spellStart"/>
      <w:r>
        <w:rPr>
          <w:rFonts w:ascii="Times New Roman" w:eastAsia="Times New Roman" w:hAnsi="Times New Roman" w:cs="Times New Roman"/>
          <w:sz w:val="24"/>
          <w:szCs w:val="24"/>
        </w:rPr>
        <w:t>malaysia</w:t>
      </w:r>
      <w:proofErr w:type="spellEnd"/>
      <w:r>
        <w:rPr>
          <w:rFonts w:ascii="Times New Roman" w:eastAsia="Times New Roman" w:hAnsi="Times New Roman" w:cs="Times New Roman"/>
          <w:sz w:val="24"/>
          <w:szCs w:val="24"/>
        </w:rPr>
        <w:t xml:space="preserve">: Case study on students of Taylor’s university. </w:t>
      </w:r>
      <w:r w:rsidRPr="00E2012A">
        <w:rPr>
          <w:rFonts w:ascii="Times New Roman" w:eastAsia="Times New Roman" w:hAnsi="Times New Roman" w:cs="Times New Roman"/>
          <w:iCs/>
          <w:sz w:val="24"/>
          <w:szCs w:val="24"/>
        </w:rPr>
        <w:t>Proceedings of the Fourth Asia-Pacific Conference on Global Business, Economics, Finance and Social Sciences</w:t>
      </w:r>
      <w:r>
        <w:rPr>
          <w:rFonts w:ascii="Times New Roman" w:eastAsia="Times New Roman" w:hAnsi="Times New Roman" w:cs="Times New Roman"/>
          <w:iCs/>
          <w:sz w:val="24"/>
          <w:szCs w:val="24"/>
        </w:rPr>
        <w:t xml:space="preserve"> (AP15 Malaysia Conference)</w:t>
      </w:r>
      <w:r w:rsidRPr="00E201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Kuala Lumpur, Malaysia</w:t>
      </w:r>
      <w:r w:rsidRPr="00E2012A">
        <w:rPr>
          <w:rFonts w:ascii="Times New Roman" w:eastAsia="Times New Roman" w:hAnsi="Times New Roman" w:cs="Times New Roman"/>
          <w:sz w:val="24"/>
          <w:szCs w:val="24"/>
        </w:rPr>
        <w:t>.</w:t>
      </w:r>
    </w:p>
    <w:p w14:paraId="6B96E06C" w14:textId="77777777" w:rsidR="009D4FB3" w:rsidRDefault="009D4FB3">
      <w:pPr>
        <w:spacing w:after="0" w:line="24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Asiah</w:t>
      </w:r>
      <w:proofErr w:type="spellEnd"/>
      <w:r>
        <w:rPr>
          <w:rFonts w:ascii="Times New Roman" w:eastAsia="Times New Roman" w:hAnsi="Times New Roman" w:cs="Times New Roman"/>
          <w:sz w:val="24"/>
          <w:szCs w:val="24"/>
        </w:rPr>
        <w:t xml:space="preserve">, T. (2024, November 18). </w:t>
      </w:r>
      <w:r w:rsidRPr="00895BAF">
        <w:rPr>
          <w:rFonts w:ascii="Times New Roman" w:eastAsia="Times New Roman" w:hAnsi="Times New Roman" w:cs="Times New Roman"/>
          <w:sz w:val="24"/>
          <w:szCs w:val="24"/>
        </w:rPr>
        <w:t xml:space="preserve">Emergency funds: 61% of Malaysians struggle to secure RM1,000. </w:t>
      </w:r>
      <w:r w:rsidRPr="00895BAF">
        <w:rPr>
          <w:rFonts w:ascii="Times New Roman" w:eastAsia="Times New Roman" w:hAnsi="Times New Roman" w:cs="Times New Roman"/>
          <w:i/>
          <w:sz w:val="24"/>
          <w:szCs w:val="24"/>
        </w:rPr>
        <w:t>Latest Malaysia</w:t>
      </w:r>
      <w:r>
        <w:rPr>
          <w:rFonts w:ascii="Times New Roman" w:eastAsia="Times New Roman" w:hAnsi="Times New Roman" w:cs="Times New Roman"/>
          <w:sz w:val="24"/>
          <w:szCs w:val="24"/>
        </w:rPr>
        <w:t xml:space="preserve"> https://latestmalaysia.com/2024/11/18/emergency-funds-malaysians-struggle/.</w:t>
      </w:r>
    </w:p>
    <w:p w14:paraId="162C8B78" w14:textId="77777777" w:rsidR="009D4FB3" w:rsidRDefault="009D4FB3">
      <w:pPr>
        <w:spacing w:after="0" w:line="24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Beverly, S. (1997). How can the poor save? Theory and evidence on saving in low-income households (CSD Working Paper No. 97-3). St. Louis, MO: </w:t>
      </w:r>
      <w:r w:rsidRPr="002B3F32">
        <w:rPr>
          <w:rFonts w:ascii="Times New Roman" w:eastAsia="Times New Roman" w:hAnsi="Times New Roman" w:cs="Times New Roman"/>
          <w:sz w:val="24"/>
          <w:szCs w:val="24"/>
        </w:rPr>
        <w:t xml:space="preserve">Washington University, </w:t>
      </w:r>
      <w:proofErr w:type="spellStart"/>
      <w:r w:rsidRPr="002B3F32">
        <w:rPr>
          <w:rFonts w:ascii="Times New Roman" w:eastAsia="Times New Roman" w:hAnsi="Times New Roman" w:cs="Times New Roman"/>
          <w:sz w:val="24"/>
          <w:szCs w:val="24"/>
        </w:rPr>
        <w:t>Center</w:t>
      </w:r>
      <w:proofErr w:type="spellEnd"/>
      <w:r w:rsidRPr="002B3F32">
        <w:rPr>
          <w:rFonts w:ascii="Times New Roman" w:eastAsia="Times New Roman" w:hAnsi="Times New Roman" w:cs="Times New Roman"/>
          <w:sz w:val="24"/>
          <w:szCs w:val="24"/>
        </w:rPr>
        <w:t xml:space="preserve"> for Social Development</w:t>
      </w:r>
      <w:r>
        <w:rPr>
          <w:rFonts w:ascii="Times New Roman" w:eastAsia="Times New Roman" w:hAnsi="Times New Roman" w:cs="Times New Roman"/>
          <w:sz w:val="24"/>
          <w:szCs w:val="24"/>
        </w:rPr>
        <w:t>.</w:t>
      </w:r>
    </w:p>
    <w:p w14:paraId="45EF345D" w14:textId="77777777" w:rsidR="009D4FB3" w:rsidRDefault="009D4FB3">
      <w:pPr>
        <w:spacing w:after="0" w:line="24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Chen, H., &amp; Li, X. (2013). Household saving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Marriage, children, and financial education. </w:t>
      </w:r>
      <w:r>
        <w:rPr>
          <w:rFonts w:ascii="Times New Roman" w:eastAsia="Times New Roman" w:hAnsi="Times New Roman" w:cs="Times New Roman"/>
          <w:i/>
          <w:iCs/>
          <w:sz w:val="24"/>
          <w:szCs w:val="24"/>
        </w:rPr>
        <w:t>Journal of Family and Economic Issues, 34</w:t>
      </w:r>
      <w:r>
        <w:rPr>
          <w:rFonts w:ascii="Times New Roman" w:eastAsia="Times New Roman" w:hAnsi="Times New Roman" w:cs="Times New Roman"/>
          <w:sz w:val="24"/>
          <w:szCs w:val="24"/>
        </w:rPr>
        <w:t>(2), 232-245.</w:t>
      </w:r>
    </w:p>
    <w:p w14:paraId="04B8AF5A" w14:textId="77777777" w:rsidR="009D4FB3" w:rsidRDefault="009D4FB3">
      <w:pPr>
        <w:spacing w:after="0" w:line="24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Chia, Y. K., Chai, M. T., Fong, S. N., Lew, W. C., &amp; Tan, C. T. (2011).</w:t>
      </w:r>
      <w:r w:rsidRPr="00091B4E">
        <w:rPr>
          <w:rFonts w:ascii="Times New Roman" w:eastAsia="Times New Roman" w:hAnsi="Times New Roman" w:cs="Times New Roman"/>
          <w:i/>
          <w:sz w:val="24"/>
          <w:szCs w:val="24"/>
        </w:rPr>
        <w:t xml:space="preserve"> Determinants of Saving Behaviour Among </w:t>
      </w:r>
      <w:proofErr w:type="gramStart"/>
      <w:r w:rsidRPr="00091B4E">
        <w:rPr>
          <w:rFonts w:ascii="Times New Roman" w:eastAsia="Times New Roman" w:hAnsi="Times New Roman" w:cs="Times New Roman"/>
          <w:i/>
          <w:sz w:val="24"/>
          <w:szCs w:val="24"/>
        </w:rPr>
        <w:t>The</w:t>
      </w:r>
      <w:proofErr w:type="gramEnd"/>
      <w:r w:rsidRPr="00091B4E">
        <w:rPr>
          <w:rFonts w:ascii="Times New Roman" w:eastAsia="Times New Roman" w:hAnsi="Times New Roman" w:cs="Times New Roman"/>
          <w:i/>
          <w:sz w:val="24"/>
          <w:szCs w:val="24"/>
        </w:rPr>
        <w:t xml:space="preserve"> University Students in Malaysia </w:t>
      </w:r>
      <w:r>
        <w:rPr>
          <w:rFonts w:ascii="Times New Roman" w:eastAsia="Times New Roman" w:hAnsi="Times New Roman" w:cs="Times New Roman"/>
          <w:sz w:val="24"/>
          <w:szCs w:val="24"/>
        </w:rPr>
        <w:t xml:space="preserve">[Doctoral dissertation, </w:t>
      </w:r>
      <w:proofErr w:type="spellStart"/>
      <w:r>
        <w:rPr>
          <w:rFonts w:ascii="Times New Roman" w:eastAsia="Times New Roman" w:hAnsi="Times New Roman" w:cs="Times New Roman"/>
          <w:sz w:val="24"/>
          <w:szCs w:val="24"/>
        </w:rPr>
        <w:t>Universiti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Tunku</w:t>
      </w:r>
      <w:proofErr w:type="spellEnd"/>
      <w:r>
        <w:rPr>
          <w:rFonts w:ascii="Times New Roman" w:eastAsia="Times New Roman" w:hAnsi="Times New Roman" w:cs="Times New Roman"/>
          <w:sz w:val="24"/>
          <w:szCs w:val="24"/>
        </w:rPr>
        <w:t xml:space="preserve"> Abdul Rahman].</w:t>
      </w:r>
    </w:p>
    <w:p w14:paraId="3C2BC1D3" w14:textId="77777777" w:rsidR="009D4FB3" w:rsidRDefault="009D4FB3">
      <w:pPr>
        <w:spacing w:after="0" w:line="24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Crown, W. H. (2002). Life cycle theories of savings and consumption. </w:t>
      </w:r>
      <w:proofErr w:type="spellStart"/>
      <w:r>
        <w:rPr>
          <w:rFonts w:ascii="Times New Roman" w:eastAsia="Times New Roman" w:hAnsi="Times New Roman" w:cs="Times New Roman"/>
          <w:sz w:val="24"/>
          <w:szCs w:val="24"/>
        </w:rPr>
        <w:t>Encyclopedia</w:t>
      </w:r>
      <w:proofErr w:type="spellEnd"/>
      <w:r>
        <w:rPr>
          <w:rFonts w:ascii="Times New Roman" w:eastAsia="Times New Roman" w:hAnsi="Times New Roman" w:cs="Times New Roman"/>
          <w:sz w:val="24"/>
          <w:szCs w:val="24"/>
        </w:rPr>
        <w:t xml:space="preserve"> of aging. </w:t>
      </w:r>
      <w:r w:rsidRPr="00BC0A70">
        <w:rPr>
          <w:rFonts w:ascii="Times New Roman" w:eastAsia="Times New Roman" w:hAnsi="Times New Roman" w:cs="Times New Roman"/>
          <w:i/>
          <w:sz w:val="24"/>
          <w:szCs w:val="24"/>
        </w:rPr>
        <w:t>Encyclopedia.com</w:t>
      </w:r>
      <w:r>
        <w:rPr>
          <w:rFonts w:ascii="Times New Roman" w:eastAsia="Times New Roman" w:hAnsi="Times New Roman" w:cs="Times New Roman"/>
          <w:sz w:val="24"/>
          <w:szCs w:val="24"/>
        </w:rPr>
        <w:t xml:space="preserve"> </w:t>
      </w:r>
      <w:r w:rsidRPr="00BC0A70">
        <w:rPr>
          <w:rFonts w:ascii="Times New Roman" w:eastAsia="Times New Roman" w:hAnsi="Times New Roman" w:cs="Times New Roman"/>
          <w:sz w:val="24"/>
          <w:szCs w:val="24"/>
        </w:rPr>
        <w:t>https://www.encyclopedia.com/education/encyclopedias-almanacs-transcripts-and-maps/life-cycle-theories-savings-and-consumption</w:t>
      </w:r>
    </w:p>
    <w:p w14:paraId="75B782FB" w14:textId="77777777" w:rsidR="009D4FB3" w:rsidRDefault="009D4FB3">
      <w:pPr>
        <w:spacing w:after="0" w:line="24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Dangol</w:t>
      </w:r>
      <w:proofErr w:type="spellEnd"/>
      <w:r>
        <w:rPr>
          <w:rFonts w:ascii="Times New Roman" w:eastAsia="Times New Roman" w:hAnsi="Times New Roman" w:cs="Times New Roman"/>
          <w:sz w:val="24"/>
          <w:szCs w:val="24"/>
        </w:rPr>
        <w:t xml:space="preserve">, J., &amp; </w:t>
      </w:r>
      <w:proofErr w:type="spellStart"/>
      <w:r>
        <w:rPr>
          <w:rFonts w:ascii="Times New Roman" w:eastAsia="Times New Roman" w:hAnsi="Times New Roman" w:cs="Times New Roman"/>
          <w:sz w:val="24"/>
          <w:szCs w:val="24"/>
        </w:rPr>
        <w:t>Maharjan</w:t>
      </w:r>
      <w:proofErr w:type="spellEnd"/>
      <w:r>
        <w:rPr>
          <w:rFonts w:ascii="Times New Roman" w:eastAsia="Times New Roman" w:hAnsi="Times New Roman" w:cs="Times New Roman"/>
          <w:sz w:val="24"/>
          <w:szCs w:val="24"/>
        </w:rPr>
        <w:t xml:space="preserve">, S. (2018). Parental and peer influence on the saving behaviour of the youth. </w:t>
      </w:r>
      <w:r>
        <w:rPr>
          <w:rFonts w:ascii="Times New Roman" w:eastAsia="Times New Roman" w:hAnsi="Times New Roman" w:cs="Times New Roman"/>
          <w:i/>
          <w:iCs/>
          <w:sz w:val="24"/>
          <w:szCs w:val="24"/>
        </w:rPr>
        <w:t>International Research Journal of Management 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w:t>
      </w:r>
      <w:r>
        <w:rPr>
          <w:rFonts w:ascii="Times New Roman" w:eastAsia="Times New Roman" w:hAnsi="Times New Roman" w:cs="Times New Roman"/>
          <w:sz w:val="24"/>
          <w:szCs w:val="24"/>
        </w:rPr>
        <w:t>, 42-63.</w:t>
      </w:r>
    </w:p>
    <w:p w14:paraId="1C28D464" w14:textId="77777777" w:rsidR="009D4FB3" w:rsidRDefault="009D4FB3">
      <w:pPr>
        <w:spacing w:after="0" w:line="24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w:t>
      </w:r>
      <w:proofErr w:type="spellStart"/>
      <w:r>
        <w:rPr>
          <w:rFonts w:ascii="Times New Roman" w:eastAsia="Times New Roman" w:hAnsi="Times New Roman" w:cs="Times New Roman"/>
          <w:sz w:val="24"/>
          <w:szCs w:val="24"/>
        </w:rPr>
        <w:t>Bassa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Scheresberg</w:t>
      </w:r>
      <w:proofErr w:type="spellEnd"/>
      <w:r>
        <w:rPr>
          <w:rFonts w:ascii="Times New Roman" w:eastAsia="Times New Roman" w:hAnsi="Times New Roman" w:cs="Times New Roman"/>
          <w:sz w:val="24"/>
          <w:szCs w:val="24"/>
        </w:rPr>
        <w:t xml:space="preserve">, C. (2013). Financial literacy and financial behaviour among young adults: Evidence and implications. </w:t>
      </w:r>
      <w:r>
        <w:rPr>
          <w:rFonts w:ascii="Times New Roman" w:eastAsia="Times New Roman" w:hAnsi="Times New Roman" w:cs="Times New Roman"/>
          <w:i/>
          <w:iCs/>
          <w:sz w:val="24"/>
          <w:szCs w:val="24"/>
        </w:rPr>
        <w:t>Numeracy, 6</w:t>
      </w:r>
      <w:r>
        <w:rPr>
          <w:rFonts w:ascii="Times New Roman" w:eastAsia="Times New Roman" w:hAnsi="Times New Roman" w:cs="Times New Roman"/>
          <w:sz w:val="24"/>
          <w:szCs w:val="24"/>
        </w:rPr>
        <w:t xml:space="preserve">(2). </w:t>
      </w:r>
    </w:p>
    <w:p w14:paraId="6568C7E2" w14:textId="77777777" w:rsidR="009D4FB3" w:rsidRDefault="009D4FB3">
      <w:pPr>
        <w:spacing w:after="0" w:line="24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Ridder, D. T., </w:t>
      </w:r>
      <w:proofErr w:type="spellStart"/>
      <w:r>
        <w:rPr>
          <w:rFonts w:ascii="Times New Roman" w:eastAsia="Times New Roman" w:hAnsi="Times New Roman" w:cs="Times New Roman"/>
          <w:sz w:val="24"/>
          <w:szCs w:val="24"/>
        </w:rPr>
        <w:t>Lensvelt</w:t>
      </w:r>
      <w:proofErr w:type="spellEnd"/>
      <w:r>
        <w:rPr>
          <w:rFonts w:ascii="Times New Roman" w:eastAsia="Times New Roman" w:hAnsi="Times New Roman" w:cs="Times New Roman"/>
          <w:sz w:val="24"/>
          <w:szCs w:val="24"/>
        </w:rPr>
        <w:t xml:space="preserve">-Mulders, G., </w:t>
      </w:r>
      <w:proofErr w:type="spellStart"/>
      <w:r>
        <w:rPr>
          <w:rFonts w:ascii="Times New Roman" w:eastAsia="Times New Roman" w:hAnsi="Times New Roman" w:cs="Times New Roman"/>
          <w:sz w:val="24"/>
          <w:szCs w:val="24"/>
        </w:rPr>
        <w:t>Finkenauer</w:t>
      </w:r>
      <w:proofErr w:type="spellEnd"/>
      <w:r>
        <w:rPr>
          <w:rFonts w:ascii="Times New Roman" w:eastAsia="Times New Roman" w:hAnsi="Times New Roman" w:cs="Times New Roman"/>
          <w:sz w:val="24"/>
          <w:szCs w:val="24"/>
        </w:rPr>
        <w:t xml:space="preserve">, C., Stok, F. M., &amp; </w:t>
      </w:r>
      <w:proofErr w:type="spellStart"/>
      <w:r>
        <w:rPr>
          <w:rFonts w:ascii="Times New Roman" w:eastAsia="Times New Roman" w:hAnsi="Times New Roman" w:cs="Times New Roman"/>
          <w:sz w:val="24"/>
          <w:szCs w:val="24"/>
        </w:rPr>
        <w:t>Baumeister</w:t>
      </w:r>
      <w:proofErr w:type="spellEnd"/>
      <w:r>
        <w:rPr>
          <w:rFonts w:ascii="Times New Roman" w:eastAsia="Times New Roman" w:hAnsi="Times New Roman" w:cs="Times New Roman"/>
          <w:sz w:val="24"/>
          <w:szCs w:val="24"/>
        </w:rPr>
        <w:t xml:space="preserve">, R. F. (2012). Taking stock of self-control: A meta-analysis of how trait self-control relates to a wide range of behaviours. </w:t>
      </w:r>
      <w:r>
        <w:rPr>
          <w:rFonts w:ascii="Times New Roman" w:eastAsia="Times New Roman" w:hAnsi="Times New Roman" w:cs="Times New Roman"/>
          <w:i/>
          <w:iCs/>
          <w:sz w:val="24"/>
          <w:szCs w:val="24"/>
        </w:rPr>
        <w:t>Personality and Social Psychology Review</w:t>
      </w:r>
      <w:r>
        <w:rPr>
          <w:rFonts w:ascii="Times New Roman" w:eastAsia="Times New Roman" w:hAnsi="Times New Roman" w:cs="Times New Roman"/>
          <w:sz w:val="24"/>
          <w:szCs w:val="24"/>
        </w:rPr>
        <w:t>, 16(1), 76-99.</w:t>
      </w:r>
    </w:p>
    <w:p w14:paraId="7FC914D8" w14:textId="77777777" w:rsidR="009D4FB3" w:rsidRDefault="009D4FB3" w:rsidP="007209C1">
      <w:pPr>
        <w:spacing w:after="0" w:line="24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Dewi</w:t>
      </w:r>
      <w:proofErr w:type="spellEnd"/>
      <w:r>
        <w:rPr>
          <w:rFonts w:ascii="Times New Roman" w:eastAsia="Times New Roman" w:hAnsi="Times New Roman" w:cs="Times New Roman"/>
          <w:sz w:val="24"/>
          <w:szCs w:val="24"/>
        </w:rPr>
        <w:t xml:space="preserve">, V. I. (2022). How do demographic and socioeconomic factors affect financial literacy and its </w:t>
      </w:r>
      <w:proofErr w:type="gramStart"/>
      <w:r>
        <w:rPr>
          <w:rFonts w:ascii="Times New Roman" w:eastAsia="Times New Roman" w:hAnsi="Times New Roman" w:cs="Times New Roman"/>
          <w:sz w:val="24"/>
          <w:szCs w:val="24"/>
        </w:rPr>
        <w:t>variables?.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Cogent Business &amp; Management, 9</w:t>
      </w:r>
      <w:r>
        <w:rPr>
          <w:rFonts w:ascii="Times New Roman" w:eastAsia="Times New Roman" w:hAnsi="Times New Roman" w:cs="Times New Roman"/>
          <w:sz w:val="24"/>
          <w:szCs w:val="24"/>
        </w:rPr>
        <w:t>(1).</w:t>
      </w:r>
    </w:p>
    <w:p w14:paraId="6031AA50" w14:textId="77777777" w:rsidR="009D4FB3" w:rsidRDefault="009D4FB3">
      <w:pPr>
        <w:spacing w:after="0" w:line="24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Garg, N., &amp; Singh, S. (2018). Financial literacy among youth. </w:t>
      </w:r>
      <w:r w:rsidRPr="000E2237">
        <w:rPr>
          <w:rFonts w:ascii="Times New Roman" w:eastAsia="Times New Roman" w:hAnsi="Times New Roman" w:cs="Times New Roman"/>
          <w:i/>
          <w:sz w:val="24"/>
          <w:szCs w:val="24"/>
        </w:rPr>
        <w:t>International Journal of Social Economics, 45</w:t>
      </w:r>
      <w:r>
        <w:rPr>
          <w:rFonts w:ascii="Times New Roman" w:eastAsia="Times New Roman" w:hAnsi="Times New Roman" w:cs="Times New Roman"/>
          <w:sz w:val="24"/>
          <w:szCs w:val="24"/>
        </w:rPr>
        <w:t>(1), 173-186.</w:t>
      </w:r>
    </w:p>
    <w:p w14:paraId="6C5FA50A" w14:textId="77777777" w:rsidR="009D4FB3" w:rsidRDefault="009D4FB3">
      <w:pPr>
        <w:spacing w:after="0" w:line="24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Hair, J. F., &amp; </w:t>
      </w:r>
      <w:proofErr w:type="spellStart"/>
      <w:r>
        <w:rPr>
          <w:rFonts w:ascii="Times New Roman" w:eastAsia="Times New Roman" w:hAnsi="Times New Roman" w:cs="Times New Roman"/>
          <w:sz w:val="24"/>
          <w:szCs w:val="24"/>
        </w:rPr>
        <w:t>Arthor</w:t>
      </w:r>
      <w:proofErr w:type="spellEnd"/>
      <w:r>
        <w:rPr>
          <w:rFonts w:ascii="Times New Roman" w:eastAsia="Times New Roman" w:hAnsi="Times New Roman" w:cs="Times New Roman"/>
          <w:sz w:val="24"/>
          <w:szCs w:val="24"/>
        </w:rPr>
        <w:t xml:space="preserve">, H. M. (2007). </w:t>
      </w:r>
      <w:r w:rsidRPr="009A0A36">
        <w:rPr>
          <w:rFonts w:ascii="Times New Roman" w:eastAsia="Times New Roman" w:hAnsi="Times New Roman" w:cs="Times New Roman"/>
          <w:i/>
          <w:sz w:val="24"/>
          <w:szCs w:val="24"/>
        </w:rPr>
        <w:t>Research Method for Business</w:t>
      </w:r>
      <w:r>
        <w:rPr>
          <w:rFonts w:ascii="Times New Roman" w:eastAsia="Times New Roman" w:hAnsi="Times New Roman" w:cs="Times New Roman"/>
          <w:sz w:val="24"/>
          <w:szCs w:val="24"/>
        </w:rPr>
        <w:t>. John Wiley &amp; Sons Ltd.</w:t>
      </w:r>
    </w:p>
    <w:p w14:paraId="2C4B52A4" w14:textId="77777777" w:rsidR="009D4FB3" w:rsidRDefault="009D4FB3">
      <w:pPr>
        <w:spacing w:after="0" w:line="24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Hair, J. F., Black, W. C., </w:t>
      </w:r>
      <w:proofErr w:type="spellStart"/>
      <w:r>
        <w:rPr>
          <w:rFonts w:ascii="Times New Roman" w:eastAsia="Times New Roman" w:hAnsi="Times New Roman" w:cs="Times New Roman"/>
          <w:sz w:val="24"/>
          <w:szCs w:val="24"/>
        </w:rPr>
        <w:t>Babin</w:t>
      </w:r>
      <w:proofErr w:type="spellEnd"/>
      <w:r>
        <w:rPr>
          <w:rFonts w:ascii="Times New Roman" w:eastAsia="Times New Roman" w:hAnsi="Times New Roman" w:cs="Times New Roman"/>
          <w:sz w:val="24"/>
          <w:szCs w:val="24"/>
        </w:rPr>
        <w:t xml:space="preserve">, B. J., &amp; Anderson, R. E. (2021). </w:t>
      </w:r>
      <w:r w:rsidRPr="0058024C">
        <w:rPr>
          <w:rFonts w:ascii="Times New Roman" w:eastAsia="Times New Roman" w:hAnsi="Times New Roman" w:cs="Times New Roman"/>
          <w:i/>
          <w:sz w:val="24"/>
          <w:szCs w:val="24"/>
        </w:rPr>
        <w:t>Multivariate Data Analysis</w:t>
      </w:r>
      <w:r>
        <w:rPr>
          <w:rFonts w:ascii="Times New Roman" w:eastAsia="Times New Roman" w:hAnsi="Times New Roman" w:cs="Times New Roman"/>
          <w:sz w:val="24"/>
          <w:szCs w:val="24"/>
        </w:rPr>
        <w:t xml:space="preserve"> (8th ed.). Cengage Learning.</w:t>
      </w:r>
    </w:p>
    <w:p w14:paraId="60AE2788" w14:textId="77777777" w:rsidR="009D4FB3" w:rsidRDefault="009D4FB3">
      <w:pPr>
        <w:spacing w:after="0" w:line="24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Hosmer, D. W., </w:t>
      </w:r>
      <w:proofErr w:type="spellStart"/>
      <w:r>
        <w:rPr>
          <w:rFonts w:ascii="Times New Roman" w:eastAsia="Times New Roman" w:hAnsi="Times New Roman" w:cs="Times New Roman"/>
          <w:sz w:val="24"/>
          <w:szCs w:val="24"/>
        </w:rPr>
        <w:t>Lemeshow</w:t>
      </w:r>
      <w:proofErr w:type="spellEnd"/>
      <w:r>
        <w:rPr>
          <w:rFonts w:ascii="Times New Roman" w:eastAsia="Times New Roman" w:hAnsi="Times New Roman" w:cs="Times New Roman"/>
          <w:sz w:val="24"/>
          <w:szCs w:val="24"/>
        </w:rPr>
        <w:t xml:space="preserve">, S., &amp; Sturdivant, R. X. (2013). </w:t>
      </w:r>
      <w:r>
        <w:rPr>
          <w:rFonts w:ascii="Times New Roman" w:eastAsia="Times New Roman" w:hAnsi="Times New Roman" w:cs="Times New Roman"/>
          <w:i/>
          <w:iCs/>
          <w:sz w:val="24"/>
          <w:szCs w:val="24"/>
        </w:rPr>
        <w:t>Applied Logistic Regression</w:t>
      </w:r>
      <w:r>
        <w:rPr>
          <w:rFonts w:ascii="Times New Roman" w:eastAsia="Times New Roman" w:hAnsi="Times New Roman" w:cs="Times New Roman"/>
          <w:sz w:val="24"/>
          <w:szCs w:val="24"/>
        </w:rPr>
        <w:t xml:space="preserve"> (3rd ed.). Wiley.</w:t>
      </w:r>
    </w:p>
    <w:p w14:paraId="142F70F7" w14:textId="77777777" w:rsidR="009D4FB3" w:rsidRDefault="009D4FB3">
      <w:pPr>
        <w:spacing w:after="0" w:line="24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Ismail, S., </w:t>
      </w:r>
      <w:proofErr w:type="spellStart"/>
      <w:r>
        <w:rPr>
          <w:rFonts w:ascii="Times New Roman" w:eastAsia="Times New Roman" w:hAnsi="Times New Roman" w:cs="Times New Roman"/>
          <w:sz w:val="24"/>
          <w:szCs w:val="24"/>
        </w:rPr>
        <w:t>Khairuddin</w:t>
      </w:r>
      <w:proofErr w:type="spellEnd"/>
      <w:r>
        <w:rPr>
          <w:rFonts w:ascii="Times New Roman" w:eastAsia="Times New Roman" w:hAnsi="Times New Roman" w:cs="Times New Roman"/>
          <w:sz w:val="24"/>
          <w:szCs w:val="24"/>
        </w:rPr>
        <w:t>, N. S., Alias, N. E., Loon-</w:t>
      </w:r>
      <w:proofErr w:type="spellStart"/>
      <w:r>
        <w:rPr>
          <w:rFonts w:ascii="Times New Roman" w:eastAsia="Times New Roman" w:hAnsi="Times New Roman" w:cs="Times New Roman"/>
          <w:sz w:val="24"/>
          <w:szCs w:val="24"/>
        </w:rPr>
        <w:t>Koe</w:t>
      </w:r>
      <w:proofErr w:type="spellEnd"/>
      <w:r>
        <w:rPr>
          <w:rFonts w:ascii="Times New Roman" w:eastAsia="Times New Roman" w:hAnsi="Times New Roman" w:cs="Times New Roman"/>
          <w:sz w:val="24"/>
          <w:szCs w:val="24"/>
        </w:rPr>
        <w:t xml:space="preserve">, W., &amp; Othman, R. (2018). An empirical analysis of saving behaviour among Malaysian employees. </w:t>
      </w:r>
      <w:r>
        <w:rPr>
          <w:rFonts w:ascii="Times New Roman" w:eastAsia="Times New Roman" w:hAnsi="Times New Roman" w:cs="Times New Roman"/>
          <w:i/>
          <w:iCs/>
          <w:sz w:val="24"/>
          <w:szCs w:val="24"/>
        </w:rPr>
        <w:t>International Journal of Academic Research in Business and Social Sciences, 8</w:t>
      </w:r>
      <w:r>
        <w:rPr>
          <w:rFonts w:ascii="Times New Roman" w:eastAsia="Times New Roman" w:hAnsi="Times New Roman" w:cs="Times New Roman"/>
          <w:sz w:val="24"/>
          <w:szCs w:val="24"/>
        </w:rPr>
        <w:t>(10), 1070-1080.</w:t>
      </w:r>
    </w:p>
    <w:p w14:paraId="7B0D5E10" w14:textId="77777777" w:rsidR="009D4FB3" w:rsidRDefault="009D4FB3">
      <w:pPr>
        <w:spacing w:after="0" w:line="24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Ismail, S., </w:t>
      </w:r>
      <w:proofErr w:type="spellStart"/>
      <w:r>
        <w:rPr>
          <w:rFonts w:ascii="Times New Roman" w:eastAsia="Times New Roman" w:hAnsi="Times New Roman" w:cs="Times New Roman"/>
          <w:sz w:val="24"/>
          <w:szCs w:val="24"/>
        </w:rPr>
        <w:t>Koe</w:t>
      </w:r>
      <w:proofErr w:type="spellEnd"/>
      <w:r>
        <w:rPr>
          <w:rFonts w:ascii="Times New Roman" w:eastAsia="Times New Roman" w:hAnsi="Times New Roman" w:cs="Times New Roman"/>
          <w:sz w:val="24"/>
          <w:szCs w:val="24"/>
        </w:rPr>
        <w:t xml:space="preserve">, W. L., </w:t>
      </w:r>
      <w:proofErr w:type="spellStart"/>
      <w:r>
        <w:rPr>
          <w:rFonts w:ascii="Times New Roman" w:eastAsia="Times New Roman" w:hAnsi="Times New Roman" w:cs="Times New Roman"/>
          <w:sz w:val="24"/>
          <w:szCs w:val="24"/>
        </w:rPr>
        <w:t>Mahphoth</w:t>
      </w:r>
      <w:proofErr w:type="spellEnd"/>
      <w:r>
        <w:rPr>
          <w:rFonts w:ascii="Times New Roman" w:eastAsia="Times New Roman" w:hAnsi="Times New Roman" w:cs="Times New Roman"/>
          <w:sz w:val="24"/>
          <w:szCs w:val="24"/>
        </w:rPr>
        <w:t xml:space="preserve">, M. H., Karim, R. A., </w:t>
      </w:r>
      <w:proofErr w:type="spellStart"/>
      <w:r>
        <w:rPr>
          <w:rFonts w:ascii="Times New Roman" w:eastAsia="Times New Roman" w:hAnsi="Times New Roman" w:cs="Times New Roman"/>
          <w:sz w:val="24"/>
          <w:szCs w:val="24"/>
        </w:rPr>
        <w:t>Yusof</w:t>
      </w:r>
      <w:proofErr w:type="spellEnd"/>
      <w:r>
        <w:rPr>
          <w:rFonts w:ascii="Times New Roman" w:eastAsia="Times New Roman" w:hAnsi="Times New Roman" w:cs="Times New Roman"/>
          <w:sz w:val="24"/>
          <w:szCs w:val="24"/>
        </w:rPr>
        <w:t xml:space="preserve">, N., &amp; Ismail, S. (2020). Saving Behaviour Determinants in Malaysia: An Empirical Investigation. </w:t>
      </w:r>
      <w:r w:rsidRPr="00810876">
        <w:rPr>
          <w:rFonts w:ascii="Times New Roman" w:eastAsia="Times New Roman" w:hAnsi="Times New Roman" w:cs="Times New Roman"/>
          <w:sz w:val="24"/>
          <w:szCs w:val="24"/>
        </w:rPr>
        <w:t>International Conference on Economics, Business and Economic Education</w:t>
      </w:r>
      <w:r>
        <w:rPr>
          <w:rFonts w:ascii="Times New Roman" w:eastAsia="Times New Roman" w:hAnsi="Times New Roman" w:cs="Times New Roman"/>
          <w:sz w:val="24"/>
          <w:szCs w:val="24"/>
        </w:rPr>
        <w:t xml:space="preserve">, </w:t>
      </w:r>
      <w:proofErr w:type="spellStart"/>
      <w:r w:rsidRPr="00810876">
        <w:rPr>
          <w:rFonts w:ascii="Times New Roman" w:eastAsia="Times New Roman" w:hAnsi="Times New Roman" w:cs="Times New Roman"/>
          <w:iCs/>
          <w:sz w:val="24"/>
          <w:szCs w:val="24"/>
        </w:rPr>
        <w:t>KnE</w:t>
      </w:r>
      <w:proofErr w:type="spellEnd"/>
      <w:r w:rsidRPr="00810876">
        <w:rPr>
          <w:rFonts w:ascii="Times New Roman" w:eastAsia="Times New Roman" w:hAnsi="Times New Roman" w:cs="Times New Roman"/>
          <w:iCs/>
          <w:sz w:val="24"/>
          <w:szCs w:val="24"/>
        </w:rPr>
        <w:t xml:space="preserve"> Social Sciences</w:t>
      </w:r>
      <w:r w:rsidRPr="00810876">
        <w:rPr>
          <w:rFonts w:ascii="Times New Roman" w:eastAsia="Times New Roman" w:hAnsi="Times New Roman" w:cs="Times New Roman"/>
          <w:sz w:val="24"/>
          <w:szCs w:val="24"/>
        </w:rPr>
        <w:t>, 731-743.</w:t>
      </w:r>
    </w:p>
    <w:p w14:paraId="4ADE7DB4" w14:textId="77777777" w:rsidR="009D4FB3" w:rsidRDefault="009D4FB3">
      <w:pPr>
        <w:spacing w:after="0" w:line="24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Jin</w:t>
      </w:r>
      <w:proofErr w:type="spellEnd"/>
      <w:r>
        <w:rPr>
          <w:rFonts w:ascii="Times New Roman" w:eastAsia="Times New Roman" w:hAnsi="Times New Roman" w:cs="Times New Roman"/>
          <w:sz w:val="24"/>
          <w:szCs w:val="24"/>
        </w:rPr>
        <w:t xml:space="preserve">, X., Zhao, Y., Song, W., &amp; Zhao, T. (2021). Save for safe: Effect of COVID-19 pandemic on consumers' saving and spending behaviour in China. </w:t>
      </w:r>
      <w:r>
        <w:rPr>
          <w:rFonts w:ascii="Times New Roman" w:eastAsia="Times New Roman" w:hAnsi="Times New Roman" w:cs="Times New Roman"/>
          <w:i/>
          <w:iCs/>
          <w:sz w:val="24"/>
          <w:szCs w:val="24"/>
        </w:rPr>
        <w:t>Frontiers in psychology, 12</w:t>
      </w:r>
      <w:r>
        <w:rPr>
          <w:rFonts w:ascii="Times New Roman" w:eastAsia="Times New Roman" w:hAnsi="Times New Roman" w:cs="Times New Roman"/>
          <w:sz w:val="24"/>
          <w:szCs w:val="24"/>
        </w:rPr>
        <w:t>, 636859.</w:t>
      </w:r>
    </w:p>
    <w:p w14:paraId="54893FD3" w14:textId="77777777" w:rsidR="009D4FB3" w:rsidRDefault="009D4FB3">
      <w:pPr>
        <w:spacing w:after="0" w:line="24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Kadir</w:t>
      </w:r>
      <w:proofErr w:type="spellEnd"/>
      <w:r>
        <w:rPr>
          <w:rFonts w:ascii="Times New Roman" w:eastAsia="Times New Roman" w:hAnsi="Times New Roman" w:cs="Times New Roman"/>
          <w:sz w:val="24"/>
          <w:szCs w:val="24"/>
        </w:rPr>
        <w:t xml:space="preserve">, J. M. A., </w:t>
      </w:r>
      <w:proofErr w:type="spellStart"/>
      <w:r>
        <w:rPr>
          <w:rFonts w:ascii="Times New Roman" w:eastAsia="Times New Roman" w:hAnsi="Times New Roman" w:cs="Times New Roman"/>
          <w:sz w:val="24"/>
          <w:szCs w:val="24"/>
        </w:rPr>
        <w:t>Shoukat</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Naghavi</w:t>
      </w:r>
      <w:proofErr w:type="spellEnd"/>
      <w:r>
        <w:rPr>
          <w:rFonts w:ascii="Times New Roman" w:eastAsia="Times New Roman" w:hAnsi="Times New Roman" w:cs="Times New Roman"/>
          <w:sz w:val="24"/>
          <w:szCs w:val="24"/>
        </w:rPr>
        <w:t xml:space="preserve">, N., &amp; </w:t>
      </w:r>
      <w:proofErr w:type="spellStart"/>
      <w:r>
        <w:rPr>
          <w:rFonts w:ascii="Times New Roman" w:eastAsia="Times New Roman" w:hAnsi="Times New Roman" w:cs="Times New Roman"/>
          <w:sz w:val="24"/>
          <w:szCs w:val="24"/>
        </w:rPr>
        <w:t>Jamaluddin</w:t>
      </w:r>
      <w:proofErr w:type="spellEnd"/>
      <w:r>
        <w:rPr>
          <w:rFonts w:ascii="Times New Roman" w:eastAsia="Times New Roman" w:hAnsi="Times New Roman" w:cs="Times New Roman"/>
          <w:sz w:val="24"/>
          <w:szCs w:val="24"/>
        </w:rPr>
        <w:t xml:space="preserve">, A. A. (2021). Saving behaviour in emerging country: The role of financial knowledge, peer influence and parent socialization. </w:t>
      </w:r>
      <w:r>
        <w:rPr>
          <w:rFonts w:ascii="Times New Roman" w:eastAsia="Times New Roman" w:hAnsi="Times New Roman" w:cs="Times New Roman"/>
          <w:i/>
          <w:iCs/>
          <w:sz w:val="24"/>
          <w:szCs w:val="24"/>
        </w:rPr>
        <w:t>Pakistan Business Review, 22</w:t>
      </w:r>
      <w:r>
        <w:rPr>
          <w:rFonts w:ascii="Times New Roman" w:eastAsia="Times New Roman" w:hAnsi="Times New Roman" w:cs="Times New Roman"/>
          <w:sz w:val="24"/>
          <w:szCs w:val="24"/>
        </w:rPr>
        <w:t>(4), 629-644.</w:t>
      </w:r>
    </w:p>
    <w:p w14:paraId="30626EE6" w14:textId="77777777" w:rsidR="009D4FB3" w:rsidRDefault="009D4FB3">
      <w:pPr>
        <w:spacing w:after="0" w:line="24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Kassim</w:t>
      </w:r>
      <w:proofErr w:type="spellEnd"/>
      <w:r>
        <w:rPr>
          <w:rFonts w:ascii="Times New Roman" w:eastAsia="Times New Roman" w:hAnsi="Times New Roman" w:cs="Times New Roman"/>
          <w:sz w:val="24"/>
          <w:szCs w:val="24"/>
        </w:rPr>
        <w:t xml:space="preserve">, A. A. M., </w:t>
      </w:r>
      <w:proofErr w:type="spellStart"/>
      <w:r>
        <w:rPr>
          <w:rFonts w:ascii="Times New Roman" w:eastAsia="Times New Roman" w:hAnsi="Times New Roman" w:cs="Times New Roman"/>
          <w:sz w:val="24"/>
          <w:szCs w:val="24"/>
        </w:rPr>
        <w:t>Tamsir</w:t>
      </w:r>
      <w:proofErr w:type="spellEnd"/>
      <w:r>
        <w:rPr>
          <w:rFonts w:ascii="Times New Roman" w:eastAsia="Times New Roman" w:hAnsi="Times New Roman" w:cs="Times New Roman"/>
          <w:sz w:val="24"/>
          <w:szCs w:val="24"/>
        </w:rPr>
        <w:t xml:space="preserve">, F., Azim, Z. A. Z., Mohamed, J., &amp; </w:t>
      </w:r>
      <w:proofErr w:type="spellStart"/>
      <w:r>
        <w:rPr>
          <w:rFonts w:ascii="Times New Roman" w:eastAsia="Times New Roman" w:hAnsi="Times New Roman" w:cs="Times New Roman"/>
          <w:sz w:val="24"/>
          <w:szCs w:val="24"/>
        </w:rPr>
        <w:t>Nordin</w:t>
      </w:r>
      <w:proofErr w:type="spellEnd"/>
      <w:r>
        <w:rPr>
          <w:rFonts w:ascii="Times New Roman" w:eastAsia="Times New Roman" w:hAnsi="Times New Roman" w:cs="Times New Roman"/>
          <w:sz w:val="24"/>
          <w:szCs w:val="24"/>
        </w:rPr>
        <w:t xml:space="preserve">, H. N. M. (2020). Students’ saving behaviour do demographic profile, parents’ background and financial literacy matter an empirical study in private universities in Selangor. </w:t>
      </w:r>
      <w:r>
        <w:rPr>
          <w:rFonts w:ascii="Times New Roman" w:eastAsia="Times New Roman" w:hAnsi="Times New Roman" w:cs="Times New Roman"/>
          <w:i/>
          <w:iCs/>
          <w:sz w:val="24"/>
          <w:szCs w:val="24"/>
        </w:rPr>
        <w:t>International Journal of Psychosocial Rehabilitation, 24</w:t>
      </w:r>
      <w:r>
        <w:rPr>
          <w:rFonts w:ascii="Times New Roman" w:eastAsia="Times New Roman" w:hAnsi="Times New Roman" w:cs="Times New Roman"/>
          <w:sz w:val="24"/>
          <w:szCs w:val="24"/>
        </w:rPr>
        <w:t>(1), 844-849.</w:t>
      </w:r>
    </w:p>
    <w:p w14:paraId="4B4540F3" w14:textId="77777777" w:rsidR="009D4FB3" w:rsidRDefault="009D4FB3">
      <w:pPr>
        <w:spacing w:after="0" w:line="24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Krah</w:t>
      </w:r>
      <w:proofErr w:type="spellEnd"/>
      <w:r>
        <w:rPr>
          <w:rFonts w:ascii="Times New Roman" w:eastAsia="Times New Roman" w:hAnsi="Times New Roman" w:cs="Times New Roman"/>
          <w:sz w:val="24"/>
          <w:szCs w:val="24"/>
        </w:rPr>
        <w:t xml:space="preserve">, R. Y., </w:t>
      </w:r>
      <w:proofErr w:type="spellStart"/>
      <w:r>
        <w:rPr>
          <w:rFonts w:ascii="Times New Roman" w:eastAsia="Times New Roman" w:hAnsi="Times New Roman" w:cs="Times New Roman"/>
          <w:sz w:val="24"/>
          <w:szCs w:val="24"/>
        </w:rPr>
        <w:t>Aveh</w:t>
      </w:r>
      <w:proofErr w:type="spellEnd"/>
      <w:r>
        <w:rPr>
          <w:rFonts w:ascii="Times New Roman" w:eastAsia="Times New Roman" w:hAnsi="Times New Roman" w:cs="Times New Roman"/>
          <w:sz w:val="24"/>
          <w:szCs w:val="24"/>
        </w:rPr>
        <w:t xml:space="preserve">, F. K., &amp; </w:t>
      </w:r>
      <w:proofErr w:type="spellStart"/>
      <w:r>
        <w:rPr>
          <w:rFonts w:ascii="Times New Roman" w:eastAsia="Times New Roman" w:hAnsi="Times New Roman" w:cs="Times New Roman"/>
          <w:sz w:val="24"/>
          <w:szCs w:val="24"/>
        </w:rPr>
        <w:t>Addo</w:t>
      </w:r>
      <w:proofErr w:type="spellEnd"/>
      <w:r>
        <w:rPr>
          <w:rFonts w:ascii="Times New Roman" w:eastAsia="Times New Roman" w:hAnsi="Times New Roman" w:cs="Times New Roman"/>
          <w:sz w:val="24"/>
          <w:szCs w:val="24"/>
        </w:rPr>
        <w:t xml:space="preserve">, R. (2014). An exploratory study of financial management practices among Ghanaian households. </w:t>
      </w:r>
      <w:r>
        <w:rPr>
          <w:rFonts w:ascii="Times New Roman" w:eastAsia="Times New Roman" w:hAnsi="Times New Roman" w:cs="Times New Roman"/>
          <w:i/>
          <w:iCs/>
          <w:sz w:val="24"/>
          <w:szCs w:val="24"/>
        </w:rPr>
        <w:t>International Journal of Management and Sustainability, 3</w:t>
      </w:r>
      <w:r>
        <w:rPr>
          <w:rFonts w:ascii="Times New Roman" w:eastAsia="Times New Roman" w:hAnsi="Times New Roman" w:cs="Times New Roman"/>
          <w:sz w:val="24"/>
          <w:szCs w:val="24"/>
        </w:rPr>
        <w:t>(7), 393-414.</w:t>
      </w:r>
    </w:p>
    <w:p w14:paraId="3AD98A7C" w14:textId="77777777" w:rsidR="009D4FB3" w:rsidRDefault="009D4FB3">
      <w:pPr>
        <w:spacing w:after="0" w:line="24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Lindner, C., Nagy, G., &amp; </w:t>
      </w:r>
      <w:proofErr w:type="spellStart"/>
      <w:r>
        <w:rPr>
          <w:rFonts w:ascii="Times New Roman" w:eastAsia="Times New Roman" w:hAnsi="Times New Roman" w:cs="Times New Roman"/>
          <w:sz w:val="24"/>
          <w:szCs w:val="24"/>
        </w:rPr>
        <w:t>Retelsdorf</w:t>
      </w:r>
      <w:proofErr w:type="spellEnd"/>
      <w:r>
        <w:rPr>
          <w:rFonts w:ascii="Times New Roman" w:eastAsia="Times New Roman" w:hAnsi="Times New Roman" w:cs="Times New Roman"/>
          <w:sz w:val="24"/>
          <w:szCs w:val="24"/>
        </w:rPr>
        <w:t xml:space="preserve">, J. (2015). The dimensionality of the Brief Self-Control Scale—An evaluation of unidimensional and multidimensional applications. </w:t>
      </w:r>
      <w:r>
        <w:rPr>
          <w:rFonts w:ascii="Times New Roman" w:eastAsia="Times New Roman" w:hAnsi="Times New Roman" w:cs="Times New Roman"/>
          <w:i/>
          <w:iCs/>
          <w:sz w:val="24"/>
          <w:szCs w:val="24"/>
        </w:rPr>
        <w:t>Personality and Individual Differences, 86</w:t>
      </w:r>
      <w:r>
        <w:rPr>
          <w:rFonts w:ascii="Times New Roman" w:eastAsia="Times New Roman" w:hAnsi="Times New Roman" w:cs="Times New Roman"/>
          <w:sz w:val="24"/>
          <w:szCs w:val="24"/>
        </w:rPr>
        <w:t>, 465-473.</w:t>
      </w:r>
    </w:p>
    <w:p w14:paraId="46A29994" w14:textId="77777777" w:rsidR="009D4FB3" w:rsidRDefault="009D4FB3">
      <w:pPr>
        <w:spacing w:after="0" w:line="24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Lusardi, A. (2019). Financial literacy and the need for financial education: Evidence and implications. </w:t>
      </w:r>
      <w:r>
        <w:rPr>
          <w:rFonts w:ascii="Times New Roman" w:eastAsia="Times New Roman" w:hAnsi="Times New Roman" w:cs="Times New Roman"/>
          <w:i/>
          <w:iCs/>
          <w:sz w:val="24"/>
          <w:szCs w:val="24"/>
        </w:rPr>
        <w:t>Swiss Journal of Economics and Statistics, 155</w:t>
      </w:r>
      <w:r>
        <w:rPr>
          <w:rFonts w:ascii="Times New Roman" w:eastAsia="Times New Roman" w:hAnsi="Times New Roman" w:cs="Times New Roman"/>
          <w:sz w:val="24"/>
          <w:szCs w:val="24"/>
        </w:rPr>
        <w:t>(1).</w:t>
      </w:r>
    </w:p>
    <w:p w14:paraId="66EA9722" w14:textId="77777777" w:rsidR="009D4FB3" w:rsidRPr="00BC6ADB" w:rsidRDefault="009D4FB3">
      <w:pPr>
        <w:spacing w:after="0" w:line="24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Mien, N. T. N., &amp; Thao, T. P. (2015, July 10-12). Factors affecting personal financial management behaviours: Evidence from Vietnam. </w:t>
      </w:r>
      <w:r w:rsidRPr="00BC6ADB">
        <w:rPr>
          <w:rFonts w:ascii="Times New Roman" w:eastAsia="Times New Roman" w:hAnsi="Times New Roman" w:cs="Times New Roman"/>
          <w:iCs/>
          <w:sz w:val="24"/>
          <w:szCs w:val="24"/>
        </w:rPr>
        <w:t>Proceedings of the Second Asia-Pacific Conference on Global Business, Economics, Finance and Social Sciences</w:t>
      </w:r>
      <w:r w:rsidRPr="00BC6ADB">
        <w:rPr>
          <w:rFonts w:ascii="Times New Roman" w:eastAsia="Times New Roman" w:hAnsi="Times New Roman" w:cs="Times New Roman"/>
          <w:sz w:val="24"/>
          <w:szCs w:val="24"/>
        </w:rPr>
        <w:t xml:space="preserve"> (AP15Vietnam Conference), </w:t>
      </w:r>
      <w:proofErr w:type="spellStart"/>
      <w:r>
        <w:rPr>
          <w:rFonts w:ascii="Times New Roman" w:eastAsia="Times New Roman" w:hAnsi="Times New Roman" w:cs="Times New Roman"/>
          <w:sz w:val="24"/>
          <w:szCs w:val="24"/>
        </w:rPr>
        <w:t>Danang</w:t>
      </w:r>
      <w:proofErr w:type="spellEnd"/>
      <w:r>
        <w:rPr>
          <w:rFonts w:ascii="Times New Roman" w:eastAsia="Times New Roman" w:hAnsi="Times New Roman" w:cs="Times New Roman"/>
          <w:sz w:val="24"/>
          <w:szCs w:val="24"/>
        </w:rPr>
        <w:t>-Vietnam.</w:t>
      </w:r>
    </w:p>
    <w:p w14:paraId="50B4E16C" w14:textId="77777777" w:rsidR="009D4FB3" w:rsidRDefault="009D4FB3">
      <w:pPr>
        <w:spacing w:after="0" w:line="24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Mohd</w:t>
      </w:r>
      <w:proofErr w:type="spellEnd"/>
      <w:r>
        <w:rPr>
          <w:rFonts w:ascii="Times New Roman" w:eastAsia="Times New Roman" w:hAnsi="Times New Roman" w:cs="Times New Roman"/>
          <w:sz w:val="24"/>
          <w:szCs w:val="24"/>
        </w:rPr>
        <w:t xml:space="preserve"> Isa, S., &amp; Kim, J. (2024). Examining factors of savings behaviour among Malaysian youth. </w:t>
      </w:r>
      <w:r w:rsidRPr="00810876">
        <w:rPr>
          <w:rFonts w:ascii="Times New Roman" w:eastAsia="Times New Roman" w:hAnsi="Times New Roman" w:cs="Times New Roman"/>
          <w:i/>
          <w:sz w:val="24"/>
          <w:szCs w:val="24"/>
        </w:rPr>
        <w:t>Journal of Governance and Integrity, 7</w:t>
      </w:r>
      <w:r>
        <w:rPr>
          <w:rFonts w:ascii="Times New Roman" w:eastAsia="Times New Roman" w:hAnsi="Times New Roman" w:cs="Times New Roman"/>
          <w:sz w:val="24"/>
          <w:szCs w:val="24"/>
        </w:rPr>
        <w:t>(1), 650-667.</w:t>
      </w:r>
    </w:p>
    <w:p w14:paraId="4638BF8E" w14:textId="77777777" w:rsidR="009D4FB3" w:rsidRDefault="009D4FB3">
      <w:pPr>
        <w:spacing w:after="0" w:line="24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Nursyuhada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Jemey</w:t>
      </w:r>
      <w:proofErr w:type="spellEnd"/>
      <w:r>
        <w:rPr>
          <w:rFonts w:ascii="Times New Roman" w:eastAsia="Times New Roman" w:hAnsi="Times New Roman" w:cs="Times New Roman"/>
          <w:sz w:val="24"/>
          <w:szCs w:val="24"/>
        </w:rPr>
        <w:t xml:space="preserve"> &amp; Nor </w:t>
      </w:r>
      <w:proofErr w:type="spellStart"/>
      <w:r>
        <w:rPr>
          <w:rFonts w:ascii="Times New Roman" w:eastAsia="Times New Roman" w:hAnsi="Times New Roman" w:cs="Times New Roman"/>
          <w:sz w:val="24"/>
          <w:szCs w:val="24"/>
        </w:rPr>
        <w:t>Hasniah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Kasim</w:t>
      </w:r>
      <w:proofErr w:type="spellEnd"/>
      <w:r>
        <w:rPr>
          <w:rFonts w:ascii="Times New Roman" w:eastAsia="Times New Roman" w:hAnsi="Times New Roman" w:cs="Times New Roman"/>
          <w:sz w:val="24"/>
          <w:szCs w:val="24"/>
        </w:rPr>
        <w:t xml:space="preserve">. (2023). The impact of COVID-19 on consumption patterns among Malaysian youths. </w:t>
      </w:r>
      <w:r>
        <w:rPr>
          <w:rFonts w:ascii="Times New Roman" w:eastAsia="Times New Roman" w:hAnsi="Times New Roman" w:cs="Times New Roman"/>
          <w:i/>
          <w:iCs/>
          <w:sz w:val="24"/>
          <w:szCs w:val="24"/>
        </w:rPr>
        <w:t>International Journal of Business and Social Science Research, 4</w:t>
      </w:r>
      <w:r>
        <w:rPr>
          <w:rFonts w:ascii="Times New Roman" w:eastAsia="Times New Roman" w:hAnsi="Times New Roman" w:cs="Times New Roman"/>
          <w:sz w:val="24"/>
          <w:szCs w:val="24"/>
        </w:rPr>
        <w:t>(9), 1–14.</w:t>
      </w:r>
    </w:p>
    <w:p w14:paraId="0A1983D4" w14:textId="77777777" w:rsidR="009D4FB3" w:rsidRDefault="009D4FB3">
      <w:pPr>
        <w:spacing w:after="0" w:line="24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Rath</w:t>
      </w:r>
      <w:proofErr w:type="spellEnd"/>
      <w:r>
        <w:rPr>
          <w:rFonts w:ascii="Times New Roman" w:eastAsia="Times New Roman" w:hAnsi="Times New Roman" w:cs="Times New Roman"/>
          <w:sz w:val="24"/>
          <w:szCs w:val="24"/>
        </w:rPr>
        <w:t xml:space="preserve">, S., &amp; Kaur, M. (2017). Saving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and retirement preparedness of government and private sector employees in India. </w:t>
      </w:r>
      <w:r>
        <w:rPr>
          <w:rFonts w:ascii="Times New Roman" w:eastAsia="Times New Roman" w:hAnsi="Times New Roman" w:cs="Times New Roman"/>
          <w:i/>
          <w:iCs/>
          <w:sz w:val="24"/>
          <w:szCs w:val="24"/>
        </w:rPr>
        <w:t>The Journal of Social and Economic Development, 19</w:t>
      </w:r>
      <w:r>
        <w:rPr>
          <w:rFonts w:ascii="Times New Roman" w:eastAsia="Times New Roman" w:hAnsi="Times New Roman" w:cs="Times New Roman"/>
          <w:sz w:val="24"/>
          <w:szCs w:val="24"/>
        </w:rPr>
        <w:t>(1), 34-51.</w:t>
      </w:r>
    </w:p>
    <w:p w14:paraId="0FE31C4F" w14:textId="77777777" w:rsidR="009D4FB3" w:rsidRDefault="009D4FB3">
      <w:pPr>
        <w:spacing w:after="0" w:line="24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Ribaj</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Mexhuani</w:t>
      </w:r>
      <w:proofErr w:type="spellEnd"/>
      <w:r>
        <w:rPr>
          <w:rFonts w:ascii="Times New Roman" w:eastAsia="Times New Roman" w:hAnsi="Times New Roman" w:cs="Times New Roman"/>
          <w:sz w:val="24"/>
          <w:szCs w:val="24"/>
        </w:rPr>
        <w:t xml:space="preserve">, F. (2021). The impact of savings on economic growth in a developing country (the case of Kosovo). </w:t>
      </w:r>
      <w:r>
        <w:rPr>
          <w:rFonts w:ascii="Times New Roman" w:eastAsia="Times New Roman" w:hAnsi="Times New Roman" w:cs="Times New Roman"/>
          <w:i/>
          <w:iCs/>
          <w:sz w:val="24"/>
          <w:szCs w:val="24"/>
        </w:rPr>
        <w:t>Journal of Innovation and Entrepreneurship, 10</w:t>
      </w:r>
      <w:r>
        <w:rPr>
          <w:rFonts w:ascii="Times New Roman" w:eastAsia="Times New Roman" w:hAnsi="Times New Roman" w:cs="Times New Roman"/>
          <w:sz w:val="24"/>
          <w:szCs w:val="24"/>
        </w:rPr>
        <w:t>(1), 1-13.</w:t>
      </w:r>
    </w:p>
    <w:p w14:paraId="16C1B055" w14:textId="77777777" w:rsidR="009D4FB3" w:rsidRDefault="009D4FB3">
      <w:pPr>
        <w:spacing w:after="0" w:line="24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RinggitPlus</w:t>
      </w:r>
      <w:proofErr w:type="spellEnd"/>
      <w:r>
        <w:rPr>
          <w:rFonts w:ascii="Times New Roman" w:eastAsia="Times New Roman" w:hAnsi="Times New Roman" w:cs="Times New Roman"/>
          <w:sz w:val="24"/>
          <w:szCs w:val="24"/>
        </w:rPr>
        <w:t xml:space="preserve"> Malaysian Financial Literacy Survey (RMFLS) (2024).  https://ringgitplus.com/en/ringgitplus-malaysian-financial-literacy-survey-2024/.</w:t>
      </w:r>
    </w:p>
    <w:p w14:paraId="1F96781C" w14:textId="77777777" w:rsidR="009D4FB3" w:rsidRDefault="009D4FB3">
      <w:pPr>
        <w:spacing w:after="0" w:line="24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SC Youth Capital Market Survey. (2022).  https://www.sc.com.my/youth-capital-market-survey.</w:t>
      </w:r>
    </w:p>
    <w:p w14:paraId="6A8A8BBB" w14:textId="77777777" w:rsidR="009D4FB3" w:rsidRDefault="009D4FB3">
      <w:pPr>
        <w:spacing w:after="0" w:line="24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Xu, L., &amp; Zia, B. (2012). Financial literacy around the world: An overview of the evidence with practical suggestions for the way forward. Policy Research Working Paper; No. 6107. World Bank, Washington, DC. © World Bank.</w:t>
      </w:r>
    </w:p>
    <w:p w14:paraId="601F82A9" w14:textId="77777777" w:rsidR="009D4FB3" w:rsidRDefault="009D4FB3">
      <w:pPr>
        <w:spacing w:after="0" w:line="24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Yudha</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Martanti</w:t>
      </w:r>
      <w:proofErr w:type="spellEnd"/>
      <w:r>
        <w:rPr>
          <w:rFonts w:ascii="Times New Roman" w:eastAsia="Times New Roman" w:hAnsi="Times New Roman" w:cs="Times New Roman"/>
          <w:sz w:val="24"/>
          <w:szCs w:val="24"/>
        </w:rPr>
        <w:t xml:space="preserve">, E. (2022). Improving financial behaviour of millennial generation through attitude, knowledge and confidence during the COVID-19 pandemic. </w:t>
      </w:r>
      <w:proofErr w:type="spellStart"/>
      <w:r>
        <w:rPr>
          <w:rFonts w:ascii="Times New Roman" w:eastAsia="Times New Roman" w:hAnsi="Times New Roman" w:cs="Times New Roman"/>
          <w:i/>
          <w:iCs/>
          <w:sz w:val="24"/>
          <w:szCs w:val="24"/>
        </w:rPr>
        <w:t>Jurnal</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Aplikasi</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Manajemen</w:t>
      </w:r>
      <w:proofErr w:type="spellEnd"/>
      <w:r>
        <w:rPr>
          <w:rFonts w:ascii="Times New Roman" w:eastAsia="Times New Roman" w:hAnsi="Times New Roman" w:cs="Times New Roman"/>
          <w:i/>
          <w:iCs/>
          <w:sz w:val="24"/>
          <w:szCs w:val="24"/>
        </w:rPr>
        <w:t>, 20</w:t>
      </w:r>
      <w:r>
        <w:rPr>
          <w:rFonts w:ascii="Times New Roman" w:eastAsia="Times New Roman" w:hAnsi="Times New Roman" w:cs="Times New Roman"/>
          <w:sz w:val="24"/>
          <w:szCs w:val="24"/>
        </w:rPr>
        <w:t>(1), 196-207.</w:t>
      </w:r>
    </w:p>
    <w:p w14:paraId="21959A8E" w14:textId="77777777" w:rsidR="00C0600B" w:rsidRDefault="00C0600B">
      <w:pPr>
        <w:spacing w:after="0" w:line="240" w:lineRule="auto"/>
        <w:ind w:left="630" w:hanging="630"/>
        <w:jc w:val="both"/>
        <w:rPr>
          <w:rFonts w:ascii="Times New Roman" w:eastAsia="Times New Roman" w:hAnsi="Times New Roman" w:cs="Times New Roman"/>
          <w:sz w:val="24"/>
          <w:szCs w:val="24"/>
        </w:rPr>
      </w:pPr>
    </w:p>
    <w:p w14:paraId="03570A83" w14:textId="77777777" w:rsidR="00C0600B" w:rsidRDefault="00C0600B">
      <w:pPr>
        <w:spacing w:after="0" w:line="240" w:lineRule="auto"/>
        <w:ind w:hanging="2"/>
        <w:jc w:val="both"/>
        <w:rPr>
          <w:rFonts w:ascii="Times New Roman" w:eastAsia="Times New Roman" w:hAnsi="Times New Roman" w:cs="Times New Roman"/>
          <w:sz w:val="24"/>
          <w:szCs w:val="24"/>
        </w:rPr>
      </w:pPr>
    </w:p>
    <w:sectPr w:rsidR="00C0600B" w:rsidSect="0041555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21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03BB9" w14:textId="77777777" w:rsidR="00CA34D4" w:rsidRDefault="00CA34D4">
      <w:pPr>
        <w:spacing w:line="240" w:lineRule="auto"/>
      </w:pPr>
      <w:r>
        <w:separator/>
      </w:r>
    </w:p>
  </w:endnote>
  <w:endnote w:type="continuationSeparator" w:id="0">
    <w:p w14:paraId="15D6E812" w14:textId="77777777" w:rsidR="00CA34D4" w:rsidRDefault="00CA34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FDCCC" w14:textId="77777777" w:rsidR="00D87FAE" w:rsidRDefault="00D87FAE">
    <w:pPr>
      <w:spacing w:after="0" w:line="240" w:lineRule="auto"/>
      <w:ind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C6F42" w14:textId="7CC8E65E" w:rsidR="00D87FAE" w:rsidRDefault="00D87FAE">
    <w:pPr>
      <w:pStyle w:val="Footer"/>
      <w:jc w:val="center"/>
    </w:pPr>
  </w:p>
  <w:p w14:paraId="12C53E3A" w14:textId="77777777" w:rsidR="00D87FAE" w:rsidRDefault="00D87FAE">
    <w:pPr>
      <w:spacing w:after="0" w:line="240" w:lineRule="auto"/>
      <w:ind w:hanging="2"/>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54225" w14:textId="77777777" w:rsidR="00D87FAE" w:rsidRDefault="00D87FAE">
    <w:pPr>
      <w:spacing w:after="0" w:line="240" w:lineRule="auto"/>
      <w:ind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49BDB" w14:textId="77777777" w:rsidR="00CA34D4" w:rsidRDefault="00CA34D4">
      <w:pPr>
        <w:spacing w:after="0"/>
      </w:pPr>
      <w:r>
        <w:separator/>
      </w:r>
    </w:p>
  </w:footnote>
  <w:footnote w:type="continuationSeparator" w:id="0">
    <w:p w14:paraId="5ACDD1E2" w14:textId="77777777" w:rsidR="00CA34D4" w:rsidRDefault="00CA34D4">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2871A" w14:textId="77777777" w:rsidR="00D87FAE" w:rsidRDefault="00D87FAE">
    <w:pPr>
      <w:ind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D284D" w14:textId="7A0047CB" w:rsidR="0041555D" w:rsidRPr="0041555D" w:rsidRDefault="0041555D" w:rsidP="0041555D">
    <w:pPr>
      <w:tabs>
        <w:tab w:val="center" w:pos="4680"/>
        <w:tab w:val="right" w:pos="9360"/>
      </w:tabs>
      <w:spacing w:after="0" w:line="240" w:lineRule="auto"/>
      <w:ind w:left="2" w:hanging="2"/>
      <w:rPr>
        <w:rFonts w:ascii="Times New Roman" w:hAnsi="Times New Roman" w:cs="Times New Roman"/>
        <w:sz w:val="18"/>
        <w:szCs w:val="18"/>
        <w:lang w:val="en-GB" w:eastAsia="en-MY"/>
      </w:rPr>
    </w:pPr>
    <w:proofErr w:type="spellStart"/>
    <w:r w:rsidRPr="0041555D">
      <w:rPr>
        <w:rFonts w:ascii="Times New Roman" w:hAnsi="Times New Roman" w:cs="Times New Roman"/>
        <w:sz w:val="18"/>
        <w:szCs w:val="18"/>
      </w:rPr>
      <w:t>Geografia</w:t>
    </w:r>
    <w:proofErr w:type="spellEnd"/>
    <w:r w:rsidRPr="0041555D">
      <w:rPr>
        <w:rFonts w:ascii="Times New Roman" w:hAnsi="Times New Roman" w:cs="Times New Roman"/>
        <w:sz w:val="18"/>
        <w:szCs w:val="18"/>
      </w:rPr>
      <w:t>-Malaysian Journal of Society and Space 21 issue 4 (</w:t>
    </w:r>
    <w:r w:rsidR="002A6080">
      <w:rPr>
        <w:rFonts w:ascii="Times New Roman" w:hAnsi="Times New Roman" w:cs="Times New Roman"/>
        <w:sz w:val="18"/>
        <w:szCs w:val="18"/>
      </w:rPr>
      <w:t>211-225</w:t>
    </w:r>
    <w:r w:rsidRPr="0041555D">
      <w:rPr>
        <w:rFonts w:ascii="Times New Roman" w:hAnsi="Times New Roman" w:cs="Times New Roman"/>
        <w:sz w:val="18"/>
        <w:szCs w:val="18"/>
      </w:rPr>
      <w:t>)</w:t>
    </w:r>
    <w:r w:rsidRPr="0041555D">
      <w:rPr>
        <w:rFonts w:ascii="Times New Roman" w:hAnsi="Times New Roman" w:cs="Times New Roman"/>
        <w:sz w:val="18"/>
        <w:szCs w:val="18"/>
      </w:rPr>
      <w:tab/>
    </w:r>
  </w:p>
  <w:p w14:paraId="7538A0B0" w14:textId="34BA5060" w:rsidR="0041555D" w:rsidRPr="0041555D" w:rsidRDefault="0041555D" w:rsidP="0041555D">
    <w:pPr>
      <w:pStyle w:val="Header"/>
      <w:spacing w:after="0" w:line="240" w:lineRule="auto"/>
      <w:rPr>
        <w:rFonts w:ascii="Times New Roman" w:hAnsi="Times New Roman" w:cs="Times New Roman"/>
        <w:sz w:val="18"/>
        <w:szCs w:val="18"/>
      </w:rPr>
    </w:pPr>
    <w:r w:rsidRPr="0041555D">
      <w:rPr>
        <w:rFonts w:ascii="Times New Roman" w:hAnsi="Times New Roman" w:cs="Times New Roman"/>
        <w:sz w:val="18"/>
        <w:szCs w:val="18"/>
      </w:rPr>
      <w:t xml:space="preserve">© 2025, e-ISSN 2682-7727 </w:t>
    </w:r>
    <w:bookmarkStart w:id="3" w:name="_GoBack"/>
    <w:r w:rsidR="002A6080" w:rsidRPr="002A6080">
      <w:rPr>
        <w:rFonts w:ascii="Times New Roman" w:hAnsi="Times New Roman" w:cs="Times New Roman"/>
        <w:position w:val="-1"/>
        <w:sz w:val="18"/>
        <w:szCs w:val="18"/>
      </w:rPr>
      <w:fldChar w:fldCharType="begin"/>
    </w:r>
    <w:r w:rsidR="002A6080" w:rsidRPr="002A6080">
      <w:rPr>
        <w:rFonts w:ascii="Times New Roman" w:hAnsi="Times New Roman" w:cs="Times New Roman"/>
        <w:position w:val="-1"/>
        <w:sz w:val="18"/>
        <w:szCs w:val="18"/>
      </w:rPr>
      <w:instrText xml:space="preserve"> HYPERLINK "https://doi.org/10.17576/geo-2025-2104-12" </w:instrText>
    </w:r>
    <w:r w:rsidR="002A6080" w:rsidRPr="002A6080">
      <w:rPr>
        <w:rFonts w:ascii="Times New Roman" w:hAnsi="Times New Roman" w:cs="Times New Roman"/>
        <w:position w:val="-1"/>
        <w:sz w:val="18"/>
        <w:szCs w:val="18"/>
      </w:rPr>
    </w:r>
    <w:r w:rsidR="002A6080" w:rsidRPr="002A6080">
      <w:rPr>
        <w:rFonts w:ascii="Times New Roman" w:hAnsi="Times New Roman" w:cs="Times New Roman"/>
        <w:position w:val="-1"/>
        <w:sz w:val="18"/>
        <w:szCs w:val="18"/>
      </w:rPr>
      <w:fldChar w:fldCharType="separate"/>
    </w:r>
    <w:r w:rsidRPr="002A6080">
      <w:rPr>
        <w:rStyle w:val="Hyperlink"/>
        <w:rFonts w:ascii="Times New Roman" w:hAnsi="Times New Roman" w:cs="Times New Roman"/>
        <w:color w:val="auto"/>
        <w:sz w:val="18"/>
        <w:szCs w:val="18"/>
        <w:u w:val="none"/>
      </w:rPr>
      <w:t>https://doi.org/10.17576/geo-2025-2104-1</w:t>
    </w:r>
    <w:r w:rsidR="002A6080" w:rsidRPr="002A6080">
      <w:rPr>
        <w:rStyle w:val="Hyperlink"/>
        <w:rFonts w:ascii="Times New Roman" w:hAnsi="Times New Roman" w:cs="Times New Roman"/>
        <w:color w:val="auto"/>
        <w:sz w:val="18"/>
        <w:szCs w:val="18"/>
        <w:u w:val="none"/>
      </w:rPr>
      <w:t>2</w:t>
    </w:r>
    <w:r w:rsidR="002A6080" w:rsidRPr="002A6080">
      <w:rPr>
        <w:rFonts w:ascii="Times New Roman" w:hAnsi="Times New Roman" w:cs="Times New Roman"/>
        <w:position w:val="-1"/>
        <w:sz w:val="18"/>
        <w:szCs w:val="18"/>
      </w:rPr>
      <w:fldChar w:fldCharType="end"/>
    </w:r>
    <w:bookmarkEnd w:id="3"/>
    <w:sdt>
      <w:sdtPr>
        <w:rPr>
          <w:rFonts w:ascii="Times New Roman" w:hAnsi="Times New Roman" w:cs="Times New Roman"/>
          <w:sz w:val="18"/>
          <w:szCs w:val="18"/>
        </w:rPr>
        <w:id w:val="-22171921"/>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41555D">
          <w:rPr>
            <w:rFonts w:ascii="Times New Roman" w:hAnsi="Times New Roman" w:cs="Times New Roman"/>
            <w:sz w:val="18"/>
            <w:szCs w:val="18"/>
          </w:rPr>
          <w:fldChar w:fldCharType="begin"/>
        </w:r>
        <w:r w:rsidRPr="0041555D">
          <w:rPr>
            <w:rFonts w:ascii="Times New Roman" w:hAnsi="Times New Roman" w:cs="Times New Roman"/>
            <w:sz w:val="18"/>
            <w:szCs w:val="18"/>
          </w:rPr>
          <w:instrText xml:space="preserve"> PAGE   \* MERGEFORMAT </w:instrText>
        </w:r>
        <w:r w:rsidRPr="0041555D">
          <w:rPr>
            <w:rFonts w:ascii="Times New Roman" w:hAnsi="Times New Roman" w:cs="Times New Roman"/>
            <w:sz w:val="18"/>
            <w:szCs w:val="18"/>
          </w:rPr>
          <w:fldChar w:fldCharType="separate"/>
        </w:r>
        <w:r w:rsidR="002A6080">
          <w:rPr>
            <w:rFonts w:ascii="Times New Roman" w:hAnsi="Times New Roman" w:cs="Times New Roman"/>
            <w:noProof/>
            <w:sz w:val="18"/>
            <w:szCs w:val="18"/>
          </w:rPr>
          <w:t>225</w:t>
        </w:r>
        <w:r w:rsidRPr="0041555D">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796" w14:textId="77777777" w:rsidR="00D87FAE" w:rsidRDefault="00D87FAE">
    <w:pPr>
      <w:ind w:hanging="2"/>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5A2415"/>
    <w:multiLevelType w:val="multilevel"/>
    <w:tmpl w:val="605A241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2FD"/>
    <w:rsid w:val="00022B08"/>
    <w:rsid w:val="00026650"/>
    <w:rsid w:val="000277E7"/>
    <w:rsid w:val="00037D4A"/>
    <w:rsid w:val="000412E3"/>
    <w:rsid w:val="00057AA5"/>
    <w:rsid w:val="0008274E"/>
    <w:rsid w:val="00087867"/>
    <w:rsid w:val="00091B4E"/>
    <w:rsid w:val="000A2469"/>
    <w:rsid w:val="000A6D40"/>
    <w:rsid w:val="000A72FD"/>
    <w:rsid w:val="000A7CB1"/>
    <w:rsid w:val="000B0413"/>
    <w:rsid w:val="000C2BC6"/>
    <w:rsid w:val="000C7508"/>
    <w:rsid w:val="000D651B"/>
    <w:rsid w:val="000E0EE0"/>
    <w:rsid w:val="000E2237"/>
    <w:rsid w:val="001006DF"/>
    <w:rsid w:val="00102D1F"/>
    <w:rsid w:val="00104344"/>
    <w:rsid w:val="00116B68"/>
    <w:rsid w:val="00130CF1"/>
    <w:rsid w:val="00154F1E"/>
    <w:rsid w:val="00170AEC"/>
    <w:rsid w:val="00184C3E"/>
    <w:rsid w:val="00186C7C"/>
    <w:rsid w:val="00190579"/>
    <w:rsid w:val="001E1E62"/>
    <w:rsid w:val="00213BE1"/>
    <w:rsid w:val="002836EF"/>
    <w:rsid w:val="00290E0B"/>
    <w:rsid w:val="0029637F"/>
    <w:rsid w:val="002A480B"/>
    <w:rsid w:val="002A5EA3"/>
    <w:rsid w:val="002A6080"/>
    <w:rsid w:val="002B3F32"/>
    <w:rsid w:val="00317080"/>
    <w:rsid w:val="00321E3C"/>
    <w:rsid w:val="00336E5F"/>
    <w:rsid w:val="003C525C"/>
    <w:rsid w:val="003C6F45"/>
    <w:rsid w:val="003F052D"/>
    <w:rsid w:val="0041539B"/>
    <w:rsid w:val="0041555D"/>
    <w:rsid w:val="00444804"/>
    <w:rsid w:val="004546F6"/>
    <w:rsid w:val="00477F87"/>
    <w:rsid w:val="004C2447"/>
    <w:rsid w:val="004D7BF0"/>
    <w:rsid w:val="00522A10"/>
    <w:rsid w:val="00531338"/>
    <w:rsid w:val="00551CB4"/>
    <w:rsid w:val="0055761D"/>
    <w:rsid w:val="00567586"/>
    <w:rsid w:val="00570675"/>
    <w:rsid w:val="0058024C"/>
    <w:rsid w:val="00586B47"/>
    <w:rsid w:val="006276EA"/>
    <w:rsid w:val="006468FD"/>
    <w:rsid w:val="00652732"/>
    <w:rsid w:val="00670D70"/>
    <w:rsid w:val="006A121F"/>
    <w:rsid w:val="006A5E59"/>
    <w:rsid w:val="006C5ED4"/>
    <w:rsid w:val="006E010A"/>
    <w:rsid w:val="00703C63"/>
    <w:rsid w:val="007209C1"/>
    <w:rsid w:val="0074473F"/>
    <w:rsid w:val="00750B2C"/>
    <w:rsid w:val="00752DDD"/>
    <w:rsid w:val="0076080C"/>
    <w:rsid w:val="007727D6"/>
    <w:rsid w:val="00796F24"/>
    <w:rsid w:val="007D520D"/>
    <w:rsid w:val="00810876"/>
    <w:rsid w:val="008325BB"/>
    <w:rsid w:val="00854255"/>
    <w:rsid w:val="00865C73"/>
    <w:rsid w:val="0088299D"/>
    <w:rsid w:val="00895BAF"/>
    <w:rsid w:val="008C6107"/>
    <w:rsid w:val="008C7757"/>
    <w:rsid w:val="009159CD"/>
    <w:rsid w:val="0091671C"/>
    <w:rsid w:val="00920CA0"/>
    <w:rsid w:val="00925745"/>
    <w:rsid w:val="009260AC"/>
    <w:rsid w:val="00930C0D"/>
    <w:rsid w:val="0093188B"/>
    <w:rsid w:val="009467A9"/>
    <w:rsid w:val="009501A8"/>
    <w:rsid w:val="00954806"/>
    <w:rsid w:val="00965025"/>
    <w:rsid w:val="009651BB"/>
    <w:rsid w:val="00974AB0"/>
    <w:rsid w:val="00992C72"/>
    <w:rsid w:val="0099770B"/>
    <w:rsid w:val="009A0A36"/>
    <w:rsid w:val="009A3DE1"/>
    <w:rsid w:val="009B1F1C"/>
    <w:rsid w:val="009D3E3C"/>
    <w:rsid w:val="009D45D5"/>
    <w:rsid w:val="009D4FB3"/>
    <w:rsid w:val="009D554A"/>
    <w:rsid w:val="009F7473"/>
    <w:rsid w:val="00A24F9C"/>
    <w:rsid w:val="00A2501A"/>
    <w:rsid w:val="00A336F8"/>
    <w:rsid w:val="00A60CDF"/>
    <w:rsid w:val="00A65AFB"/>
    <w:rsid w:val="00A66001"/>
    <w:rsid w:val="00A808D6"/>
    <w:rsid w:val="00A9204E"/>
    <w:rsid w:val="00AA0AEE"/>
    <w:rsid w:val="00AB2B61"/>
    <w:rsid w:val="00AB43B6"/>
    <w:rsid w:val="00AC5402"/>
    <w:rsid w:val="00AD3ADA"/>
    <w:rsid w:val="00AE59D8"/>
    <w:rsid w:val="00AF3629"/>
    <w:rsid w:val="00B043E6"/>
    <w:rsid w:val="00B30729"/>
    <w:rsid w:val="00B316CA"/>
    <w:rsid w:val="00B41192"/>
    <w:rsid w:val="00B618E1"/>
    <w:rsid w:val="00B76B76"/>
    <w:rsid w:val="00B81A85"/>
    <w:rsid w:val="00B9236B"/>
    <w:rsid w:val="00BB146F"/>
    <w:rsid w:val="00BB3780"/>
    <w:rsid w:val="00BC0A70"/>
    <w:rsid w:val="00BC6ADB"/>
    <w:rsid w:val="00BD67E4"/>
    <w:rsid w:val="00C01106"/>
    <w:rsid w:val="00C0600B"/>
    <w:rsid w:val="00C207B2"/>
    <w:rsid w:val="00C275D4"/>
    <w:rsid w:val="00C35D3A"/>
    <w:rsid w:val="00C37E50"/>
    <w:rsid w:val="00C540A9"/>
    <w:rsid w:val="00C575C0"/>
    <w:rsid w:val="00C62CC9"/>
    <w:rsid w:val="00C91C50"/>
    <w:rsid w:val="00C95979"/>
    <w:rsid w:val="00C978A8"/>
    <w:rsid w:val="00CA34D4"/>
    <w:rsid w:val="00CB5697"/>
    <w:rsid w:val="00CD101E"/>
    <w:rsid w:val="00D23E31"/>
    <w:rsid w:val="00D83C3F"/>
    <w:rsid w:val="00D87FAE"/>
    <w:rsid w:val="00D9403A"/>
    <w:rsid w:val="00DB76F1"/>
    <w:rsid w:val="00DC5D93"/>
    <w:rsid w:val="00DC68D8"/>
    <w:rsid w:val="00DE4A84"/>
    <w:rsid w:val="00DF3C1D"/>
    <w:rsid w:val="00DF5B25"/>
    <w:rsid w:val="00E2012A"/>
    <w:rsid w:val="00E2648B"/>
    <w:rsid w:val="00E27CD5"/>
    <w:rsid w:val="00E93179"/>
    <w:rsid w:val="00EB1169"/>
    <w:rsid w:val="00EC075E"/>
    <w:rsid w:val="00EC1567"/>
    <w:rsid w:val="00ED2D2E"/>
    <w:rsid w:val="00ED5B39"/>
    <w:rsid w:val="00EF2D3D"/>
    <w:rsid w:val="00F03CF7"/>
    <w:rsid w:val="00FB0EA3"/>
    <w:rsid w:val="00FB266A"/>
    <w:rsid w:val="00FB3F45"/>
    <w:rsid w:val="00FB3F5B"/>
    <w:rsid w:val="00FF49B0"/>
    <w:rsid w:val="00FF6AFD"/>
    <w:rsid w:val="308415CF"/>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CB5646"/>
  <w15:docId w15:val="{FA1EA819-C2E9-4C39-9CA6-19D6CB8E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lsdException w:name="Table Theme" w:semiHidden="1" w:unhideWhenUsed="1"/>
    <w:lsdException w:name="Placeholder Text" w:uiPriority="0"/>
    <w:lsdException w:name="No Spacing" w:uiPriority="0"/>
    <w:lsdException w:name="Light Shading" w:uiPriority="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ind w:hanging="1"/>
    </w:pPr>
    <w:rPr>
      <w:sz w:val="22"/>
      <w:szCs w:val="22"/>
      <w:lang w:eastAsia="zh-CN"/>
    </w:rPr>
  </w:style>
  <w:style w:type="paragraph" w:styleId="Heading1">
    <w:name w:val="heading 1"/>
    <w:basedOn w:val="Normal"/>
    <w:next w:val="Normal"/>
    <w:uiPriority w:val="9"/>
    <w:qFormat/>
    <w:pPr>
      <w:keepNext/>
      <w:keepLines/>
      <w:spacing w:before="240" w:after="0"/>
      <w:outlineLvl w:val="0"/>
    </w:pPr>
    <w:rPr>
      <w:rFonts w:ascii="Cambria" w:eastAsia="Cambria" w:hAnsi="Cambria" w:cs="Cambria"/>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pPr>
      <w:spacing w:after="0" w:line="240" w:lineRule="auto"/>
    </w:pPr>
    <w:rPr>
      <w:rFonts w:ascii="Tahoma" w:hAnsi="Tahoma" w:cs="Tahoma"/>
      <w:sz w:val="16"/>
      <w:szCs w:val="16"/>
    </w:rPr>
  </w:style>
  <w:style w:type="character" w:styleId="CommentReference">
    <w:name w:val="annotation reference"/>
    <w:qFormat/>
    <w:rPr>
      <w:w w:val="100"/>
      <w:position w:val="-1"/>
      <w:sz w:val="16"/>
      <w:szCs w:val="16"/>
      <w:vertAlign w:val="baseline"/>
      <w:cs w:val="0"/>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character" w:styleId="Emphasis">
    <w:name w:val="Emphasis"/>
    <w:uiPriority w:val="20"/>
    <w:qFormat/>
    <w:rPr>
      <w:b/>
      <w:iCs/>
      <w:w w:val="100"/>
      <w:position w:val="-1"/>
      <w:vertAlign w:val="baseline"/>
      <w:cs w:val="0"/>
    </w:rPr>
  </w:style>
  <w:style w:type="character" w:styleId="EndnoteReference">
    <w:name w:val="endnote reference"/>
    <w:qFormat/>
    <w:rPr>
      <w:w w:val="100"/>
      <w:position w:val="-1"/>
      <w:vertAlign w:val="superscript"/>
      <w:cs w:val="0"/>
    </w:rPr>
  </w:style>
  <w:style w:type="paragraph" w:styleId="EndnoteText">
    <w:name w:val="endnote text"/>
    <w:basedOn w:val="Normal"/>
    <w:qFormat/>
    <w:pPr>
      <w:spacing w:after="0" w:line="240" w:lineRule="auto"/>
    </w:pPr>
    <w:rPr>
      <w:sz w:val="20"/>
      <w:szCs w:val="20"/>
    </w:rPr>
  </w:style>
  <w:style w:type="paragraph" w:styleId="Footer">
    <w:name w:val="footer"/>
    <w:basedOn w:val="Normal"/>
    <w:uiPriority w:val="99"/>
    <w:qFormat/>
    <w:pPr>
      <w:spacing w:after="0" w:line="240" w:lineRule="auto"/>
    </w:pPr>
  </w:style>
  <w:style w:type="character" w:styleId="FootnoteReference">
    <w:name w:val="footnote reference"/>
    <w:qFormat/>
    <w:rPr>
      <w:w w:val="100"/>
      <w:position w:val="-1"/>
      <w:vertAlign w:val="superscript"/>
      <w:cs w:val="0"/>
    </w:rPr>
  </w:style>
  <w:style w:type="paragraph" w:styleId="FootnoteText">
    <w:name w:val="footnote text"/>
    <w:basedOn w:val="Normal"/>
    <w:qFormat/>
    <w:rPr>
      <w:sz w:val="20"/>
      <w:szCs w:val="20"/>
    </w:rPr>
  </w:style>
  <w:style w:type="paragraph" w:styleId="Header">
    <w:name w:val="header"/>
    <w:basedOn w:val="Normal"/>
    <w:uiPriority w:val="99"/>
    <w:qFormat/>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styleId="Hyperlink">
    <w:name w:val="Hyperlink"/>
    <w:qFormat/>
    <w:rPr>
      <w:color w:val="0000FF"/>
      <w:w w:val="100"/>
      <w:position w:val="-1"/>
      <w:u w:val="single"/>
      <w:vertAlign w:val="baseline"/>
      <w:cs w:val="0"/>
    </w:rPr>
  </w:style>
  <w:style w:type="paragraph" w:styleId="NormalWeb">
    <w:name w:val="Normal (Web)"/>
    <w:basedOn w:val="Normal"/>
    <w:uiPriority w:val="99"/>
    <w:semiHidden/>
    <w:unhideWhenUsed/>
    <w:rPr>
      <w:rFonts w:ascii="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pPr>
      <w:suppressAutoHyphens/>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uiPriority w:val="10"/>
    <w:qFormat/>
    <w:pPr>
      <w:keepNext/>
      <w:keepLines/>
      <w:spacing w:before="480" w:after="120"/>
    </w:pPr>
    <w:rPr>
      <w:b/>
      <w:sz w:val="72"/>
      <w:szCs w:val="72"/>
    </w:rPr>
  </w:style>
  <w:style w:type="table" w:styleId="LightShading">
    <w:name w:val="Light Shading"/>
    <w:basedOn w:val="TableNormal"/>
    <w:pPr>
      <w:suppressAutoHyphens/>
      <w:ind w:leftChars="-1" w:left="-1" w:hangingChars="1" w:hanging="1"/>
      <w:textAlignment w:val="top"/>
      <w:outlineLvl w:val="0"/>
    </w:pPr>
    <w:rPr>
      <w:color w:val="000000"/>
      <w:position w:val="-1"/>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pPr>
      <w:suppressAutoHyphens/>
      <w:ind w:leftChars="-1" w:left="-1" w:hangingChars="1" w:hanging="1"/>
      <w:textAlignment w:val="top"/>
      <w:outlineLvl w:val="0"/>
    </w:pPr>
    <w:rPr>
      <w:rFonts w:eastAsia="Times New Roman"/>
      <w:color w:val="365F91"/>
      <w:position w:val="-1"/>
      <w:lang w:eastAsia="ja-JP"/>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customStyle="1" w:styleId="TableNormal0">
    <w:name w:val="TableNormal"/>
    <w:qFormat/>
    <w:tblPr>
      <w:tblCellMar>
        <w:top w:w="0" w:type="dxa"/>
        <w:left w:w="0" w:type="dxa"/>
        <w:bottom w:w="0" w:type="dxa"/>
        <w:right w:w="0" w:type="dxa"/>
      </w:tblCellMar>
    </w:tblPr>
  </w:style>
  <w:style w:type="character" w:customStyle="1" w:styleId="EndnoteTextChar">
    <w:name w:val="Endnote Text Char"/>
    <w:rPr>
      <w:rFonts w:ascii="Calibri" w:eastAsia="Calibri" w:hAnsi="Calibri" w:cs="Times New Roman"/>
      <w:w w:val="100"/>
      <w:position w:val="-1"/>
      <w:sz w:val="20"/>
      <w:szCs w:val="20"/>
      <w:vertAlign w:val="baseline"/>
      <w:cs w:val="0"/>
      <w:lang w:val="en-MY"/>
    </w:rPr>
  </w:style>
  <w:style w:type="character" w:customStyle="1" w:styleId="FooterChar">
    <w:name w:val="Footer Char"/>
    <w:uiPriority w:val="99"/>
    <w:rPr>
      <w:rFonts w:ascii="Calibri" w:eastAsia="Calibri" w:hAnsi="Calibri" w:cs="Times New Roman"/>
      <w:w w:val="100"/>
      <w:position w:val="-1"/>
      <w:vertAlign w:val="baseline"/>
      <w:cs w:val="0"/>
      <w:lang w:val="en-MY"/>
    </w:rPr>
  </w:style>
  <w:style w:type="character" w:customStyle="1" w:styleId="FootnoteTextChar">
    <w:name w:val="Footnote Text Char"/>
    <w:rPr>
      <w:rFonts w:ascii="Calibri" w:eastAsia="Calibri" w:hAnsi="Calibri" w:cs="Times New Roman"/>
      <w:w w:val="100"/>
      <w:position w:val="-1"/>
      <w:sz w:val="20"/>
      <w:szCs w:val="20"/>
      <w:vertAlign w:val="baseline"/>
      <w:cs w:val="0"/>
    </w:rPr>
  </w:style>
  <w:style w:type="character" w:customStyle="1" w:styleId="apple-converted-space">
    <w:name w:val="apple-converted-space"/>
    <w:rPr>
      <w:w w:val="100"/>
      <w:position w:val="-1"/>
      <w:vertAlign w:val="baseline"/>
      <w:cs w:val="0"/>
    </w:rPr>
  </w:style>
  <w:style w:type="character" w:customStyle="1" w:styleId="HeaderChar">
    <w:name w:val="Header Char"/>
    <w:uiPriority w:val="99"/>
    <w:rPr>
      <w:rFonts w:ascii="Calibri" w:eastAsia="Calibri" w:hAnsi="Calibri" w:cs="Times New Roman"/>
      <w:w w:val="100"/>
      <w:position w:val="-1"/>
      <w:vertAlign w:val="baseline"/>
      <w:cs w:val="0"/>
    </w:rPr>
  </w:style>
  <w:style w:type="character" w:customStyle="1" w:styleId="CommentTextChar">
    <w:name w:val="Comment Text Char"/>
    <w:rPr>
      <w:rFonts w:ascii="Calibri" w:eastAsia="Calibri" w:hAnsi="Calibri" w:cs="Times New Roman"/>
      <w:w w:val="100"/>
      <w:position w:val="-1"/>
      <w:sz w:val="20"/>
      <w:szCs w:val="20"/>
      <w:vertAlign w:val="baseline"/>
      <w:cs w:val="0"/>
    </w:rPr>
  </w:style>
  <w:style w:type="character" w:customStyle="1" w:styleId="BalloonTextChar">
    <w:name w:val="Balloon Text Char"/>
    <w:rPr>
      <w:rFonts w:ascii="Tahoma" w:eastAsia="Calibri" w:hAnsi="Tahoma" w:cs="Tahoma"/>
      <w:w w:val="100"/>
      <w:position w:val="-1"/>
      <w:sz w:val="16"/>
      <w:szCs w:val="16"/>
      <w:vertAlign w:val="baseline"/>
      <w:cs w:val="0"/>
    </w:rPr>
  </w:style>
  <w:style w:type="character" w:customStyle="1" w:styleId="CommentSubjectChar">
    <w:name w:val="Comment Subject Char"/>
    <w:rPr>
      <w:rFonts w:ascii="Calibri" w:eastAsia="Calibri" w:hAnsi="Calibri" w:cs="Times New Roman"/>
      <w:b/>
      <w:bCs/>
      <w:w w:val="100"/>
      <w:position w:val="-1"/>
      <w:sz w:val="20"/>
      <w:szCs w:val="20"/>
      <w:vertAlign w:val="baseline"/>
      <w:cs w:val="0"/>
      <w:lang w:val="en-US" w:eastAsia="en-US"/>
    </w:rPr>
  </w:style>
  <w:style w:type="paragraph" w:customStyle="1" w:styleId="Revision1">
    <w:name w:val="Revision1"/>
    <w:pPr>
      <w:suppressAutoHyphens/>
      <w:spacing w:after="200" w:line="1" w:lineRule="atLeast"/>
      <w:ind w:leftChars="-1" w:left="-1" w:hangingChars="1" w:hanging="1"/>
      <w:textAlignment w:val="top"/>
      <w:outlineLvl w:val="0"/>
    </w:pPr>
    <w:rPr>
      <w:position w:val="-1"/>
      <w:sz w:val="22"/>
      <w:szCs w:val="22"/>
      <w:lang w:val="en" w:eastAsia="zh-CN"/>
    </w:rPr>
  </w:style>
  <w:style w:type="character" w:customStyle="1" w:styleId="st1">
    <w:name w:val="st1"/>
    <w:rPr>
      <w:w w:val="100"/>
      <w:position w:val="-1"/>
      <w:vertAlign w:val="baseline"/>
      <w:cs w:val="0"/>
    </w:rPr>
  </w:style>
  <w:style w:type="character" w:customStyle="1" w:styleId="Heading1Char">
    <w:name w:val="Heading 1 Char"/>
    <w:rPr>
      <w:rFonts w:ascii="Cambria" w:eastAsia="SimSun" w:hAnsi="Cambria" w:cs="Times New Roman"/>
      <w:color w:val="365F91"/>
      <w:w w:val="100"/>
      <w:position w:val="-1"/>
      <w:sz w:val="32"/>
      <w:szCs w:val="32"/>
      <w:vertAlign w:val="baseline"/>
      <w:cs w:val="0"/>
      <w:lang w:val="en-US" w:eastAsia="en-US"/>
    </w:rPr>
  </w:style>
  <w:style w:type="paragraph" w:styleId="NoSpacing">
    <w:name w:val="No Spacing"/>
    <w:pPr>
      <w:suppressAutoHyphens/>
      <w:spacing w:after="200" w:line="1" w:lineRule="atLeast"/>
      <w:ind w:leftChars="-1" w:left="-1" w:hangingChars="1" w:hanging="1"/>
      <w:textAlignment w:val="top"/>
      <w:outlineLvl w:val="0"/>
    </w:pPr>
    <w:rPr>
      <w:position w:val="-1"/>
      <w:sz w:val="22"/>
      <w:szCs w:val="22"/>
      <w:lang w:val="en" w:eastAsia="zh-CN"/>
    </w:r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vertAlign w:val="baseline"/>
      <w:cs w:val="0"/>
    </w:rPr>
  </w:style>
  <w:style w:type="table" w:customStyle="1" w:styleId="TableGrid1">
    <w:name w:val="Table Grid1"/>
    <w:basedOn w:val="TableNormal"/>
    <w:pPr>
      <w:suppressAutoHyphens/>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pPr>
      <w:suppressAutoHyphens/>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customStyle="1" w:styleId="SubtleEmphasis1">
    <w:name w:val="Subtle Emphasis1"/>
    <w:rPr>
      <w:i/>
      <w:iCs/>
      <w:color w:val="7F7F7F"/>
      <w:w w:val="100"/>
      <w:position w:val="-1"/>
      <w:vertAlign w:val="baseline"/>
      <w:cs w:val="0"/>
    </w:rPr>
  </w:style>
  <w:style w:type="character" w:customStyle="1" w:styleId="HTMLPreformattedChar">
    <w:name w:val="HTML Preformatted Char"/>
    <w:rPr>
      <w:rFonts w:ascii="Courier New" w:eastAsia="Times New Roman" w:hAnsi="Courier New" w:cs="Courier New"/>
      <w:w w:val="100"/>
      <w:position w:val="-1"/>
      <w:vertAlign w:val="baseline"/>
      <w:cs w:val="0"/>
      <w:lang w:val="en-US" w:eastAsia="en-US"/>
    </w:rPr>
  </w:style>
  <w:style w:type="table" w:customStyle="1" w:styleId="PlainTable41">
    <w:name w:val="Plain Table 41"/>
    <w:basedOn w:val="TableNormal"/>
    <w:pPr>
      <w:suppressAutoHyphens/>
      <w:ind w:leftChars="-1" w:left="-1" w:hangingChars="1" w:hanging="1"/>
      <w:textAlignment w:val="top"/>
      <w:outlineLvl w:val="0"/>
    </w:pPr>
    <w:rPr>
      <w:position w:val="-1"/>
    </w:rPr>
    <w:tblPr/>
  </w:style>
  <w:style w:type="character" w:customStyle="1" w:styleId="UnresolvedMention1">
    <w:name w:val="Unresolved Mention1"/>
    <w:qFormat/>
    <w:rPr>
      <w:color w:val="808080"/>
      <w:w w:val="100"/>
      <w:position w:val="-1"/>
      <w:shd w:val="clear" w:color="auto" w:fill="E6E6E6"/>
      <w:vertAlign w:val="baseline"/>
      <w:cs w:val="0"/>
    </w:rPr>
  </w:style>
  <w:style w:type="paragraph" w:customStyle="1" w:styleId="BodyA">
    <w:name w:val="Body A"/>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lang w:val="en" w:eastAsia="zh-CN"/>
    </w:rPr>
  </w:style>
  <w:style w:type="paragraph" w:customStyle="1" w:styleId="TableStyle2">
    <w:name w:val="Table Style 2"/>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rPr>
  </w:style>
  <w:style w:type="character" w:customStyle="1" w:styleId="UnresolvedMention2">
    <w:name w:val="Unresolved Mention2"/>
    <w:qFormat/>
    <w:rPr>
      <w:color w:val="808080"/>
      <w:w w:val="100"/>
      <w:position w:val="-1"/>
      <w:shd w:val="clear" w:color="auto" w:fill="E6E6E6"/>
      <w:vertAlign w:val="baseline"/>
      <w:cs w:val="0"/>
    </w:rPr>
  </w:style>
  <w:style w:type="table" w:customStyle="1" w:styleId="Style51">
    <w:name w:val="_Style 51"/>
    <w:basedOn w:val="TableNormal"/>
    <w:tblPr/>
  </w:style>
  <w:style w:type="table" w:customStyle="1" w:styleId="Style53">
    <w:name w:val="_Style 53"/>
    <w:basedOn w:val="TableNormal"/>
    <w:tblPr/>
  </w:style>
  <w:style w:type="table" w:customStyle="1" w:styleId="4">
    <w:name w:val="4"/>
    <w:basedOn w:val="TableNormal"/>
    <w:rPr>
      <w:rFonts w:ascii="Arial" w:eastAsia="Arial" w:hAnsi="Arial" w:cs="Arial"/>
    </w:rPr>
    <w:tblPr/>
  </w:style>
  <w:style w:type="table" w:customStyle="1" w:styleId="3">
    <w:name w:val="3"/>
    <w:basedOn w:val="TableNormal"/>
    <w:rPr>
      <w:rFonts w:ascii="Arial" w:eastAsia="Arial" w:hAnsi="Arial" w:cs="Arial"/>
    </w:rPr>
    <w:tblPr/>
  </w:style>
  <w:style w:type="table" w:customStyle="1" w:styleId="2">
    <w:name w:val="2"/>
    <w:basedOn w:val="TableNormal"/>
    <w:rPr>
      <w:rFonts w:ascii="Arial" w:eastAsia="Arial" w:hAnsi="Arial" w:cs="Arial"/>
    </w:rPr>
    <w:tblPr/>
  </w:style>
  <w:style w:type="table" w:customStyle="1" w:styleId="1">
    <w:name w:val="1"/>
    <w:basedOn w:val="TableNormal"/>
    <w:rPr>
      <w:rFonts w:ascii="Arial" w:eastAsia="Arial" w:hAnsi="Arial" w:cs="Arial"/>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962953">
      <w:bodyDiv w:val="1"/>
      <w:marLeft w:val="0"/>
      <w:marRight w:val="0"/>
      <w:marTop w:val="0"/>
      <w:marBottom w:val="0"/>
      <w:divBdr>
        <w:top w:val="none" w:sz="0" w:space="0" w:color="auto"/>
        <w:left w:val="none" w:sz="0" w:space="0" w:color="auto"/>
        <w:bottom w:val="none" w:sz="0" w:space="0" w:color="auto"/>
        <w:right w:val="none" w:sz="0" w:space="0" w:color="auto"/>
      </w:divBdr>
    </w:div>
    <w:div w:id="2089185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W8ZfXbLOg3oN7TSXAgbGRk0SPg==">CgMxLjAyDmguNmNocDJ3M2VwdzBjMghoLmdqZGd4czIOaC5peWQ2NWgxOGx5NGE4AHIhMVNWSkN4aWg2MHJRZklPQVRRTHROVnhvM2FQM3I1MWhz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6288</Words>
  <Characters>35846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2025-11-19T08:33:00Z</dcterms:created>
  <dcterms:modified xsi:type="dcterms:W3CDTF">2025-11-19T08:35:00Z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3B2AEDA9778B412A9BD2B193F20BAF01_12</vt:lpwstr>
  </property>
  <property fmtid="{D5CDD505-2E9C-101B-9397-08002B2CF9AE}" pid="4" name="GrammarlyDocumentId">
    <vt:lpwstr>9bab7bb2-2282-40fc-b42a-3702ec782ee6</vt:lpwstr>
  </property>
</Properties>
</file>