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DBD8E1" w14:textId="77777777" w:rsidR="00C87779" w:rsidRPr="006E6A13" w:rsidRDefault="004A3C5B">
      <w:pPr>
        <w:spacing w:after="0" w:line="240" w:lineRule="auto"/>
        <w:ind w:firstLine="0"/>
        <w:jc w:val="center"/>
        <w:rPr>
          <w:rFonts w:ascii="Times New Roman" w:eastAsia="Times New Roman" w:hAnsi="Times New Roman" w:cs="Times New Roman"/>
          <w:b/>
          <w:sz w:val="28"/>
          <w:szCs w:val="28"/>
        </w:rPr>
      </w:pPr>
      <w:r w:rsidRPr="006E6A13">
        <w:rPr>
          <w:rFonts w:ascii="Times New Roman" w:eastAsia="Times New Roman" w:hAnsi="Times New Roman" w:cs="Times New Roman"/>
          <w:b/>
          <w:sz w:val="28"/>
          <w:szCs w:val="28"/>
        </w:rPr>
        <w:t>Universiti Kebangsaan Malaysia: Analisis bibliometrik kajian sains sosial dalam pangkalan data Scopus dari tahun 2019 sehingga 2023</w:t>
      </w:r>
    </w:p>
    <w:p w14:paraId="5A1BF68C" w14:textId="77777777" w:rsidR="00C87779" w:rsidRDefault="00C87779" w:rsidP="006E6A13">
      <w:pPr>
        <w:spacing w:after="0" w:line="240" w:lineRule="auto"/>
        <w:ind w:left="2" w:hanging="2"/>
        <w:jc w:val="center"/>
        <w:rPr>
          <w:rFonts w:ascii="Times New Roman" w:eastAsia="Times New Roman" w:hAnsi="Times New Roman" w:cs="Times New Roman"/>
          <w:sz w:val="24"/>
          <w:szCs w:val="24"/>
        </w:rPr>
      </w:pPr>
    </w:p>
    <w:p w14:paraId="7DCE30C9" w14:textId="77777777" w:rsidR="00C87779" w:rsidRDefault="004A3C5B" w:rsidP="006E6A13">
      <w:pPr>
        <w:spacing w:after="0" w:line="240" w:lineRule="auto"/>
        <w:ind w:left="2" w:hanging="2"/>
        <w:jc w:val="center"/>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sz w:val="24"/>
          <w:szCs w:val="24"/>
        </w:rPr>
        <w:t>Khoong Tai Wai</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Kumara Adji Kusuma</w:t>
      </w: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 Lai Mun Keong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Tan Houng Chien</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Chan Ling Meng</w:t>
      </w: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Chong Kok Fei</w:t>
      </w:r>
      <w:r>
        <w:rPr>
          <w:rFonts w:ascii="Times New Roman" w:eastAsia="Times New Roman" w:hAnsi="Times New Roman" w:cs="Times New Roman"/>
          <w:color w:val="000000"/>
          <w:sz w:val="24"/>
          <w:szCs w:val="24"/>
          <w:vertAlign w:val="superscript"/>
        </w:rPr>
        <w:t>3</w:t>
      </w:r>
    </w:p>
    <w:p w14:paraId="6A3281F5" w14:textId="77777777" w:rsidR="00C87779" w:rsidRDefault="00C87779" w:rsidP="006E6A13">
      <w:pPr>
        <w:spacing w:after="0" w:line="240" w:lineRule="auto"/>
        <w:ind w:left="2" w:hanging="2"/>
        <w:jc w:val="center"/>
        <w:rPr>
          <w:rFonts w:ascii="Times New Roman" w:eastAsia="Times New Roman" w:hAnsi="Times New Roman" w:cs="Times New Roman"/>
          <w:color w:val="000000"/>
          <w:sz w:val="24"/>
          <w:szCs w:val="24"/>
        </w:rPr>
      </w:pPr>
    </w:p>
    <w:p w14:paraId="2EB0866C" w14:textId="035FAE94" w:rsidR="00C87779" w:rsidRDefault="004A3C5B" w:rsidP="006E6A13">
      <w:pP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1</w:t>
      </w:r>
      <w:r>
        <w:rPr>
          <w:rFonts w:ascii="Times New Roman" w:eastAsia="Times New Roman" w:hAnsi="Times New Roman" w:cs="Times New Roman"/>
          <w:color w:val="000000"/>
          <w:sz w:val="24"/>
          <w:szCs w:val="24"/>
        </w:rPr>
        <w:t xml:space="preserve">Faculty of Accountancy, Finance and Business, </w:t>
      </w:r>
    </w:p>
    <w:p w14:paraId="45219EB9" w14:textId="77777777" w:rsidR="00C87779" w:rsidRDefault="004A3C5B" w:rsidP="006E6A13">
      <w:pP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Tunku Abdul Rahman University of Management and Technology (TARUMT)</w:t>
      </w:r>
    </w:p>
    <w:p w14:paraId="35D2EF9B" w14:textId="08B91A78" w:rsidR="00C87779" w:rsidRDefault="004A3C5B" w:rsidP="006E6A13">
      <w:pP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2</w:t>
      </w:r>
      <w:r>
        <w:rPr>
          <w:rFonts w:ascii="Times New Roman" w:eastAsia="Times New Roman" w:hAnsi="Times New Roman" w:cs="Times New Roman"/>
          <w:color w:val="000000"/>
          <w:sz w:val="24"/>
          <w:szCs w:val="24"/>
        </w:rPr>
        <w:t>Universitas Muhammadiyah Sidoarjo</w:t>
      </w:r>
    </w:p>
    <w:p w14:paraId="783EE353" w14:textId="403911A2" w:rsidR="00C87779" w:rsidRDefault="004A3C5B" w:rsidP="006E6A13">
      <w:pP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Faculty of Human Ecology, Universiti Putra Malaysia (UPM)</w:t>
      </w:r>
    </w:p>
    <w:p w14:paraId="1FA3D513" w14:textId="77777777" w:rsidR="00C87779" w:rsidRDefault="00C87779" w:rsidP="006E6A13">
      <w:pPr>
        <w:spacing w:after="0" w:line="240" w:lineRule="auto"/>
        <w:ind w:left="2" w:hanging="2"/>
        <w:jc w:val="center"/>
        <w:rPr>
          <w:rFonts w:ascii="Times New Roman" w:eastAsia="Times New Roman" w:hAnsi="Times New Roman" w:cs="Times New Roman"/>
          <w:color w:val="000000"/>
          <w:sz w:val="24"/>
          <w:szCs w:val="24"/>
        </w:rPr>
      </w:pPr>
    </w:p>
    <w:p w14:paraId="6B31FF5C" w14:textId="77777777" w:rsidR="00C87779" w:rsidRDefault="004A3C5B" w:rsidP="006E6A13">
      <w:pPr>
        <w:spacing w:after="0" w:line="240" w:lineRule="auto"/>
        <w:ind w:left="2"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Correspondence: </w:t>
      </w:r>
      <w:r>
        <w:rPr>
          <w:rFonts w:ascii="Times New Roman" w:eastAsia="Times New Roman" w:hAnsi="Times New Roman" w:cs="Times New Roman"/>
          <w:sz w:val="24"/>
          <w:szCs w:val="24"/>
        </w:rPr>
        <w:t>Khoong Tai Wai</w:t>
      </w:r>
      <w:r>
        <w:rPr>
          <w:rFonts w:ascii="Times New Roman" w:eastAsia="Times New Roman" w:hAnsi="Times New Roman" w:cs="Times New Roman"/>
          <w:color w:val="000000"/>
          <w:sz w:val="24"/>
          <w:szCs w:val="24"/>
          <w:vertAlign w:val="superscript"/>
        </w:rPr>
        <w:t xml:space="preserve"> </w:t>
      </w:r>
      <w:r>
        <w:rPr>
          <w:rFonts w:ascii="Times New Roman" w:eastAsia="Times New Roman" w:hAnsi="Times New Roman" w:cs="Times New Roman"/>
          <w:color w:val="000000"/>
          <w:sz w:val="24"/>
          <w:szCs w:val="24"/>
        </w:rPr>
        <w:t>(email: khoongtw@tarc.edu.my)</w:t>
      </w:r>
    </w:p>
    <w:p w14:paraId="781E54DE" w14:textId="77777777" w:rsidR="00C87779" w:rsidRDefault="00C87779" w:rsidP="006E6A13">
      <w:pPr>
        <w:spacing w:after="0" w:line="240" w:lineRule="auto"/>
        <w:ind w:left="2" w:hanging="2"/>
        <w:jc w:val="center"/>
        <w:rPr>
          <w:rFonts w:ascii="Times New Roman" w:eastAsia="Times New Roman" w:hAnsi="Times New Roman" w:cs="Times New Roman"/>
          <w:color w:val="000000"/>
          <w:sz w:val="24"/>
          <w:szCs w:val="24"/>
        </w:rPr>
      </w:pPr>
    </w:p>
    <w:p w14:paraId="3EAAD0F2" w14:textId="77777777" w:rsidR="00C87779" w:rsidRDefault="004A3C5B" w:rsidP="006E6A13">
      <w:pPr>
        <w:spacing w:after="0" w:line="240" w:lineRule="auto"/>
        <w:ind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Received: 1 November 2024; Accepted: 5 October 2025; Published: 20 November 2025</w:t>
      </w:r>
    </w:p>
    <w:p w14:paraId="3A1E96FA" w14:textId="77777777" w:rsidR="00C87779" w:rsidRDefault="00C87779" w:rsidP="006E6A13">
      <w:pPr>
        <w:spacing w:after="0" w:line="240" w:lineRule="auto"/>
        <w:ind w:left="2" w:hanging="2"/>
        <w:jc w:val="both"/>
        <w:rPr>
          <w:rFonts w:ascii="Times New Roman" w:eastAsia="Times New Roman" w:hAnsi="Times New Roman" w:cs="Times New Roman"/>
          <w:color w:val="000000"/>
          <w:sz w:val="24"/>
          <w:szCs w:val="24"/>
        </w:rPr>
      </w:pPr>
    </w:p>
    <w:p w14:paraId="4292BE1A" w14:textId="77777777" w:rsidR="00C87779" w:rsidRDefault="004A3C5B" w:rsidP="006E6A13">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1293B7A7" w14:textId="77777777" w:rsidR="00C87779" w:rsidRDefault="004A3C5B" w:rsidP="006E6A13">
      <w:pPr>
        <w:spacing w:after="0" w:line="240" w:lineRule="auto"/>
        <w:ind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Abstrak</w:t>
      </w:r>
    </w:p>
    <w:p w14:paraId="47F92ABB" w14:textId="77777777" w:rsidR="00C87779" w:rsidRDefault="00C87779" w:rsidP="006E6A13">
      <w:pPr>
        <w:spacing w:after="0" w:line="240" w:lineRule="auto"/>
        <w:ind w:left="2" w:hanging="2"/>
        <w:jc w:val="both"/>
        <w:rPr>
          <w:rFonts w:ascii="Times New Roman" w:eastAsia="Times New Roman" w:hAnsi="Times New Roman" w:cs="Times New Roman"/>
          <w:color w:val="000000"/>
          <w:sz w:val="24"/>
          <w:szCs w:val="24"/>
        </w:rPr>
      </w:pPr>
    </w:p>
    <w:p w14:paraId="3CE91017" w14:textId="77777777" w:rsidR="00C87779" w:rsidRDefault="004A3C5B" w:rsidP="006E6A13">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Universiti Kebangsaan Malaysia (UKM) menjadi kebanggaan negara kerana keupayaan menggunakan Bahasa Melayu sebagai pengantar di peringkat pendidikan tinggi. Ini seterusnya membuktikan negara mampu menghasilkan para cendekiawan yang setaraf dengan institusi antarabangsa. Namun, salah satu cabaran UKM dalam menjunjung nama negara ialah dalam aspek penerbitan, di mana ia mampu mengharumkan nama sebagai universiti penyelidikan. Oleh itu, kajian ini menjalankan analisis bibliometrik penerbitan UKM dalam bidang sains sosial daripada pangkalan data Scopus di antara tahun 2019 sehingga 2023, untuk mencerminkan penyelidikan terkini dan kesan pasca-pandemik. Sebanyak 2,809 dokumen diperolehi dan lima istilah yang teratas ialah Malaysia, </w:t>
      </w:r>
      <w:r>
        <w:rPr>
          <w:rFonts w:ascii="Times New Roman" w:eastAsia="Times New Roman" w:hAnsi="Times New Roman" w:cs="Times New Roman"/>
          <w:i/>
          <w:color w:val="000000"/>
          <w:sz w:val="24"/>
          <w:szCs w:val="24"/>
        </w:rPr>
        <w:t>sustainability</w:t>
      </w:r>
      <w:r>
        <w:rPr>
          <w:rFonts w:ascii="Times New Roman" w:eastAsia="Times New Roman" w:hAnsi="Times New Roman" w:cs="Times New Roman"/>
          <w:color w:val="000000"/>
          <w:sz w:val="24"/>
          <w:szCs w:val="24"/>
        </w:rPr>
        <w:t xml:space="preserve">, COVID-19, </w:t>
      </w:r>
      <w:r>
        <w:rPr>
          <w:rFonts w:ascii="Times New Roman" w:eastAsia="Times New Roman" w:hAnsi="Times New Roman" w:cs="Times New Roman"/>
          <w:i/>
          <w:color w:val="000000"/>
          <w:sz w:val="24"/>
          <w:szCs w:val="24"/>
        </w:rPr>
        <w:t>human</w:t>
      </w:r>
      <w:r>
        <w:rPr>
          <w:rFonts w:ascii="Times New Roman" w:eastAsia="Times New Roman" w:hAnsi="Times New Roman" w:cs="Times New Roman"/>
          <w:color w:val="000000"/>
          <w:sz w:val="24"/>
          <w:szCs w:val="24"/>
        </w:rPr>
        <w:t xml:space="preserve"> dan </w:t>
      </w:r>
      <w:r>
        <w:rPr>
          <w:rFonts w:ascii="Times New Roman" w:eastAsia="Times New Roman" w:hAnsi="Times New Roman" w:cs="Times New Roman"/>
          <w:i/>
          <w:color w:val="000000"/>
          <w:sz w:val="24"/>
          <w:szCs w:val="24"/>
        </w:rPr>
        <w:t>education.</w:t>
      </w:r>
      <w:r>
        <w:rPr>
          <w:rFonts w:ascii="Times New Roman" w:eastAsia="Times New Roman" w:hAnsi="Times New Roman" w:cs="Times New Roman"/>
          <w:color w:val="000000"/>
          <w:sz w:val="24"/>
          <w:szCs w:val="24"/>
        </w:rPr>
        <w:t xml:space="preserve"> Analisis bibliometik mendapati 169 item, seterusnya dikategori kepada tujuh kluster.  Tujuh kluster yang dikenal pasti memberikan perspektif yang khusus seperti kelestarian, teknologi, pendidikan dan sikap masyarakat tempatan.</w:t>
      </w:r>
      <w:r>
        <w:rPr>
          <w:sz w:val="24"/>
          <w:szCs w:val="24"/>
        </w:rPr>
        <w:t xml:space="preserve"> </w:t>
      </w:r>
      <w:r>
        <w:rPr>
          <w:rFonts w:ascii="Times New Roman" w:eastAsia="Times New Roman" w:hAnsi="Times New Roman" w:cs="Times New Roman"/>
          <w:color w:val="000000"/>
          <w:sz w:val="24"/>
          <w:szCs w:val="24"/>
        </w:rPr>
        <w:t>Selain itu, dapatan kajian berkaitan ekopelancongan membentuk model pertumbuhan ekonomi berimpak rendah, reformasi pendidikan digital dan lestari kesedaran alam sekitar.</w:t>
      </w:r>
      <w:r>
        <w:rPr>
          <w:sz w:val="24"/>
          <w:szCs w:val="24"/>
        </w:rPr>
        <w:t xml:space="preserve"> </w:t>
      </w:r>
      <w:r>
        <w:rPr>
          <w:rFonts w:ascii="Times New Roman" w:eastAsia="Times New Roman" w:hAnsi="Times New Roman" w:cs="Times New Roman"/>
          <w:color w:val="000000"/>
          <w:sz w:val="24"/>
          <w:szCs w:val="24"/>
        </w:rPr>
        <w:t>Hasil dapatan kajian membentuk lima cadangan kajian masa depan, iaitu integrasi teknologi dalam kelestarian, kajian dalam kesihatan awam dan sikap masyarakat dan literasi kesihatan. Hasil dapatan kajian ini membentuk sumber penting untuk kajian masa hadapan untuk meneroka lebih terperinci dalam bidang sains sosial di kawasan serantau.</w:t>
      </w:r>
    </w:p>
    <w:p w14:paraId="541B191F" w14:textId="77777777" w:rsidR="00C87779" w:rsidRDefault="00C87779" w:rsidP="006E6A13">
      <w:pPr>
        <w:spacing w:after="0" w:line="240" w:lineRule="auto"/>
        <w:ind w:left="2" w:hanging="2"/>
        <w:jc w:val="both"/>
        <w:rPr>
          <w:rFonts w:ascii="Times New Roman" w:eastAsia="Times New Roman" w:hAnsi="Times New Roman" w:cs="Times New Roman"/>
          <w:color w:val="000000"/>
          <w:sz w:val="24"/>
          <w:szCs w:val="24"/>
        </w:rPr>
      </w:pPr>
    </w:p>
    <w:p w14:paraId="2E9FA124" w14:textId="77777777" w:rsidR="00C87779" w:rsidRDefault="004A3C5B" w:rsidP="006E6A13">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Kata kunci: </w:t>
      </w:r>
      <w:r>
        <w:rPr>
          <w:rFonts w:ascii="Times New Roman" w:eastAsia="Times New Roman" w:hAnsi="Times New Roman" w:cs="Times New Roman"/>
          <w:color w:val="000000"/>
          <w:sz w:val="24"/>
          <w:szCs w:val="24"/>
        </w:rPr>
        <w:t xml:space="preserve">Bibliometrik, ekopelancongan, lestari, </w:t>
      </w:r>
      <w:r>
        <w:rPr>
          <w:rFonts w:ascii="Times New Roman" w:eastAsia="Times New Roman" w:hAnsi="Times New Roman" w:cs="Times New Roman"/>
          <w:sz w:val="24"/>
          <w:szCs w:val="24"/>
        </w:rPr>
        <w:t>sains sosial</w:t>
      </w:r>
      <w:r>
        <w:rPr>
          <w:rFonts w:ascii="Times New Roman" w:eastAsia="Times New Roman" w:hAnsi="Times New Roman" w:cs="Times New Roman"/>
          <w:color w:val="000000"/>
          <w:sz w:val="24"/>
          <w:szCs w:val="24"/>
        </w:rPr>
        <w:t>, VOSviewer</w:t>
      </w:r>
      <w:r>
        <w:rPr>
          <w:rFonts w:ascii="Times New Roman" w:eastAsia="Times New Roman" w:hAnsi="Times New Roman" w:cs="Times New Roman"/>
          <w:b/>
          <w:color w:val="000000"/>
          <w:sz w:val="24"/>
          <w:szCs w:val="24"/>
        </w:rPr>
        <w:t xml:space="preserve"> </w:t>
      </w:r>
    </w:p>
    <w:p w14:paraId="3CF5A49D" w14:textId="77777777" w:rsidR="00C87779" w:rsidRDefault="00C87779">
      <w:pPr>
        <w:spacing w:after="0" w:line="240" w:lineRule="auto"/>
        <w:ind w:left="2" w:hanging="2"/>
        <w:jc w:val="both"/>
        <w:rPr>
          <w:rFonts w:ascii="Times New Roman" w:eastAsia="Times New Roman" w:hAnsi="Times New Roman" w:cs="Times New Roman"/>
          <w:color w:val="000000"/>
          <w:sz w:val="24"/>
          <w:szCs w:val="24"/>
        </w:rPr>
      </w:pPr>
    </w:p>
    <w:p w14:paraId="36B90044" w14:textId="77777777" w:rsidR="00C87779" w:rsidRDefault="00C87779">
      <w:pPr>
        <w:spacing w:after="0" w:line="240" w:lineRule="auto"/>
        <w:ind w:left="2" w:hanging="2"/>
        <w:jc w:val="both"/>
        <w:rPr>
          <w:rFonts w:ascii="Times New Roman" w:eastAsia="Times New Roman" w:hAnsi="Times New Roman" w:cs="Times New Roman"/>
          <w:color w:val="000000"/>
          <w:sz w:val="24"/>
          <w:szCs w:val="24"/>
        </w:rPr>
      </w:pPr>
    </w:p>
    <w:p w14:paraId="724BF363" w14:textId="77777777" w:rsidR="00C87779" w:rsidRDefault="004A3C5B">
      <w:pPr>
        <w:spacing w:after="0" w:line="240" w:lineRule="auto"/>
        <w:ind w:left="2" w:hanging="2"/>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Universiti Kebangsaan Malaysia: Bibliometric analysis social science analysis within Scopus databased from 2019 to 2023</w:t>
      </w:r>
    </w:p>
    <w:p w14:paraId="66C51021" w14:textId="77777777" w:rsidR="00C87779" w:rsidRDefault="00C87779">
      <w:pPr>
        <w:spacing w:after="0" w:line="240" w:lineRule="auto"/>
        <w:ind w:left="2" w:hanging="2"/>
        <w:jc w:val="both"/>
        <w:rPr>
          <w:rFonts w:ascii="Times New Roman" w:eastAsia="Times New Roman" w:hAnsi="Times New Roman" w:cs="Times New Roman"/>
          <w:b/>
          <w:color w:val="000000"/>
          <w:sz w:val="24"/>
          <w:szCs w:val="24"/>
        </w:rPr>
      </w:pPr>
    </w:p>
    <w:p w14:paraId="3108A2DF" w14:textId="77777777" w:rsidR="00C87779" w:rsidRDefault="004A3C5B">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Abstract </w:t>
      </w:r>
    </w:p>
    <w:p w14:paraId="335D1988" w14:textId="77777777" w:rsidR="00C87779" w:rsidRDefault="00C87779">
      <w:pPr>
        <w:spacing w:after="0" w:line="240" w:lineRule="auto"/>
        <w:ind w:left="2" w:hanging="2"/>
        <w:jc w:val="both"/>
        <w:rPr>
          <w:rFonts w:ascii="Times New Roman" w:eastAsia="Times New Roman" w:hAnsi="Times New Roman" w:cs="Times New Roman"/>
          <w:color w:val="000000"/>
          <w:sz w:val="24"/>
          <w:szCs w:val="24"/>
        </w:rPr>
      </w:pPr>
      <w:bookmarkStart w:id="0" w:name="_heading=h.gjdgxs" w:colFirst="0" w:colLast="0"/>
      <w:bookmarkEnd w:id="0"/>
    </w:p>
    <w:p w14:paraId="15A94C0D" w14:textId="77777777" w:rsidR="00C87779" w:rsidRDefault="004A3C5B">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Universiti Kebangsaan Malaysia (UKM) stands as a testimony to the </w:t>
      </w:r>
      <w:r>
        <w:rPr>
          <w:rFonts w:ascii="Times New Roman" w:eastAsia="Times New Roman" w:hAnsi="Times New Roman" w:cs="Times New Roman"/>
          <w:sz w:val="24"/>
          <w:szCs w:val="24"/>
        </w:rPr>
        <w:t>country's ability</w:t>
      </w:r>
      <w:r>
        <w:rPr>
          <w:rFonts w:ascii="Times New Roman" w:eastAsia="Times New Roman" w:hAnsi="Times New Roman" w:cs="Times New Roman"/>
          <w:color w:val="000000"/>
          <w:sz w:val="24"/>
          <w:szCs w:val="24"/>
        </w:rPr>
        <w:t xml:space="preserve"> to use Malay language as medium of instruction in higher </w:t>
      </w:r>
      <w:r>
        <w:rPr>
          <w:rFonts w:ascii="Times New Roman" w:eastAsia="Times New Roman" w:hAnsi="Times New Roman" w:cs="Times New Roman"/>
          <w:sz w:val="24"/>
          <w:szCs w:val="24"/>
        </w:rPr>
        <w:t>education</w:t>
      </w:r>
      <w:r>
        <w:rPr>
          <w:rFonts w:ascii="Times New Roman" w:eastAsia="Times New Roman" w:hAnsi="Times New Roman" w:cs="Times New Roman"/>
          <w:color w:val="000000"/>
          <w:sz w:val="24"/>
          <w:szCs w:val="24"/>
        </w:rPr>
        <w:t xml:space="preserve">. This further proves the nation’s capability </w:t>
      </w:r>
      <w:r>
        <w:rPr>
          <w:rFonts w:ascii="Times New Roman" w:eastAsia="Times New Roman" w:hAnsi="Times New Roman" w:cs="Times New Roman"/>
          <w:color w:val="000000"/>
          <w:sz w:val="24"/>
          <w:szCs w:val="24"/>
        </w:rPr>
        <w:lastRenderedPageBreak/>
        <w:t xml:space="preserve">to produce scholars comparable to those from international institutions. However, one </w:t>
      </w:r>
      <w:r>
        <w:rPr>
          <w:rFonts w:ascii="Times New Roman" w:eastAsia="Times New Roman" w:hAnsi="Times New Roman" w:cs="Times New Roman"/>
          <w:sz w:val="24"/>
          <w:szCs w:val="24"/>
        </w:rPr>
        <w:t>of the challenges</w:t>
      </w:r>
      <w:r>
        <w:rPr>
          <w:rFonts w:ascii="Times New Roman" w:eastAsia="Times New Roman" w:hAnsi="Times New Roman" w:cs="Times New Roman"/>
          <w:color w:val="000000"/>
          <w:sz w:val="24"/>
          <w:szCs w:val="24"/>
        </w:rPr>
        <w:t xml:space="preserve"> in elevating the nation’s name lies in its publications, where it has the potential to establish itself as a distinguished research university. Therefore, this study conducts a bibliometric analysis of UKM publications in the field of social sciences from the Scopus database between 2019 and 2023, in which to reflect current research and post-pandemic impacts. A total of 2,809 documents were obtained, with the top five terms </w:t>
      </w:r>
      <w:r>
        <w:rPr>
          <w:rFonts w:ascii="Times New Roman" w:eastAsia="Times New Roman" w:hAnsi="Times New Roman" w:cs="Times New Roman"/>
          <w:sz w:val="24"/>
          <w:szCs w:val="24"/>
        </w:rPr>
        <w:t>including</w:t>
      </w:r>
      <w:r>
        <w:rPr>
          <w:rFonts w:ascii="Times New Roman" w:eastAsia="Times New Roman" w:hAnsi="Times New Roman" w:cs="Times New Roman"/>
          <w:color w:val="000000"/>
          <w:sz w:val="24"/>
          <w:szCs w:val="24"/>
        </w:rPr>
        <w:t xml:space="preserve"> Malaysia, sustainability, COVID-19, human and education. The bibliometric analysis identified 169 items, </w:t>
      </w:r>
      <w:r>
        <w:rPr>
          <w:rFonts w:ascii="Times New Roman" w:eastAsia="Times New Roman" w:hAnsi="Times New Roman" w:cs="Times New Roman"/>
          <w:sz w:val="24"/>
          <w:szCs w:val="24"/>
        </w:rPr>
        <w:t>which</w:t>
      </w:r>
      <w:r>
        <w:rPr>
          <w:rFonts w:ascii="Times New Roman" w:eastAsia="Times New Roman" w:hAnsi="Times New Roman" w:cs="Times New Roman"/>
          <w:color w:val="000000"/>
          <w:sz w:val="24"/>
          <w:szCs w:val="24"/>
        </w:rPr>
        <w:t xml:space="preserve"> were further categorized into seven clusters. These seven clusters provide specific perspectives, such as sustainability, technology, education and local community attitudes. Besides, study finding on ecotourism as a model for low-impact economic growth, digital education reform and sustainable environmental awareness are suggested. The findings yield five recommendations for future research, including the integration of technology in sustainability, studies on public health and community attitudes and health literacy. This study forms a crucial resource for future studies to explore social sciences in greater depth within the regional context.</w:t>
      </w:r>
    </w:p>
    <w:p w14:paraId="1AD759CE" w14:textId="77777777" w:rsidR="00C87779" w:rsidRDefault="00C87779">
      <w:pPr>
        <w:spacing w:after="0" w:line="240" w:lineRule="auto"/>
        <w:ind w:left="2" w:hanging="2"/>
        <w:jc w:val="both"/>
        <w:rPr>
          <w:rFonts w:ascii="Times New Roman" w:eastAsia="Times New Roman" w:hAnsi="Times New Roman" w:cs="Times New Roman"/>
          <w:b/>
          <w:color w:val="000000"/>
          <w:sz w:val="24"/>
          <w:szCs w:val="24"/>
        </w:rPr>
      </w:pPr>
    </w:p>
    <w:p w14:paraId="529CE776" w14:textId="77777777" w:rsidR="00C87779" w:rsidRDefault="004A3C5B">
      <w:pPr>
        <w:spacing w:after="0" w:line="240" w:lineRule="auto"/>
        <w:ind w:left="2"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Keywords: </w:t>
      </w:r>
      <w:r>
        <w:rPr>
          <w:rFonts w:ascii="Times New Roman" w:eastAsia="Times New Roman" w:hAnsi="Times New Roman" w:cs="Times New Roman"/>
          <w:color w:val="000000"/>
          <w:sz w:val="24"/>
          <w:szCs w:val="24"/>
        </w:rPr>
        <w:t>Bibliometric, ecotourism, sustainabilty, social science, VOSviewer</w:t>
      </w:r>
    </w:p>
    <w:p w14:paraId="68687979" w14:textId="77777777" w:rsidR="00C87779" w:rsidRDefault="004A3C5B">
      <w:pPr>
        <w:spacing w:after="0" w:line="240" w:lineRule="auto"/>
        <w:ind w:left="2"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0B090E79" w14:textId="77777777" w:rsidR="00C87779" w:rsidRDefault="00C87779">
      <w:pPr>
        <w:spacing w:after="0" w:line="240" w:lineRule="auto"/>
        <w:ind w:left="2" w:hanging="2"/>
        <w:jc w:val="both"/>
        <w:rPr>
          <w:rFonts w:ascii="Times New Roman" w:eastAsia="Times New Roman" w:hAnsi="Times New Roman" w:cs="Times New Roman"/>
          <w:color w:val="000000"/>
          <w:sz w:val="24"/>
          <w:szCs w:val="24"/>
        </w:rPr>
      </w:pPr>
    </w:p>
    <w:p w14:paraId="757CE091" w14:textId="77777777" w:rsidR="00C87779" w:rsidRDefault="004A3C5B">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Pengenalan</w:t>
      </w:r>
    </w:p>
    <w:p w14:paraId="52C005BF"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BA95FF5" w14:textId="77777777" w:rsidR="00C87779" w:rsidRDefault="004A3C5B">
      <w:pPr>
        <w:spacing w:after="0" w:line="240" w:lineRule="auto"/>
        <w:ind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Universiti Kebangsaan Malaysia (UKM) ditubuhkan pada Mei 1970 bertujuan memenuhi visi pengasas untuk menggunakan Bahasa Melayu sebagai pengantar dalam pembelajaran dan melahirkan para cendekiawan yang menjadi kebangsaan negara (UKM, 2025). Dengan hanya tiga fakulti, UKM berkembang pesat dari segi saiz kampus dan sebagai pusat penyelidikan dalam pelbagai bidang. Sehingga Oktober 2024, UKM telah mempunyai 14 fakulti, dua pusat pengajian, 13 institut penyelidikan dan dua entiti komersial. Pada tahun 2006, UKM telah dipilih sebagai sebuah unversiti bertaraf penyelidikan. Seterusnya, UKM dianugerahkan status Institusi Swa Akreditasi pada tahun 2010, di mana membuktikan kekuatan universiti berprestasi tinggi untuk membuat penilaian kendiri (UKM, 2025). </w:t>
      </w:r>
    </w:p>
    <w:p w14:paraId="1BD2FF3D" w14:textId="77777777" w:rsidR="00C87779" w:rsidRDefault="004A3C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Sejak penubuhan, penyelidikan UKM dalam penerbitan jurnal berindeks berkembang pesat terutamanya dalam bidang sains sosial. Justeru itu, Fakulti Sains Kemasyarakatan dan Kemanusiaan (FSKK), Fakulti Pengajian Bahasa dan Fakulti Sains Pembangunan digabungkan membentuk Fakulti Sains Sosial dan Kemanusiaan (FSSK) pada tahun 2001. Kini, di bawah pimpinan Dekan Prof. Dr. Kadaruddin Aiyub, berkembang pesat dan fokus kepada enam bidang, iaitu media dan komunikasi, psikologi dan kesejahteraan manusia, bahasa dan linguistik, bahasa kesusasteraan dan kebudayaan Melayu, sejarah, politik hubungan antarabangsa serta sosial, pembangunan dan persekitaran. Selaras dengan status universiti penyelidikan UKM, FSSK giat terlibat dalam bidang penyelidikan dan mempunyai tujuh jurnal. Jurnal tersebut ialah </w:t>
      </w:r>
      <w:r>
        <w:rPr>
          <w:rFonts w:ascii="Times New Roman" w:eastAsia="Times New Roman" w:hAnsi="Times New Roman" w:cs="Times New Roman"/>
          <w:i/>
          <w:sz w:val="24"/>
          <w:szCs w:val="24"/>
        </w:rPr>
        <w:t xml:space="preserve">Language, Linguistics, Literature </w:t>
      </w:r>
      <w:r>
        <w:rPr>
          <w:rFonts w:ascii="Times New Roman" w:eastAsia="Times New Roman" w:hAnsi="Times New Roman" w:cs="Times New Roman"/>
          <w:sz w:val="24"/>
          <w:szCs w:val="24"/>
        </w:rPr>
        <w:t xml:space="preserve">(3L), </w:t>
      </w:r>
      <w:r>
        <w:rPr>
          <w:rFonts w:ascii="Times New Roman" w:eastAsia="Times New Roman" w:hAnsi="Times New Roman" w:cs="Times New Roman"/>
          <w:i/>
          <w:sz w:val="24"/>
          <w:szCs w:val="24"/>
        </w:rPr>
        <w:t>GEMA Online® Journal of Language Studies</w:t>
      </w:r>
      <w:r>
        <w:rPr>
          <w:rFonts w:ascii="Times New Roman" w:eastAsia="Times New Roman" w:hAnsi="Times New Roman" w:cs="Times New Roman"/>
          <w:sz w:val="24"/>
          <w:szCs w:val="24"/>
        </w:rPr>
        <w:t xml:space="preserve"> (GEMA), Jurnal Komunikasi, </w:t>
      </w:r>
      <w:r>
        <w:rPr>
          <w:rFonts w:ascii="Times New Roman" w:eastAsia="Times New Roman" w:hAnsi="Times New Roman" w:cs="Times New Roman"/>
          <w:i/>
          <w:sz w:val="24"/>
          <w:szCs w:val="24"/>
        </w:rPr>
        <w:t>Geografia-Malaysian Journal of Society and Space</w:t>
      </w:r>
      <w:r>
        <w:rPr>
          <w:rFonts w:ascii="Times New Roman" w:eastAsia="Times New Roman" w:hAnsi="Times New Roman" w:cs="Times New Roman"/>
          <w:sz w:val="24"/>
          <w:szCs w:val="24"/>
        </w:rPr>
        <w:t xml:space="preserve"> (Geografia), </w:t>
      </w:r>
      <w:r>
        <w:rPr>
          <w:rFonts w:ascii="Times New Roman" w:eastAsia="Times New Roman" w:hAnsi="Times New Roman" w:cs="Times New Roman"/>
          <w:i/>
          <w:sz w:val="24"/>
          <w:szCs w:val="24"/>
        </w:rPr>
        <w:t>Akademika, Jebat: Malaysian Journal of History, Politics &amp; Strategic Studies</w:t>
      </w:r>
      <w:r>
        <w:rPr>
          <w:rFonts w:ascii="Times New Roman" w:eastAsia="Times New Roman" w:hAnsi="Times New Roman" w:cs="Times New Roman"/>
          <w:sz w:val="24"/>
          <w:szCs w:val="24"/>
        </w:rPr>
        <w:t xml:space="preserve"> (Jebat) dan </w:t>
      </w:r>
      <w:r>
        <w:rPr>
          <w:rFonts w:ascii="Times New Roman" w:eastAsia="Times New Roman" w:hAnsi="Times New Roman" w:cs="Times New Roman"/>
          <w:i/>
          <w:sz w:val="24"/>
          <w:szCs w:val="24"/>
        </w:rPr>
        <w:t>e-Bangi: Journal of Social Sciences &amp; Humanities</w:t>
      </w:r>
      <w:r>
        <w:rPr>
          <w:rFonts w:ascii="Times New Roman" w:eastAsia="Times New Roman" w:hAnsi="Times New Roman" w:cs="Times New Roman"/>
          <w:sz w:val="24"/>
          <w:szCs w:val="24"/>
        </w:rPr>
        <w:t xml:space="preserve"> (e-Bangi). </w:t>
      </w:r>
    </w:p>
    <w:p w14:paraId="08969AB5" w14:textId="77777777" w:rsidR="00C87779" w:rsidRDefault="004A3C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Walau bidang pengajian sains melebihi jumlah penerbitan berindeks tinggi berbanding bidang sains sosial, tetapi hal ini perlu diberi tumpuan dalam usaha memberi motivasi penyelidik UKM bidang sains sosial untuk menjalankan penerbitan berkualiti. Ini bukan sahaja menghasilkan kajian yang memberi impak besar kepada kepada masyarakat, tetapi mampu meningkatkan nama </w:t>
      </w:r>
      <w:r>
        <w:rPr>
          <w:rFonts w:ascii="Times New Roman" w:eastAsia="Times New Roman" w:hAnsi="Times New Roman" w:cs="Times New Roman"/>
          <w:sz w:val="24"/>
          <w:szCs w:val="24"/>
        </w:rPr>
        <w:lastRenderedPageBreak/>
        <w:t>mutu UKM di peringkat antarabangsa. Dalam hal ini, mungkin kewujudan segelintir penyelidik yang tidak membuat penelitian kredibiliti sewaktu menghantar manuskip dan seterusnys mangsa terjebak dalam penerbitan jurnal pemangsa (</w:t>
      </w:r>
      <w:r>
        <w:rPr>
          <w:rFonts w:ascii="Times New Roman" w:eastAsia="Times New Roman" w:hAnsi="Times New Roman" w:cs="Times New Roman"/>
          <w:i/>
          <w:sz w:val="24"/>
          <w:szCs w:val="24"/>
        </w:rPr>
        <w:t>predatory journals</w:t>
      </w:r>
      <w:r>
        <w:rPr>
          <w:rFonts w:ascii="Times New Roman" w:eastAsia="Times New Roman" w:hAnsi="Times New Roman" w:cs="Times New Roman"/>
          <w:sz w:val="24"/>
          <w:szCs w:val="24"/>
        </w:rPr>
        <w:t>). Ini bukan sahaja menjatuhkan reputasi universiti tetapi penggunaan dana kewangan untuk penerbitan yang tidak kredibiliti. Tidak dapat menafikan kebolehan penyelidikan sains sosial mampu memberi impak kepada masyarakat dan institusi, tetapi untuk mencapai tahap berkualiti menjadi kepentingan dalam penerbitan UKM.</w:t>
      </w:r>
    </w:p>
    <w:p w14:paraId="14B9D98A" w14:textId="77777777" w:rsidR="00C87779" w:rsidRDefault="004A3C5B">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Tidak dapat dinafikan penglibatan dan kejayaan UKM dalam usaha memajukan bidang sains sosial untuk masyarakat serantau akan tetapi fokus topografi kajian tidak dapat dikenal pasti dengan terperinci. Tambahan pula, revolusi teknologi yang pesat telah mengubah pendekatan dan ciri-ciri penyelidikan di dalam bidang sains sosial. Faktor-faktor ini menyukarkan corak penyelidikan secara menyeluruh, rangkaian kerjasama atau hala tuju masa hadapan dalam penyelidikan sains sosial. Oleh itu, kajian ini bertujuan untuk menjalankan analisis bibliometrik yang memberikan gambaran berstruktur tentang penerbitan bidang sains sosial UKM. Secara khususnya, kajian ini menganalisis jumlah dokumen yang diterbitkan, tahun penerbitan, jenis dokumen dan pengarang yang paling berpengaruh dalam bidang ini. Selain itu, kajian ini memberi visualisasi data yang memberikan gambaran menyeluruh mengenai penerbitan sains sosial di UKM. Pendekatan ini diharapkan dapat memetakan kluster penyelidikan UKM sedia ada dan mengenal pasti bidang khusus untuk tumpuan masa hadapan, seterusnya menyokong inisiatif penyelidikan UKM yang lebih kohesif dan berimpak tinggi. </w:t>
      </w:r>
    </w:p>
    <w:p w14:paraId="38DB370F"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4CDC0F91"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314E14B4"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Kajian literatur</w:t>
      </w:r>
    </w:p>
    <w:p w14:paraId="1B7D0DDE" w14:textId="77777777" w:rsidR="00C87779" w:rsidRDefault="00C87779">
      <w:pPr>
        <w:spacing w:after="0" w:line="240" w:lineRule="auto"/>
        <w:ind w:hanging="2"/>
        <w:jc w:val="both"/>
        <w:rPr>
          <w:rFonts w:ascii="Times New Roman" w:eastAsia="Times New Roman" w:hAnsi="Times New Roman" w:cs="Times New Roman"/>
          <w:b/>
          <w:color w:val="000000"/>
          <w:sz w:val="24"/>
          <w:szCs w:val="24"/>
        </w:rPr>
      </w:pPr>
    </w:p>
    <w:p w14:paraId="2789B446"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Bidang sains sosial merupakan disiplin yang merangkumi pelbagai bidang seperti sosiologi, psikologi, sains bandar dan pendidikan, di mana fokus kepada kajian tingkah laku manusia dan sistem sosial (Arifin &amp; Derahim, 2020; Abu Bakar &amp; Kadir, 2021; Ang et al., 2021; Ang &amp; </w:t>
      </w:r>
      <w:r>
        <w:rPr>
          <w:rFonts w:ascii="Times New Roman" w:eastAsia="Times New Roman" w:hAnsi="Times New Roman" w:cs="Times New Roman"/>
          <w:sz w:val="24"/>
          <w:szCs w:val="24"/>
        </w:rPr>
        <w:t>Mat Saat</w:t>
      </w:r>
      <w:r>
        <w:rPr>
          <w:rFonts w:ascii="Times New Roman" w:eastAsia="Times New Roman" w:hAnsi="Times New Roman" w:cs="Times New Roman"/>
          <w:color w:val="000000"/>
          <w:sz w:val="24"/>
          <w:szCs w:val="24"/>
        </w:rPr>
        <w:t xml:space="preserve">, 2024; Asnawi et al., 2024; Kusuma et al., 2024). Kajian sains sosial penting untuk memberikan pandangan tentang struktur sosial dan tindakan individu (Demirtaş &amp; Altun, 2024; Lauer, 2024) serta meneliti trend masyarakat dan menilai dasar yang berkaitan. Kajian-kajian tersebut sering kali menampilkan isu-isu kompleks melalui kajian kuantitatif dan kualitatif. Ini menyebabkan bidang sains sosial mampu meneliti trend masyarakat, menilai dasar dan membantu kepada pelbagai bidang termasuklah kesihatan awam, perancangan bandar dan pendidikan. Namun, era digital </w:t>
      </w:r>
      <w:r>
        <w:rPr>
          <w:rFonts w:ascii="Times New Roman" w:eastAsia="Times New Roman" w:hAnsi="Times New Roman" w:cs="Times New Roman"/>
          <w:sz w:val="24"/>
          <w:szCs w:val="24"/>
        </w:rPr>
        <w:t>telah</w:t>
      </w:r>
      <w:r>
        <w:rPr>
          <w:rFonts w:ascii="Times New Roman" w:eastAsia="Times New Roman" w:hAnsi="Times New Roman" w:cs="Times New Roman"/>
          <w:color w:val="000000"/>
          <w:sz w:val="24"/>
          <w:szCs w:val="24"/>
        </w:rPr>
        <w:t xml:space="preserve"> membawa transformasi signifikan dalam metodologi penelitian sains sosial. Sebagai contoh, integrasi kecerdasan buatan (AI) dan kaedah komputasi yang membantu menganalisis set data yang besar (Iacus, 2017; Di Franco &amp; Santurro, 2023; Zwilling, 2023) dan mencari pola dalam fenomena sosial (Di Franco &amp; Santurro, 2023; Petir, 2023). Dari segi aplikasi praktikal, pendekatan instrumen seperti Sistem Maklumat Geografi (GIS) menyokong penyelidikan bidang sains sosial dengan membolehkan analisis spa</w:t>
      </w:r>
      <w:r>
        <w:rPr>
          <w:rFonts w:ascii="Times New Roman" w:eastAsia="Times New Roman" w:hAnsi="Times New Roman" w:cs="Times New Roman"/>
          <w:sz w:val="24"/>
          <w:szCs w:val="24"/>
        </w:rPr>
        <w:t>t</w:t>
      </w:r>
      <w:r>
        <w:rPr>
          <w:rFonts w:ascii="Times New Roman" w:eastAsia="Times New Roman" w:hAnsi="Times New Roman" w:cs="Times New Roman"/>
          <w:color w:val="000000"/>
          <w:sz w:val="24"/>
          <w:szCs w:val="24"/>
        </w:rPr>
        <w:t xml:space="preserve">ial untuk menangani dasar yang relevan seperti perubahan alam sekitar dan kesihatan komuniti (Muhammad Arshad et al., 2020; Tolan &amp; Molony, 2023). Selain itu, penglibatan instrumen dalam kajian sains sosial yang menggunakan model pembelajaran mesin untuk meramal tingkah laku pengguna berdasarkan data media sosial dan menilai bias politik dalam sumber media sosial (Isnin et al., 2022; Verhagen et al., 2022; Filippis &amp; Foysal, 2024; de Slegte et al., 2024; Leitgöb et al., 2023). Meskipun ledakan pengetahuan ini memberikan peluang untuk kajian menyeluruh, akan tetapi juga membawa permasalahan yang ketara. Kajian literatur yang besar dan tersebar luas ini menyulitkan para pengkaji memetakan trend pengetahuan yang sedang berkembang, menelitikan trend terbaru, </w:t>
      </w:r>
      <w:r>
        <w:rPr>
          <w:rFonts w:ascii="Times New Roman" w:eastAsia="Times New Roman" w:hAnsi="Times New Roman" w:cs="Times New Roman"/>
          <w:color w:val="000000"/>
          <w:sz w:val="24"/>
          <w:szCs w:val="24"/>
        </w:rPr>
        <w:lastRenderedPageBreak/>
        <w:t xml:space="preserve">kerjasama serantau dan topik-topik yang muncul dalam masa tersingkat. Oleh itu, pendekatan bibliometrik mampu membantu dalam penyelesaian masalah tersebut. </w:t>
      </w:r>
    </w:p>
    <w:p w14:paraId="68D5A4DD"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bookmarkStart w:id="1" w:name="_heading=h.dtq03c7oc9fu" w:colFirst="0" w:colLast="0"/>
      <w:bookmarkEnd w:id="1"/>
      <w:r>
        <w:rPr>
          <w:rFonts w:ascii="Times New Roman" w:eastAsia="Times New Roman" w:hAnsi="Times New Roman" w:cs="Times New Roman"/>
          <w:color w:val="000000"/>
          <w:sz w:val="24"/>
          <w:szCs w:val="24"/>
        </w:rPr>
        <w:t xml:space="preserve">Selaras dengan perkembangan bidang sains sosial, UKM menjadi penyumbang utama dalam penyelidikan sains sosial di peringkat serantau dan antarabangsa yang tertumpu kepada tema kajian seperti budaya, dasar awam, sosiologi dan ekonomi. Selain itu, inisiatif UKM untuk mengintegrasikan bidang sains sosial dengan teknologi untuk menangani isu </w:t>
      </w:r>
      <w:r>
        <w:rPr>
          <w:rFonts w:ascii="Times New Roman" w:eastAsia="Times New Roman" w:hAnsi="Times New Roman" w:cs="Times New Roman"/>
          <w:sz w:val="24"/>
          <w:szCs w:val="24"/>
        </w:rPr>
        <w:t>masyarakat</w:t>
      </w:r>
      <w:r>
        <w:rPr>
          <w:rFonts w:ascii="Times New Roman" w:eastAsia="Times New Roman" w:hAnsi="Times New Roman" w:cs="Times New Roman"/>
          <w:color w:val="000000"/>
          <w:sz w:val="24"/>
          <w:szCs w:val="24"/>
        </w:rPr>
        <w:t xml:space="preserve"> seperti penuaan, urbanisasi dan kelestarian alam sekitar (Anuar et al., 2021; Letchumanan &amp; Che Rose, 2021; Md </w:t>
      </w:r>
      <w:proofErr w:type="gramStart"/>
      <w:r>
        <w:rPr>
          <w:rFonts w:ascii="Times New Roman" w:eastAsia="Times New Roman" w:hAnsi="Times New Roman" w:cs="Times New Roman"/>
          <w:color w:val="000000"/>
          <w:sz w:val="24"/>
          <w:szCs w:val="24"/>
        </w:rPr>
        <w:t>Nor</w:t>
      </w:r>
      <w:proofErr w:type="gramEnd"/>
      <w:r>
        <w:rPr>
          <w:rFonts w:ascii="Times New Roman" w:eastAsia="Times New Roman" w:hAnsi="Times New Roman" w:cs="Times New Roman"/>
          <w:color w:val="000000"/>
          <w:sz w:val="24"/>
          <w:szCs w:val="24"/>
        </w:rPr>
        <w:t xml:space="preserve"> &amp; Ghazali, 2021; Yasin et al., 2021; Khoong, 2023; Murthy et al., 2023). Dalam hal ini, FSSK UKM terlibat dalam projek-projek berimpak tinggi yang dibiayai oleh geran kebangsaan, khususnya untuk pembangunan luar bandar dan kesihatan mental. FSSK dibahagi kepada enam pusat kajian yang mempunyai kepakaran masing-masing iaitu Pusat Kajian Media dan Komunikasi (MENTION), Pusat Kajian Bahasa dan Linguistik (PKBL), Pusat Kajian Psikologi &amp; Kesejahteraan Manusia (PsiTRA), Pusat Kajian Pembangunan, Sosial &amp; Persekitaran (SEEDS), Pusat Kajian Sejarah, Politik &amp; Hal Ehwal Antarabangsa (SPHEA) dan Pusat Kajian Bahasa, Kesusasteraan &amp; Kebudayaan Melayu (BITARA). Kenam-enam pusat kajian ini memainkan peranan berbeza tetapi khusus dalam penyelidikan sains sosial. Sebagai contoh, PsiTRa fokus kajian di dalam bidang kesihatan mental, kualiti hidup dan kebajikan sosial (PsiTRA, 2024). Pusat ini menyokong penyelidikan yang memberi manfaat kepada kesejahteraan komuniti dan ketahanan sosial, di mana selaras dengan matlamat umum FSSK untuk menangani cabaran masyarakat. Selain itu, SEEDS fokus dalam kajian yang menangani cabaran pembangunan, alam sekitar dan sosiobudaya (SEEDS, 2024). Ini bermakna SEEDS tertumpu kepada isu-isu seperti pembangunan lestari, daya tahan komuniti dan pengurusan alam sekitar yang menyokong kemajuan sosioekonomi dalam persekitaraan kawasan serantau. Pusat ini sering bekerjasama dengan agensi-agensi kerajaan, badan bukan kerajaan (NGO) dan organisasi antarabangsa, dalam pembentukan dasar dan inisiatif masyarakat. Namun, penghasilan kajian </w:t>
      </w:r>
      <w:r>
        <w:rPr>
          <w:rFonts w:ascii="Times New Roman" w:eastAsia="Times New Roman" w:hAnsi="Times New Roman" w:cs="Times New Roman"/>
          <w:sz w:val="24"/>
          <w:szCs w:val="24"/>
        </w:rPr>
        <w:t>yang</w:t>
      </w:r>
      <w:r>
        <w:rPr>
          <w:rFonts w:ascii="Times New Roman" w:eastAsia="Times New Roman" w:hAnsi="Times New Roman" w:cs="Times New Roman"/>
          <w:color w:val="000000"/>
          <w:sz w:val="24"/>
          <w:szCs w:val="24"/>
        </w:rPr>
        <w:t xml:space="preserve"> tinggi dan struktur yang kompleks ini menimbulkan persoalan penelitian yang perlu dijawab secara kaedah bibliometrik. Di antara persoalan yang penting ialah sumbangan UKM secara </w:t>
      </w:r>
      <w:r>
        <w:rPr>
          <w:rFonts w:ascii="Times New Roman" w:eastAsia="Times New Roman" w:hAnsi="Times New Roman" w:cs="Times New Roman"/>
          <w:sz w:val="24"/>
          <w:szCs w:val="24"/>
        </w:rPr>
        <w:t>kuantitatif</w:t>
      </w:r>
      <w:r>
        <w:rPr>
          <w:rFonts w:ascii="Times New Roman" w:eastAsia="Times New Roman" w:hAnsi="Times New Roman" w:cs="Times New Roman"/>
          <w:color w:val="000000"/>
          <w:sz w:val="24"/>
          <w:szCs w:val="24"/>
        </w:rPr>
        <w:t xml:space="preserve"> berbanding institusi lain, jaringan kerjasama yang dibangunkan dan penelitian tema-tema yang menjadi fokus kajian. Pemetaan ini menjadi penting untuk mengetahui posisi UKM, mengenalpasti jurang kajian dan merumuskan strategi pengembangan kajian hadapan. </w:t>
      </w:r>
    </w:p>
    <w:p w14:paraId="67229E68"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3623D9BE"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18651F53"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Metodologi</w:t>
      </w:r>
    </w:p>
    <w:p w14:paraId="7A6F69B2" w14:textId="77777777" w:rsidR="00C87779" w:rsidRDefault="004A3C5B">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14:paraId="1F36DADC" w14:textId="77777777" w:rsidR="00C87779" w:rsidRDefault="004A3C5B">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Kajian ini menggunakan prosedur </w:t>
      </w:r>
      <w:r>
        <w:rPr>
          <w:rFonts w:ascii="Times New Roman" w:eastAsia="Times New Roman" w:hAnsi="Times New Roman" w:cs="Times New Roman"/>
          <w:i/>
          <w:color w:val="000000"/>
          <w:sz w:val="24"/>
          <w:szCs w:val="24"/>
        </w:rPr>
        <w:t>Preferred Reporting Items for Systematic reviews and Meta-Analyses</w:t>
      </w:r>
      <w:r>
        <w:rPr>
          <w:rFonts w:ascii="Times New Roman" w:eastAsia="Times New Roman" w:hAnsi="Times New Roman" w:cs="Times New Roman"/>
          <w:color w:val="000000"/>
          <w:sz w:val="24"/>
          <w:szCs w:val="24"/>
        </w:rPr>
        <w:t xml:space="preserve"> (PRISMA), yang melibatkan peringkat pengenalan, saringan, kelayakan dan kemasukan. Kajian ini menggunakan kaedah PRISMA untuk memastikan ketelusan dan ketelitian, tetapi bukan kaedah </w:t>
      </w:r>
      <w:r>
        <w:rPr>
          <w:rFonts w:ascii="Times New Roman" w:eastAsia="Times New Roman" w:hAnsi="Times New Roman" w:cs="Times New Roman"/>
          <w:i/>
          <w:color w:val="000000"/>
          <w:sz w:val="24"/>
          <w:szCs w:val="24"/>
        </w:rPr>
        <w:t>Systematic Literature Review</w:t>
      </w:r>
      <w:r>
        <w:rPr>
          <w:rFonts w:ascii="Times New Roman" w:eastAsia="Times New Roman" w:hAnsi="Times New Roman" w:cs="Times New Roman"/>
          <w:color w:val="000000"/>
          <w:sz w:val="24"/>
          <w:szCs w:val="24"/>
        </w:rPr>
        <w:t xml:space="preserve"> (SLR) atau </w:t>
      </w:r>
      <w:r>
        <w:rPr>
          <w:rFonts w:ascii="Times New Roman" w:eastAsia="Times New Roman" w:hAnsi="Times New Roman" w:cs="Times New Roman"/>
          <w:i/>
          <w:color w:val="000000"/>
          <w:sz w:val="24"/>
          <w:szCs w:val="24"/>
        </w:rPr>
        <w:t>Scoping Review</w:t>
      </w:r>
      <w:r>
        <w:rPr>
          <w:rFonts w:ascii="Times New Roman" w:eastAsia="Times New Roman" w:hAnsi="Times New Roman" w:cs="Times New Roman"/>
          <w:color w:val="000000"/>
          <w:sz w:val="24"/>
          <w:szCs w:val="24"/>
        </w:rPr>
        <w:t xml:space="preserve">. Kaedah SLR digunakan sekiranya kajian menjawab soalan khusus berasaskan bukti melalui sintesis kualitatif/kuantitatif, manakala kaedah </w:t>
      </w:r>
      <w:r>
        <w:rPr>
          <w:rFonts w:ascii="Times New Roman" w:eastAsia="Times New Roman" w:hAnsi="Times New Roman" w:cs="Times New Roman"/>
          <w:i/>
          <w:color w:val="000000"/>
          <w:sz w:val="24"/>
          <w:szCs w:val="24"/>
        </w:rPr>
        <w:t>Scoping Review</w:t>
      </w:r>
      <w:r>
        <w:rPr>
          <w:rFonts w:ascii="Times New Roman" w:eastAsia="Times New Roman" w:hAnsi="Times New Roman" w:cs="Times New Roman"/>
          <w:color w:val="000000"/>
          <w:sz w:val="24"/>
          <w:szCs w:val="24"/>
        </w:rPr>
        <w:t xml:space="preserve"> sesuai digunakan untuk kajian bertujuan untuk memetakan literatur sedia ada secara naratif. PRISMA bukanlah sejenis kajian, tetapi satu kerangka untuk melaporkan proses pencarian dan penyaringan literatur secara sistematik. Pemilihan PRISMA adalah bersesuai untuk kajian ini kerana ia memberikan struktur yang jelas dan boleh dipercayai dalam melaporkan penyaringan artikel protokol yang ketat, di mana merupakan asas penting untuk analisis bibliometrik yang kredibel. Data daripada pangkalan data </w:t>
      </w:r>
      <w:r>
        <w:rPr>
          <w:rFonts w:ascii="Times New Roman" w:eastAsia="Times New Roman" w:hAnsi="Times New Roman" w:cs="Times New Roman"/>
          <w:i/>
          <w:color w:val="000000"/>
          <w:sz w:val="24"/>
          <w:szCs w:val="24"/>
        </w:rPr>
        <w:t>Scopus Scholar</w:t>
      </w:r>
      <w:r>
        <w:rPr>
          <w:rFonts w:ascii="Times New Roman" w:eastAsia="Times New Roman" w:hAnsi="Times New Roman" w:cs="Times New Roman"/>
          <w:color w:val="000000"/>
          <w:sz w:val="24"/>
          <w:szCs w:val="24"/>
        </w:rPr>
        <w:t xml:space="preserve"> dipilih kerana data </w:t>
      </w:r>
      <w:r>
        <w:rPr>
          <w:rFonts w:ascii="Times New Roman" w:eastAsia="Times New Roman" w:hAnsi="Times New Roman" w:cs="Times New Roman"/>
          <w:i/>
          <w:color w:val="000000"/>
          <w:sz w:val="24"/>
          <w:szCs w:val="24"/>
        </w:rPr>
        <w:t xml:space="preserve">Scopus </w:t>
      </w:r>
      <w:r>
        <w:rPr>
          <w:rFonts w:ascii="Times New Roman" w:eastAsia="Times New Roman" w:hAnsi="Times New Roman" w:cs="Times New Roman"/>
          <w:color w:val="000000"/>
          <w:sz w:val="24"/>
          <w:szCs w:val="24"/>
        </w:rPr>
        <w:t xml:space="preserve">menjadi sasaran pemilihan para penyelidik untuk menerbitkan dokumen yang </w:t>
      </w:r>
      <w:r>
        <w:rPr>
          <w:rFonts w:ascii="Times New Roman" w:eastAsia="Times New Roman" w:hAnsi="Times New Roman" w:cs="Times New Roman"/>
          <w:color w:val="000000"/>
          <w:sz w:val="24"/>
          <w:szCs w:val="24"/>
        </w:rPr>
        <w:lastRenderedPageBreak/>
        <w:t xml:space="preserve">berkualiti dan mendapat pengiktirafan di seluruh dunia. Selain itu, </w:t>
      </w:r>
      <w:r>
        <w:rPr>
          <w:rFonts w:ascii="Times New Roman" w:eastAsia="Times New Roman" w:hAnsi="Times New Roman" w:cs="Times New Roman"/>
          <w:i/>
          <w:color w:val="000000"/>
          <w:sz w:val="24"/>
          <w:szCs w:val="24"/>
        </w:rPr>
        <w:t>Scopus</w:t>
      </w:r>
      <w:r>
        <w:rPr>
          <w:rFonts w:ascii="Times New Roman" w:eastAsia="Times New Roman" w:hAnsi="Times New Roman" w:cs="Times New Roman"/>
          <w:color w:val="000000"/>
          <w:sz w:val="24"/>
          <w:szCs w:val="24"/>
        </w:rPr>
        <w:t xml:space="preserve"> ialah petikan pangkalan data </w:t>
      </w:r>
      <w:r>
        <w:rPr>
          <w:rFonts w:ascii="Times New Roman" w:eastAsia="Times New Roman" w:hAnsi="Times New Roman" w:cs="Times New Roman"/>
          <w:i/>
          <w:color w:val="000000"/>
          <w:sz w:val="24"/>
          <w:szCs w:val="24"/>
        </w:rPr>
        <w:t>Elsevier</w:t>
      </w:r>
      <w:r>
        <w:rPr>
          <w:rFonts w:ascii="Times New Roman" w:eastAsia="Times New Roman" w:hAnsi="Times New Roman" w:cs="Times New Roman"/>
          <w:color w:val="000000"/>
          <w:sz w:val="24"/>
          <w:szCs w:val="24"/>
        </w:rPr>
        <w:t xml:space="preserve"> di peringkat antarabangsa, di mana dianggap sebagai pangkalan data abstrak dan petikan indeks yang paling banyak dikaji. Semua pangkalan data jurnal </w:t>
      </w:r>
      <w:r>
        <w:rPr>
          <w:rFonts w:ascii="Times New Roman" w:eastAsia="Times New Roman" w:hAnsi="Times New Roman" w:cs="Times New Roman"/>
          <w:i/>
          <w:color w:val="000000"/>
          <w:sz w:val="24"/>
          <w:szCs w:val="24"/>
        </w:rPr>
        <w:t xml:space="preserve">Scopus </w:t>
      </w:r>
      <w:r>
        <w:rPr>
          <w:rFonts w:ascii="Times New Roman" w:eastAsia="Times New Roman" w:hAnsi="Times New Roman" w:cs="Times New Roman"/>
          <w:color w:val="000000"/>
          <w:sz w:val="24"/>
          <w:szCs w:val="24"/>
        </w:rPr>
        <w:t xml:space="preserve">mempunyai kualiti yang tinggi kerana mengalami proses pengauditan setiap tahun berdasarkan empat jenis ukuran kualiti, di mana terdiri daripada </w:t>
      </w:r>
      <w:r>
        <w:rPr>
          <w:rFonts w:ascii="Times New Roman" w:eastAsia="Times New Roman" w:hAnsi="Times New Roman" w:cs="Times New Roman"/>
          <w:i/>
          <w:color w:val="000000"/>
          <w:sz w:val="24"/>
          <w:szCs w:val="24"/>
        </w:rPr>
        <w:t>CiteScore</w:t>
      </w:r>
      <w:r>
        <w:rPr>
          <w:rFonts w:ascii="Times New Roman" w:eastAsia="Times New Roman" w:hAnsi="Times New Roman" w:cs="Times New Roman"/>
          <w:color w:val="000000"/>
          <w:sz w:val="24"/>
          <w:szCs w:val="24"/>
        </w:rPr>
        <w:t>, indeks-h, SJR (</w:t>
      </w:r>
      <w:r>
        <w:rPr>
          <w:rFonts w:ascii="Times New Roman" w:eastAsia="Times New Roman" w:hAnsi="Times New Roman" w:cs="Times New Roman"/>
          <w:i/>
          <w:color w:val="000000"/>
          <w:sz w:val="24"/>
          <w:szCs w:val="24"/>
        </w:rPr>
        <w:t>SCImago Journal Rank</w:t>
      </w:r>
      <w:r>
        <w:rPr>
          <w:rFonts w:ascii="Times New Roman" w:eastAsia="Times New Roman" w:hAnsi="Times New Roman" w:cs="Times New Roman"/>
          <w:color w:val="000000"/>
          <w:sz w:val="24"/>
          <w:szCs w:val="24"/>
        </w:rPr>
        <w:t>) dan SNIP (</w:t>
      </w:r>
      <w:r>
        <w:rPr>
          <w:rFonts w:ascii="Times New Roman" w:eastAsia="Times New Roman" w:hAnsi="Times New Roman" w:cs="Times New Roman"/>
          <w:i/>
          <w:color w:val="000000"/>
          <w:sz w:val="24"/>
          <w:szCs w:val="24"/>
        </w:rPr>
        <w:t>Source Normalized Impact per Paper</w:t>
      </w:r>
      <w:r>
        <w:rPr>
          <w:rFonts w:ascii="Times New Roman" w:eastAsia="Times New Roman" w:hAnsi="Times New Roman" w:cs="Times New Roman"/>
          <w:color w:val="000000"/>
          <w:sz w:val="24"/>
          <w:szCs w:val="24"/>
        </w:rPr>
        <w:t xml:space="preserve">). Data kajian ini diperoleh melalui tinjauan literatur inklusif berkaitan tema yang dipilih dengan menggunakan aplikasi pengurusan rujukan yang dikenali sebagai </w:t>
      </w:r>
      <w:r>
        <w:rPr>
          <w:rFonts w:ascii="Times New Roman" w:eastAsia="Times New Roman" w:hAnsi="Times New Roman" w:cs="Times New Roman"/>
          <w:i/>
          <w:color w:val="000000"/>
          <w:sz w:val="24"/>
          <w:szCs w:val="24"/>
        </w:rPr>
        <w:t>RefWorks</w:t>
      </w:r>
      <w:r>
        <w:rPr>
          <w:rFonts w:ascii="Times New Roman" w:eastAsia="Times New Roman" w:hAnsi="Times New Roman" w:cs="Times New Roman"/>
          <w:color w:val="000000"/>
          <w:sz w:val="24"/>
          <w:szCs w:val="24"/>
        </w:rPr>
        <w:t xml:space="preserve">. Semua dokumen yang diindeks oleh </w:t>
      </w:r>
      <w:r>
        <w:rPr>
          <w:rFonts w:ascii="Times New Roman" w:eastAsia="Times New Roman" w:hAnsi="Times New Roman" w:cs="Times New Roman"/>
          <w:i/>
          <w:color w:val="000000"/>
          <w:sz w:val="24"/>
          <w:szCs w:val="24"/>
        </w:rPr>
        <w:t>Scopus Scholar</w:t>
      </w:r>
      <w:r>
        <w:rPr>
          <w:rFonts w:ascii="Times New Roman" w:eastAsia="Times New Roman" w:hAnsi="Times New Roman" w:cs="Times New Roman"/>
          <w:color w:val="000000"/>
          <w:sz w:val="24"/>
          <w:szCs w:val="24"/>
        </w:rPr>
        <w:t xml:space="preserve"> dan memenuhi kriteria dan kaitan dengan tema penyelidikan kajian ini disimpan dalam bentuk fail untuk kajian VOSviewer.</w:t>
      </w:r>
    </w:p>
    <w:p w14:paraId="1676F3E1"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Dalam kajian ini, pengkaji secara khususnya memilih dokumen yang fokus kepada institusi UKM dalam bidang sains sosial. Proses dapatan data ini meliputi tajuk, kata kunci dan kriteria abstrak untuk mencari maklumat yang </w:t>
      </w:r>
      <w:r>
        <w:rPr>
          <w:rFonts w:ascii="Times New Roman" w:eastAsia="Times New Roman" w:hAnsi="Times New Roman" w:cs="Times New Roman"/>
          <w:sz w:val="24"/>
          <w:szCs w:val="24"/>
        </w:rPr>
        <w:t>dikehendaki</w:t>
      </w:r>
      <w:r>
        <w:rPr>
          <w:rFonts w:ascii="Times New Roman" w:eastAsia="Times New Roman" w:hAnsi="Times New Roman" w:cs="Times New Roman"/>
          <w:color w:val="000000"/>
          <w:sz w:val="24"/>
          <w:szCs w:val="24"/>
        </w:rPr>
        <w:t xml:space="preserve">. Sebanyak 2,809 dokumen telah diperolehi dan seterusnya dijalankan kajian kriteria tematik yang berkaitan (Rajah 1). Artikel yang dikaji dalam penyelidikan ini terdiri daripada penerbitan yang merangkumi tempoh dari tahun 2019 </w:t>
      </w:r>
      <w:r>
        <w:rPr>
          <w:rFonts w:ascii="Times New Roman" w:eastAsia="Times New Roman" w:hAnsi="Times New Roman" w:cs="Times New Roman"/>
          <w:sz w:val="24"/>
          <w:szCs w:val="24"/>
        </w:rPr>
        <w:t>hingga</w:t>
      </w:r>
      <w:r>
        <w:rPr>
          <w:rFonts w:ascii="Times New Roman" w:eastAsia="Times New Roman" w:hAnsi="Times New Roman" w:cs="Times New Roman"/>
          <w:color w:val="000000"/>
          <w:sz w:val="24"/>
          <w:szCs w:val="24"/>
        </w:rPr>
        <w:t xml:space="preserve"> 2023, di mana merangkumi tempoh kajian terkini oleh UKM dalam bidang sosial. Tempoh selama lima tahun sudah memadai untuk menunjukkan corak perubahan proses dalam penyelidikan bidang sains sosial, di mana membenarkan penglibatan akademik UKM yang berkembang dalam bidang sains sosial. Ini juga mencerminkan penyelidikan kesan wabak COVID-19 melanda yang berkaitan dengan bidang sains sosial. Jangka masa ini juga mendedahkan pengaruh wabak COVID-19 dalam perubahan dasar yang berkaitan dalam hasil penyelidikan kerana telah mempengaruhi hala tuju penyelidikan dan kuantiti penyelidikan.</w:t>
      </w:r>
    </w:p>
    <w:p w14:paraId="6C76BCED"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23AC729"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noProof/>
          <w:lang w:val="en-MY"/>
        </w:rPr>
        <w:drawing>
          <wp:inline distT="0" distB="0" distL="0" distR="0" wp14:anchorId="3DCBFD1E" wp14:editId="55BA2EDB">
            <wp:extent cx="4615869" cy="3988627"/>
            <wp:effectExtent l="0" t="0" r="0" b="0"/>
            <wp:docPr id="105349937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15869" cy="3988627"/>
                    </a:xfrm>
                    <a:prstGeom prst="rect">
                      <a:avLst/>
                    </a:prstGeom>
                    <a:ln/>
                  </pic:spPr>
                </pic:pic>
              </a:graphicData>
            </a:graphic>
          </wp:inline>
        </w:drawing>
      </w:r>
    </w:p>
    <w:p w14:paraId="43F73B7F"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7EB25B8A" w14:textId="77777777" w:rsidR="00C87779" w:rsidRDefault="004A3C5B">
      <w:pPr>
        <w:spacing w:after="0"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Rajah 1. </w:t>
      </w:r>
      <w:r>
        <w:rPr>
          <w:rFonts w:ascii="Times New Roman" w:eastAsia="Times New Roman" w:hAnsi="Times New Roman" w:cs="Times New Roman"/>
          <w:sz w:val="24"/>
          <w:szCs w:val="24"/>
        </w:rPr>
        <w:t>Carta aliran metodologi yang digunakan dalam kajian ini</w:t>
      </w:r>
    </w:p>
    <w:p w14:paraId="1B6EA643" w14:textId="77777777" w:rsidR="00C87779" w:rsidRDefault="00C87779">
      <w:pPr>
        <w:spacing w:after="0" w:line="240" w:lineRule="auto"/>
        <w:ind w:hanging="2"/>
        <w:jc w:val="center"/>
        <w:rPr>
          <w:rFonts w:ascii="Times New Roman" w:eastAsia="Times New Roman" w:hAnsi="Times New Roman" w:cs="Times New Roman"/>
          <w:color w:val="000000"/>
          <w:sz w:val="24"/>
          <w:szCs w:val="24"/>
        </w:rPr>
      </w:pPr>
    </w:p>
    <w:p w14:paraId="7EED05D1"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Pertanyaan terakhir (final query) untuk set data kajian ialah AF-ID </w:t>
      </w:r>
      <w:proofErr w:type="gramStart"/>
      <w:r>
        <w:rPr>
          <w:rFonts w:ascii="Times New Roman" w:eastAsia="Times New Roman" w:hAnsi="Times New Roman" w:cs="Times New Roman"/>
          <w:color w:val="000000"/>
          <w:sz w:val="24"/>
          <w:szCs w:val="24"/>
        </w:rPr>
        <w:t>( 60001821</w:t>
      </w:r>
      <w:proofErr w:type="gramEnd"/>
      <w:r>
        <w:rPr>
          <w:rFonts w:ascii="Times New Roman" w:eastAsia="Times New Roman" w:hAnsi="Times New Roman" w:cs="Times New Roman"/>
          <w:color w:val="000000"/>
          <w:sz w:val="24"/>
          <w:szCs w:val="24"/>
        </w:rPr>
        <w:t xml:space="preserve"> ) AND SUBJAREA ( soci ) AND PUBYEAR &gt; 2018 AND PUBYEAR &lt; 2024 AND ( LIMIT-TO ( DOCTYPE , "ar" ) OR LIMIT-TO ( DOCTYPE , "re" ) OR LIMIT-TO ( DOCTYPE , "cp" ) OR LIMIT-TO ( DOCTYPE , "ch" ) OR LIMIT-TO ( DOCTYPE , "bk" ) ) AND ( LIMIT-TO ( PUBSTAGE , "final" ) ).</w:t>
      </w:r>
    </w:p>
    <w:p w14:paraId="66052CF1"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Semua dokumen yang dikumpul disimpan dalam format fail *.csv. Kemudian, penyelidik menggunakan perisian VOSviewer untuk membentuk secara visual dan meneliti corak perubahan dalam bentuk peta bibliometrik. Proses pemetaan data bermula dengan mengekstrak dokumen daripada sumber pangkalan data yang telah disusun dengan sewajarnya (Khoong et al., 2024). Pemetaan data terdiri daripada tiga jenis iaitu pemetaan rangkaian (</w:t>
      </w:r>
      <w:r>
        <w:rPr>
          <w:rFonts w:ascii="Times New Roman" w:eastAsia="Times New Roman" w:hAnsi="Times New Roman" w:cs="Times New Roman"/>
          <w:i/>
          <w:color w:val="000000"/>
          <w:sz w:val="24"/>
          <w:szCs w:val="24"/>
        </w:rPr>
        <w:t>network mapping</w:t>
      </w:r>
      <w:r>
        <w:rPr>
          <w:rFonts w:ascii="Times New Roman" w:eastAsia="Times New Roman" w:hAnsi="Times New Roman" w:cs="Times New Roman"/>
          <w:color w:val="000000"/>
          <w:sz w:val="24"/>
          <w:szCs w:val="24"/>
        </w:rPr>
        <w:t>), pemetaan ketumpatan (</w:t>
      </w:r>
      <w:r>
        <w:rPr>
          <w:rFonts w:ascii="Times New Roman" w:eastAsia="Times New Roman" w:hAnsi="Times New Roman" w:cs="Times New Roman"/>
          <w:i/>
          <w:color w:val="000000"/>
          <w:sz w:val="24"/>
          <w:szCs w:val="24"/>
        </w:rPr>
        <w:t>density mapping</w:t>
      </w:r>
      <w:r>
        <w:rPr>
          <w:rFonts w:ascii="Times New Roman" w:eastAsia="Times New Roman" w:hAnsi="Times New Roman" w:cs="Times New Roman"/>
          <w:color w:val="000000"/>
          <w:sz w:val="24"/>
          <w:szCs w:val="24"/>
        </w:rPr>
        <w:t>) dan tindanan visualisasi (</w:t>
      </w:r>
      <w:r>
        <w:rPr>
          <w:rFonts w:ascii="Times New Roman" w:eastAsia="Times New Roman" w:hAnsi="Times New Roman" w:cs="Times New Roman"/>
          <w:i/>
          <w:color w:val="000000"/>
          <w:sz w:val="24"/>
          <w:szCs w:val="24"/>
        </w:rPr>
        <w:t>visualisation overlay</w:t>
      </w:r>
      <w:r>
        <w:rPr>
          <w:rFonts w:ascii="Times New Roman" w:eastAsia="Times New Roman" w:hAnsi="Times New Roman" w:cs="Times New Roman"/>
          <w:color w:val="000000"/>
          <w:sz w:val="24"/>
          <w:szCs w:val="24"/>
        </w:rPr>
        <w:t>). VOSviewer merupakan aplikasi perisian yang direka untuk mencipta dan memaparkan rangkaian bibliometrik. VOSViewer berupaya perlombongan teks (</w:t>
      </w:r>
      <w:r>
        <w:rPr>
          <w:rFonts w:ascii="Times New Roman" w:eastAsia="Times New Roman" w:hAnsi="Times New Roman" w:cs="Times New Roman"/>
          <w:i/>
          <w:color w:val="000000"/>
          <w:sz w:val="24"/>
          <w:szCs w:val="24"/>
        </w:rPr>
        <w:t>text-mining</w:t>
      </w:r>
      <w:r>
        <w:rPr>
          <w:rFonts w:ascii="Times New Roman" w:eastAsia="Times New Roman" w:hAnsi="Times New Roman" w:cs="Times New Roman"/>
          <w:color w:val="000000"/>
          <w:sz w:val="24"/>
          <w:szCs w:val="24"/>
        </w:rPr>
        <w:t xml:space="preserve">), di mana membentuk dan visualisasi hubungan petikan dan istilah di antara artikel-artikel akademik. Integrasi sistem pemetaan, ciri carian dan fungsi penyemakan membolehkan paparan visual peta yang diterbitkan (Bukar et al., 2023). Oleh itu, analisis yang lebih mendalam dapat dikesan. Selain itu, VOSViewer mampu melakukan analisis </w:t>
      </w:r>
      <w:r>
        <w:rPr>
          <w:rFonts w:ascii="Times New Roman" w:eastAsia="Times New Roman" w:hAnsi="Times New Roman" w:cs="Times New Roman"/>
          <w:sz w:val="24"/>
          <w:szCs w:val="24"/>
        </w:rPr>
        <w:t>pengekstrakan</w:t>
      </w:r>
      <w:r>
        <w:rPr>
          <w:rFonts w:ascii="Times New Roman" w:eastAsia="Times New Roman" w:hAnsi="Times New Roman" w:cs="Times New Roman"/>
          <w:color w:val="000000"/>
          <w:sz w:val="24"/>
          <w:szCs w:val="24"/>
        </w:rPr>
        <w:t xml:space="preserve">, iaitu pendekatan yang digunakan untuk mempermudah set data besar melalui kajian maklumat bibliometrik yang berkaitan dengan </w:t>
      </w:r>
      <w:r>
        <w:rPr>
          <w:rFonts w:ascii="Times New Roman" w:eastAsia="Times New Roman" w:hAnsi="Times New Roman" w:cs="Times New Roman"/>
          <w:sz w:val="24"/>
          <w:szCs w:val="24"/>
        </w:rPr>
        <w:t>sebuah</w:t>
      </w:r>
      <w:r>
        <w:rPr>
          <w:rFonts w:ascii="Times New Roman" w:eastAsia="Times New Roman" w:hAnsi="Times New Roman" w:cs="Times New Roman"/>
          <w:color w:val="000000"/>
          <w:sz w:val="24"/>
          <w:szCs w:val="24"/>
        </w:rPr>
        <w:t xml:space="preserve"> artikel (Moral-Monaz, 2020).</w:t>
      </w:r>
      <w:r>
        <w:t xml:space="preserve"> </w:t>
      </w:r>
      <w:r>
        <w:rPr>
          <w:rFonts w:ascii="Times New Roman" w:eastAsia="Times New Roman" w:hAnsi="Times New Roman" w:cs="Times New Roman"/>
          <w:color w:val="000000"/>
          <w:sz w:val="24"/>
          <w:szCs w:val="24"/>
        </w:rPr>
        <w:t>Bibliometrik membuat analisis secara terperinci kerangka konsep dan corak perkembangan dalam bidang kajian tertentu. Aplikasi analisis bibliometrik muncul sebagai kaedah yang bermanfaat di dalam kajian yang melibatkan set data yang besar. Tambahan pula, analisis bibliometrik mampu menggabungkan kaedah kuantitatif untuk analisis penilaian, di mana berfungsi sebagai pelengkap kepada kaedah kualitatif untuk membentuk tafsiran yang lebih menyeluruh (Vlase &amp; Landesmaki, 2023).</w:t>
      </w:r>
    </w:p>
    <w:p w14:paraId="6F9A09DE"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Rangkaian ini mungkin melibatkan jurnal artikel, para penyelidik atau artikel peribadi, di mana kebiasaannya dibina berdasarkan petikan, data bibliografi atau pengarang bersama. Justeru itu, perisian VOSviewer sangat sesuai untuk menganalisis kajian kesusasteraan saintifik yang mempunyai data besar dan untuk mewakili corak data tersebut secara visual (Vlase &amp; Landesmaki, 2023). Analisis ini dijalankan menggunakan petikan bersama dan pendekatan berasaskan kata kunci, di mana ia kemudiannya divisualisasikan pada rangkaian yang menggambarkan hubungan antara pelbagai istilah. VOSviewer menggunakan kaedah pelbagai langkah untuk menggambarkan rangkaian bibliometrik, di mana merangkumi pengumpulan data, input dan penyediaan import data (data </w:t>
      </w:r>
      <w:r>
        <w:rPr>
          <w:rFonts w:ascii="Times New Roman" w:eastAsia="Times New Roman" w:hAnsi="Times New Roman" w:cs="Times New Roman"/>
          <w:i/>
          <w:color w:val="000000"/>
          <w:sz w:val="24"/>
          <w:szCs w:val="24"/>
        </w:rPr>
        <w:t>import input and preparation</w:t>
      </w:r>
      <w:r>
        <w:rPr>
          <w:rFonts w:ascii="Times New Roman" w:eastAsia="Times New Roman" w:hAnsi="Times New Roman" w:cs="Times New Roman"/>
          <w:color w:val="000000"/>
          <w:sz w:val="24"/>
          <w:szCs w:val="24"/>
        </w:rPr>
        <w:t>), pembentukan penciptaan rangkaian (</w:t>
      </w:r>
      <w:r>
        <w:rPr>
          <w:rFonts w:ascii="Times New Roman" w:eastAsia="Times New Roman" w:hAnsi="Times New Roman" w:cs="Times New Roman"/>
          <w:i/>
          <w:color w:val="000000"/>
          <w:sz w:val="24"/>
          <w:szCs w:val="24"/>
        </w:rPr>
        <w:t>network creation development</w:t>
      </w:r>
      <w:r>
        <w:rPr>
          <w:rFonts w:ascii="Times New Roman" w:eastAsia="Times New Roman" w:hAnsi="Times New Roman" w:cs="Times New Roman"/>
          <w:color w:val="000000"/>
          <w:sz w:val="24"/>
          <w:szCs w:val="24"/>
        </w:rPr>
        <w:t>), dan visualisasi (Vlase &amp; Landesmaki, 2023). Untuk membentuk peta bibliometrik, dengan kekerapan kata kunci ditetapkan sebanyak minimum lima kewujudan (</w:t>
      </w:r>
      <w:r>
        <w:rPr>
          <w:rFonts w:ascii="Times New Roman" w:eastAsia="Times New Roman" w:hAnsi="Times New Roman" w:cs="Times New Roman"/>
          <w:i/>
          <w:color w:val="000000"/>
          <w:sz w:val="24"/>
          <w:szCs w:val="24"/>
        </w:rPr>
        <w:t>occurrences</w:t>
      </w:r>
      <w:r>
        <w:rPr>
          <w:rFonts w:ascii="Times New Roman" w:eastAsia="Times New Roman" w:hAnsi="Times New Roman" w:cs="Times New Roman"/>
          <w:color w:val="000000"/>
          <w:sz w:val="24"/>
          <w:szCs w:val="24"/>
        </w:rPr>
        <w:t>) daripada pangkalan data yang disediakan, hasil dapatan kajian memperolehi 169 item kata kunci. Tambahan pula, penyelidik menggunakan proses penapisan (</w:t>
      </w:r>
      <w:r>
        <w:rPr>
          <w:rFonts w:ascii="Times New Roman" w:eastAsia="Times New Roman" w:hAnsi="Times New Roman" w:cs="Times New Roman"/>
          <w:i/>
          <w:color w:val="000000"/>
          <w:sz w:val="24"/>
          <w:szCs w:val="24"/>
        </w:rPr>
        <w:t>process filtering</w:t>
      </w:r>
      <w:r>
        <w:rPr>
          <w:rFonts w:ascii="Times New Roman" w:eastAsia="Times New Roman" w:hAnsi="Times New Roman" w:cs="Times New Roman"/>
          <w:color w:val="000000"/>
          <w:sz w:val="24"/>
          <w:szCs w:val="24"/>
        </w:rPr>
        <w:t>) untuk menentukan istilah yang akan dimasukkan ke dalam visualisasi pemetaan rangkaian (</w:t>
      </w:r>
      <w:r>
        <w:rPr>
          <w:rFonts w:ascii="Times New Roman" w:eastAsia="Times New Roman" w:hAnsi="Times New Roman" w:cs="Times New Roman"/>
          <w:i/>
          <w:color w:val="000000"/>
          <w:sz w:val="24"/>
          <w:szCs w:val="24"/>
        </w:rPr>
        <w:t>network mapping visualisation</w:t>
      </w:r>
      <w:r>
        <w:rPr>
          <w:rFonts w:ascii="Times New Roman" w:eastAsia="Times New Roman" w:hAnsi="Times New Roman" w:cs="Times New Roman"/>
          <w:color w:val="000000"/>
          <w:sz w:val="24"/>
          <w:szCs w:val="24"/>
        </w:rPr>
        <w:t>) VOSviewer.</w:t>
      </w:r>
    </w:p>
    <w:p w14:paraId="03796E35" w14:textId="77777777" w:rsidR="00C87779" w:rsidRDefault="00C87779">
      <w:pPr>
        <w:spacing w:after="0" w:line="240" w:lineRule="auto"/>
        <w:ind w:firstLine="0"/>
        <w:jc w:val="both"/>
        <w:rPr>
          <w:rFonts w:ascii="Times New Roman" w:eastAsia="Times New Roman" w:hAnsi="Times New Roman" w:cs="Times New Roman"/>
          <w:b/>
          <w:color w:val="000000"/>
          <w:sz w:val="24"/>
          <w:szCs w:val="24"/>
        </w:rPr>
      </w:pPr>
    </w:p>
    <w:p w14:paraId="648591BD" w14:textId="77777777" w:rsidR="00C87779" w:rsidRDefault="00C87779">
      <w:pPr>
        <w:spacing w:after="0" w:line="240" w:lineRule="auto"/>
        <w:ind w:firstLine="0"/>
        <w:jc w:val="both"/>
        <w:rPr>
          <w:rFonts w:ascii="Times New Roman" w:eastAsia="Times New Roman" w:hAnsi="Times New Roman" w:cs="Times New Roman"/>
          <w:b/>
          <w:color w:val="000000"/>
          <w:sz w:val="24"/>
          <w:szCs w:val="24"/>
        </w:rPr>
      </w:pPr>
    </w:p>
    <w:p w14:paraId="7334D91F" w14:textId="77777777" w:rsidR="00C87779" w:rsidRDefault="004A3C5B">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Hasil kajian</w:t>
      </w:r>
    </w:p>
    <w:p w14:paraId="4D7A75D1"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p>
    <w:p w14:paraId="6E06C0FE" w14:textId="77777777" w:rsidR="00C87779" w:rsidRDefault="004A3C5B">
      <w:pPr>
        <w:spacing w:after="0" w:line="240" w:lineRule="auto"/>
        <w:ind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Kajian mendapati bilangan dokumen sains sosial yang diterbitkan mengalami corak peningkatan dari tahun 2019 kepada 2023 (Rajah 1). Bilangan dokumen didapati meningkat 44 peratus di antara </w:t>
      </w:r>
      <w:r>
        <w:rPr>
          <w:rFonts w:ascii="Times New Roman" w:eastAsia="Times New Roman" w:hAnsi="Times New Roman" w:cs="Times New Roman"/>
          <w:color w:val="000000"/>
          <w:sz w:val="24"/>
          <w:szCs w:val="24"/>
        </w:rPr>
        <w:lastRenderedPageBreak/>
        <w:t>tahun 2023 dan 2019, di dalam bidang sains sosial. Selain itu, artikel dokumen menyumbang melebihi 80 peratus kepada keseluruhan jenis penerbitan dalam tahun kajian (Rajah 2). Kajian ini mengenal pasti 10 pengarang utama dalam bidang sains sosial UKM, termasuk Yunus, M.M. mencatatkan penerbitan sebanyak 76 naskah penerbitan, diikuti Pradhan, B.  dengan 33 naskah penerbitan, Rasul, M.S. dengan 32 naskah penerbitan, dan sebagainya.</w:t>
      </w:r>
    </w:p>
    <w:p w14:paraId="1426C9F6"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F1E953F" w14:textId="77777777" w:rsidR="00C87779" w:rsidRDefault="004A3C5B">
      <w:pPr>
        <w:pBdr>
          <w:top w:val="nil"/>
          <w:left w:val="nil"/>
          <w:bottom w:val="nil"/>
          <w:right w:val="nil"/>
          <w:between w:val="nil"/>
        </w:pBdr>
        <w:tabs>
          <w:tab w:val="left" w:pos="288"/>
        </w:tabs>
        <w:spacing w:after="0" w:line="228" w:lineRule="auto"/>
        <w:ind w:hanging="2"/>
        <w:jc w:val="center"/>
        <w:rPr>
          <w:rFonts w:ascii="Times New Roman" w:eastAsia="Times New Roman" w:hAnsi="Times New Roman" w:cs="Times New Roman"/>
          <w:color w:val="000000"/>
          <w:sz w:val="32"/>
          <w:szCs w:val="32"/>
        </w:rPr>
      </w:pPr>
      <w:r>
        <w:rPr>
          <w:rFonts w:ascii="Times New Roman" w:eastAsia="Times New Roman" w:hAnsi="Times New Roman" w:cs="Times New Roman"/>
          <w:noProof/>
          <w:color w:val="000000"/>
          <w:sz w:val="24"/>
          <w:szCs w:val="24"/>
          <w:lang w:val="en-MY"/>
        </w:rPr>
        <w:drawing>
          <wp:inline distT="0" distB="0" distL="0" distR="0" wp14:anchorId="62A461EC" wp14:editId="574D76D2">
            <wp:extent cx="4124931" cy="2648142"/>
            <wp:effectExtent l="0" t="0" r="0" b="0"/>
            <wp:docPr id="1053499374" name="Chart 105349937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Pr>
          <w:rFonts w:ascii="Times New Roman" w:eastAsia="Times New Roman" w:hAnsi="Times New Roman" w:cs="Times New Roman"/>
          <w:color w:val="000000"/>
          <w:sz w:val="32"/>
          <w:szCs w:val="32"/>
        </w:rPr>
        <w:t xml:space="preserve"> </w:t>
      </w:r>
    </w:p>
    <w:p w14:paraId="4350522D"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Scopus database</w:t>
      </w:r>
    </w:p>
    <w:p w14:paraId="7B6D5C57" w14:textId="77777777" w:rsidR="00C87779" w:rsidRDefault="00C87779">
      <w:pPr>
        <w:spacing w:after="0" w:line="240" w:lineRule="auto"/>
        <w:ind w:hanging="2"/>
        <w:jc w:val="center"/>
        <w:rPr>
          <w:rFonts w:ascii="Times New Roman" w:eastAsia="Times New Roman" w:hAnsi="Times New Roman" w:cs="Times New Roman"/>
          <w:sz w:val="24"/>
          <w:szCs w:val="24"/>
        </w:rPr>
      </w:pPr>
    </w:p>
    <w:p w14:paraId="2D7C6733"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Rajah 1. </w:t>
      </w:r>
      <w:r>
        <w:rPr>
          <w:rFonts w:ascii="Times New Roman" w:eastAsia="Times New Roman" w:hAnsi="Times New Roman" w:cs="Times New Roman"/>
          <w:sz w:val="24"/>
          <w:szCs w:val="24"/>
        </w:rPr>
        <w:t>Bilangan dokumen sains sosial UKM mengikut tahun kajian</w:t>
      </w:r>
    </w:p>
    <w:p w14:paraId="188FD118" w14:textId="77777777" w:rsidR="00C87779" w:rsidRDefault="00C87779">
      <w:pPr>
        <w:spacing w:after="0" w:line="240" w:lineRule="auto"/>
        <w:ind w:firstLine="0"/>
        <w:jc w:val="both"/>
        <w:rPr>
          <w:rFonts w:ascii="Times New Roman" w:eastAsia="Times New Roman" w:hAnsi="Times New Roman" w:cs="Times New Roman"/>
          <w:color w:val="000000"/>
          <w:sz w:val="24"/>
          <w:szCs w:val="24"/>
        </w:rPr>
      </w:pPr>
    </w:p>
    <w:p w14:paraId="605536B8" w14:textId="77777777" w:rsidR="00C87779" w:rsidRDefault="004A3C5B">
      <w:pPr>
        <w:spacing w:after="0" w:line="240" w:lineRule="auto"/>
        <w:ind w:left="1" w:hanging="3"/>
        <w:jc w:val="center"/>
        <w:rPr>
          <w:rFonts w:ascii="Times New Roman" w:eastAsia="Times New Roman" w:hAnsi="Times New Roman" w:cs="Times New Roman"/>
          <w:color w:val="000000"/>
          <w:sz w:val="32"/>
          <w:szCs w:val="32"/>
        </w:rPr>
      </w:pPr>
      <w:r>
        <w:rPr>
          <w:noProof/>
          <w:sz w:val="28"/>
          <w:szCs w:val="28"/>
          <w:lang w:val="en-MY"/>
        </w:rPr>
        <w:drawing>
          <wp:inline distT="0" distB="0" distL="0" distR="0" wp14:anchorId="51D43932" wp14:editId="55A30403">
            <wp:extent cx="4229218" cy="2686389"/>
            <wp:effectExtent l="0" t="0" r="0" b="0"/>
            <wp:docPr id="1053499373" name="Chart 10534993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021291B"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Scopus database</w:t>
      </w:r>
    </w:p>
    <w:p w14:paraId="5332B8BD" w14:textId="77777777" w:rsidR="00C87779" w:rsidRDefault="00C87779">
      <w:pPr>
        <w:spacing w:after="0" w:line="240" w:lineRule="auto"/>
        <w:ind w:hanging="2"/>
        <w:jc w:val="center"/>
        <w:rPr>
          <w:rFonts w:ascii="Times New Roman" w:eastAsia="Times New Roman" w:hAnsi="Times New Roman" w:cs="Times New Roman"/>
          <w:sz w:val="24"/>
          <w:szCs w:val="24"/>
        </w:rPr>
      </w:pPr>
    </w:p>
    <w:p w14:paraId="5BE612E2"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Rajah 2. </w:t>
      </w:r>
      <w:r>
        <w:rPr>
          <w:rFonts w:ascii="Times New Roman" w:eastAsia="Times New Roman" w:hAnsi="Times New Roman" w:cs="Times New Roman"/>
          <w:color w:val="000000"/>
          <w:sz w:val="24"/>
          <w:szCs w:val="24"/>
        </w:rPr>
        <w:t>Jenis dokumen sains sosial UKM untuk tahun kajian</w:t>
      </w:r>
    </w:p>
    <w:p w14:paraId="246F5B58" w14:textId="77777777" w:rsidR="00C87779" w:rsidRDefault="00C87779">
      <w:pPr>
        <w:spacing w:after="0" w:line="240" w:lineRule="auto"/>
        <w:ind w:hanging="2"/>
        <w:jc w:val="both"/>
        <w:rPr>
          <w:rFonts w:ascii="Times New Roman" w:eastAsia="Times New Roman" w:hAnsi="Times New Roman" w:cs="Times New Roman"/>
          <w:color w:val="000000"/>
          <w:sz w:val="20"/>
          <w:szCs w:val="20"/>
        </w:rPr>
      </w:pPr>
    </w:p>
    <w:p w14:paraId="5F100061" w14:textId="77777777" w:rsidR="00C87779" w:rsidRDefault="00C87779">
      <w:pPr>
        <w:spacing w:after="0" w:line="240" w:lineRule="auto"/>
        <w:ind w:hanging="2"/>
        <w:jc w:val="both"/>
        <w:rPr>
          <w:rFonts w:ascii="Times New Roman" w:eastAsia="Times New Roman" w:hAnsi="Times New Roman" w:cs="Times New Roman"/>
          <w:color w:val="000000"/>
          <w:sz w:val="20"/>
          <w:szCs w:val="20"/>
        </w:rPr>
      </w:pPr>
    </w:p>
    <w:p w14:paraId="03EB7909" w14:textId="77777777" w:rsidR="00C87779" w:rsidRDefault="00C87779">
      <w:pPr>
        <w:spacing w:after="0" w:line="240" w:lineRule="auto"/>
        <w:ind w:hanging="2"/>
        <w:jc w:val="both"/>
        <w:rPr>
          <w:rFonts w:ascii="Times New Roman" w:eastAsia="Times New Roman" w:hAnsi="Times New Roman" w:cs="Times New Roman"/>
          <w:color w:val="000000"/>
          <w:sz w:val="20"/>
          <w:szCs w:val="20"/>
        </w:rPr>
      </w:pPr>
    </w:p>
    <w:p w14:paraId="7B8F020B" w14:textId="77777777" w:rsidR="00C87779" w:rsidRDefault="00C87779">
      <w:pPr>
        <w:spacing w:after="0" w:line="240" w:lineRule="auto"/>
        <w:ind w:hanging="2"/>
        <w:jc w:val="both"/>
        <w:rPr>
          <w:rFonts w:ascii="Times New Roman" w:eastAsia="Times New Roman" w:hAnsi="Times New Roman" w:cs="Times New Roman"/>
          <w:color w:val="000000"/>
          <w:sz w:val="20"/>
          <w:szCs w:val="20"/>
        </w:rPr>
      </w:pPr>
    </w:p>
    <w:p w14:paraId="384E4D8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Jadual 1. </w:t>
      </w:r>
      <w:r>
        <w:rPr>
          <w:rFonts w:ascii="Times New Roman" w:eastAsia="Times New Roman" w:hAnsi="Times New Roman" w:cs="Times New Roman"/>
          <w:color w:val="000000"/>
          <w:sz w:val="24"/>
          <w:szCs w:val="24"/>
        </w:rPr>
        <w:t>10 pengarang teratas yang menyumbang di dalam kajian sains sosial untuk tahun kajian</w:t>
      </w:r>
    </w:p>
    <w:p w14:paraId="2F01968D"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tbl>
      <w:tblPr>
        <w:tblStyle w:val="a"/>
        <w:tblW w:w="7938" w:type="dxa"/>
        <w:jc w:val="center"/>
        <w:tblLayout w:type="fixed"/>
        <w:tblLook w:val="0400" w:firstRow="0" w:lastRow="0" w:firstColumn="0" w:lastColumn="0" w:noHBand="0" w:noVBand="1"/>
      </w:tblPr>
      <w:tblGrid>
        <w:gridCol w:w="5670"/>
        <w:gridCol w:w="2268"/>
      </w:tblGrid>
      <w:tr w:rsidR="00C87779" w14:paraId="1D0C82F0" w14:textId="77777777">
        <w:trPr>
          <w:trHeight w:val="221"/>
          <w:jc w:val="center"/>
        </w:trPr>
        <w:tc>
          <w:tcPr>
            <w:tcW w:w="5670" w:type="dxa"/>
            <w:tcBorders>
              <w:top w:val="single" w:sz="4" w:space="0" w:color="000000"/>
              <w:bottom w:val="single" w:sz="4" w:space="0" w:color="000000"/>
            </w:tcBorders>
            <w:shd w:val="clear" w:color="auto" w:fill="8DB3E2"/>
          </w:tcPr>
          <w:p w14:paraId="6AF97CE1"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Pengarang</w:t>
            </w:r>
          </w:p>
        </w:tc>
        <w:tc>
          <w:tcPr>
            <w:tcW w:w="2268" w:type="dxa"/>
            <w:tcBorders>
              <w:top w:val="single" w:sz="4" w:space="0" w:color="000000"/>
              <w:bottom w:val="single" w:sz="4" w:space="0" w:color="000000"/>
            </w:tcBorders>
            <w:shd w:val="clear" w:color="auto" w:fill="8DB3E2"/>
          </w:tcPr>
          <w:p w14:paraId="0038C5E5"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Jumlah terbitan</w:t>
            </w:r>
          </w:p>
        </w:tc>
      </w:tr>
      <w:tr w:rsidR="00C87779" w14:paraId="65EC546A" w14:textId="77777777">
        <w:trPr>
          <w:trHeight w:val="239"/>
          <w:jc w:val="center"/>
        </w:trPr>
        <w:tc>
          <w:tcPr>
            <w:tcW w:w="5670" w:type="dxa"/>
            <w:tcBorders>
              <w:top w:val="single" w:sz="4" w:space="0" w:color="000000"/>
            </w:tcBorders>
          </w:tcPr>
          <w:p w14:paraId="0407F32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Yunus, M.M.</w:t>
            </w:r>
          </w:p>
        </w:tc>
        <w:tc>
          <w:tcPr>
            <w:tcW w:w="2268" w:type="dxa"/>
            <w:tcBorders>
              <w:top w:val="single" w:sz="4" w:space="0" w:color="000000"/>
            </w:tcBorders>
          </w:tcPr>
          <w:p w14:paraId="4006F4D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w:t>
            </w:r>
          </w:p>
        </w:tc>
      </w:tr>
      <w:tr w:rsidR="00C87779" w14:paraId="07DD762E" w14:textId="77777777">
        <w:trPr>
          <w:trHeight w:val="221"/>
          <w:jc w:val="center"/>
        </w:trPr>
        <w:tc>
          <w:tcPr>
            <w:tcW w:w="5670" w:type="dxa"/>
          </w:tcPr>
          <w:p w14:paraId="366F6510"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Pradhan, B.</w:t>
            </w:r>
          </w:p>
        </w:tc>
        <w:tc>
          <w:tcPr>
            <w:tcW w:w="2268" w:type="dxa"/>
          </w:tcPr>
          <w:p w14:paraId="6A84E8A2"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r>
      <w:tr w:rsidR="00C87779" w14:paraId="5ED5F38E" w14:textId="77777777">
        <w:trPr>
          <w:trHeight w:val="221"/>
          <w:jc w:val="center"/>
        </w:trPr>
        <w:tc>
          <w:tcPr>
            <w:tcW w:w="5670" w:type="dxa"/>
          </w:tcPr>
          <w:p w14:paraId="560B88B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bookmarkStart w:id="2" w:name="_heading=h.n8cwt4nk9pp" w:colFirst="0" w:colLast="0"/>
            <w:bookmarkEnd w:id="2"/>
            <w:r>
              <w:rPr>
                <w:rFonts w:ascii="Times New Roman" w:eastAsia="Times New Roman" w:hAnsi="Times New Roman" w:cs="Times New Roman"/>
                <w:color w:val="000000"/>
                <w:sz w:val="24"/>
                <w:szCs w:val="24"/>
              </w:rPr>
              <w:t>Rasul, M.S.</w:t>
            </w:r>
          </w:p>
        </w:tc>
        <w:tc>
          <w:tcPr>
            <w:tcW w:w="2268" w:type="dxa"/>
          </w:tcPr>
          <w:p w14:paraId="1387E12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r>
      <w:tr w:rsidR="00C87779" w14:paraId="500E2D55" w14:textId="77777777">
        <w:trPr>
          <w:trHeight w:val="221"/>
          <w:jc w:val="center"/>
        </w:trPr>
        <w:tc>
          <w:tcPr>
            <w:tcW w:w="5670" w:type="dxa"/>
          </w:tcPr>
          <w:p w14:paraId="50ED6C9F"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Halim, L.</w:t>
            </w:r>
          </w:p>
        </w:tc>
        <w:tc>
          <w:tcPr>
            <w:tcW w:w="2268" w:type="dxa"/>
          </w:tcPr>
          <w:p w14:paraId="3F6CE80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r>
      <w:tr w:rsidR="00C87779" w14:paraId="1F4A50AE" w14:textId="77777777">
        <w:trPr>
          <w:trHeight w:val="221"/>
          <w:jc w:val="center"/>
        </w:trPr>
        <w:tc>
          <w:tcPr>
            <w:tcW w:w="5670" w:type="dxa"/>
          </w:tcPr>
          <w:p w14:paraId="4AEDF91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Maat, S.M.</w:t>
            </w:r>
          </w:p>
        </w:tc>
        <w:tc>
          <w:tcPr>
            <w:tcW w:w="2268" w:type="dxa"/>
          </w:tcPr>
          <w:p w14:paraId="2679875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r>
      <w:tr w:rsidR="00C87779" w14:paraId="78ACADA7" w14:textId="77777777">
        <w:trPr>
          <w:trHeight w:val="239"/>
          <w:jc w:val="center"/>
        </w:trPr>
        <w:tc>
          <w:tcPr>
            <w:tcW w:w="5670" w:type="dxa"/>
          </w:tcPr>
          <w:p w14:paraId="0105D38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Osman, K.</w:t>
            </w:r>
          </w:p>
        </w:tc>
        <w:tc>
          <w:tcPr>
            <w:tcW w:w="2268" w:type="dxa"/>
          </w:tcPr>
          <w:p w14:paraId="5791350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r>
      <w:tr w:rsidR="00C87779" w14:paraId="3C5E2504" w14:textId="77777777">
        <w:trPr>
          <w:trHeight w:val="239"/>
          <w:jc w:val="center"/>
        </w:trPr>
        <w:tc>
          <w:tcPr>
            <w:tcW w:w="5670" w:type="dxa"/>
          </w:tcPr>
          <w:p w14:paraId="138ECFFD"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Hashim, H., Rajamanickam, R.</w:t>
            </w:r>
          </w:p>
        </w:tc>
        <w:tc>
          <w:tcPr>
            <w:tcW w:w="2268" w:type="dxa"/>
          </w:tcPr>
          <w:p w14:paraId="68CDDB2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r>
      <w:tr w:rsidR="00C87779" w14:paraId="3F8C69A9" w14:textId="77777777">
        <w:trPr>
          <w:trHeight w:val="239"/>
          <w:jc w:val="center"/>
        </w:trPr>
        <w:tc>
          <w:tcPr>
            <w:tcW w:w="5670" w:type="dxa"/>
          </w:tcPr>
          <w:p w14:paraId="02BED1DD"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Bakar, A.Y.A., Hua, T.K., Md Yunus, M.</w:t>
            </w:r>
          </w:p>
        </w:tc>
        <w:tc>
          <w:tcPr>
            <w:tcW w:w="2268" w:type="dxa"/>
          </w:tcPr>
          <w:p w14:paraId="6D85C2B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r>
      <w:tr w:rsidR="00C87779" w14:paraId="79E313E2" w14:textId="77777777">
        <w:trPr>
          <w:trHeight w:val="239"/>
          <w:jc w:val="center"/>
        </w:trPr>
        <w:tc>
          <w:tcPr>
            <w:tcW w:w="5670" w:type="dxa"/>
          </w:tcPr>
          <w:p w14:paraId="08BE4E3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Ali, M.H., Hashim, R.S., Nasri, N.M.</w:t>
            </w:r>
          </w:p>
        </w:tc>
        <w:tc>
          <w:tcPr>
            <w:tcW w:w="2268" w:type="dxa"/>
          </w:tcPr>
          <w:p w14:paraId="07CA607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p>
        </w:tc>
      </w:tr>
      <w:tr w:rsidR="00C87779" w14:paraId="152DC959" w14:textId="77777777">
        <w:trPr>
          <w:trHeight w:val="239"/>
          <w:jc w:val="center"/>
        </w:trPr>
        <w:tc>
          <w:tcPr>
            <w:tcW w:w="5670" w:type="dxa"/>
            <w:tcBorders>
              <w:bottom w:val="single" w:sz="4" w:space="0" w:color="000000"/>
            </w:tcBorders>
          </w:tcPr>
          <w:p w14:paraId="177ECBD3"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Abas, A., Affandi, H.M., Alam, S.S., Raihanah, M.M.</w:t>
            </w:r>
          </w:p>
        </w:tc>
        <w:tc>
          <w:tcPr>
            <w:tcW w:w="2268" w:type="dxa"/>
            <w:tcBorders>
              <w:bottom w:val="single" w:sz="4" w:space="0" w:color="000000"/>
            </w:tcBorders>
          </w:tcPr>
          <w:p w14:paraId="765E27E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r>
    </w:tbl>
    <w:p w14:paraId="18921BB3" w14:textId="77777777" w:rsidR="00C87779" w:rsidRDefault="004A3C5B">
      <w:pPr>
        <w:spacing w:after="0" w:line="240" w:lineRule="auto"/>
        <w:ind w:hanging="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Source: Scopus database</w:t>
      </w:r>
    </w:p>
    <w:p w14:paraId="383D56A1" w14:textId="77777777" w:rsidR="00C87779" w:rsidRDefault="00C87779">
      <w:pPr>
        <w:spacing w:after="0" w:line="240" w:lineRule="auto"/>
        <w:ind w:firstLine="0"/>
        <w:jc w:val="both"/>
        <w:rPr>
          <w:rFonts w:ascii="Times New Roman" w:eastAsia="Times New Roman" w:hAnsi="Times New Roman" w:cs="Times New Roman"/>
          <w:color w:val="000000"/>
          <w:sz w:val="24"/>
          <w:szCs w:val="24"/>
        </w:rPr>
      </w:pPr>
    </w:p>
    <w:p w14:paraId="24312599" w14:textId="77777777" w:rsidR="00C87779" w:rsidRDefault="004A3C5B">
      <w:pPr>
        <w:spacing w:after="0" w:line="240" w:lineRule="auto"/>
        <w:ind w:firstLine="72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Dengan menggunakan bilangan minimum kejadian (</w:t>
      </w:r>
      <w:r>
        <w:rPr>
          <w:rFonts w:ascii="Times New Roman" w:eastAsia="Times New Roman" w:hAnsi="Times New Roman" w:cs="Times New Roman"/>
          <w:i/>
          <w:color w:val="000000"/>
          <w:sz w:val="24"/>
          <w:szCs w:val="24"/>
        </w:rPr>
        <w:t>minimum number of occurrences</w:t>
      </w:r>
      <w:r>
        <w:rPr>
          <w:rFonts w:ascii="Times New Roman" w:eastAsia="Times New Roman" w:hAnsi="Times New Roman" w:cs="Times New Roman"/>
          <w:color w:val="000000"/>
          <w:sz w:val="24"/>
          <w:szCs w:val="24"/>
        </w:rPr>
        <w:t xml:space="preserve">) sebanyak 10 tetapan kata kunci, lima kata kunci yang teratas ialah Malaysia (416 unit), </w:t>
      </w:r>
      <w:r>
        <w:rPr>
          <w:rFonts w:ascii="Times New Roman" w:eastAsia="Times New Roman" w:hAnsi="Times New Roman" w:cs="Times New Roman"/>
          <w:i/>
          <w:color w:val="000000"/>
          <w:sz w:val="24"/>
          <w:szCs w:val="24"/>
        </w:rPr>
        <w:t>sustainability</w:t>
      </w:r>
      <w:r>
        <w:rPr>
          <w:rFonts w:ascii="Times New Roman" w:eastAsia="Times New Roman" w:hAnsi="Times New Roman" w:cs="Times New Roman"/>
          <w:color w:val="000000"/>
          <w:sz w:val="24"/>
          <w:szCs w:val="24"/>
        </w:rPr>
        <w:t xml:space="preserve"> (137 unit), COVID-19 (115 unit), </w:t>
      </w:r>
      <w:r>
        <w:rPr>
          <w:rFonts w:ascii="Times New Roman" w:eastAsia="Times New Roman" w:hAnsi="Times New Roman" w:cs="Times New Roman"/>
          <w:i/>
          <w:color w:val="000000"/>
          <w:sz w:val="24"/>
          <w:szCs w:val="24"/>
        </w:rPr>
        <w:t>human</w:t>
      </w:r>
      <w:r>
        <w:rPr>
          <w:rFonts w:ascii="Times New Roman" w:eastAsia="Times New Roman" w:hAnsi="Times New Roman" w:cs="Times New Roman"/>
          <w:color w:val="000000"/>
          <w:sz w:val="24"/>
          <w:szCs w:val="24"/>
        </w:rPr>
        <w:t xml:space="preserve"> (100 unit) dan </w:t>
      </w:r>
      <w:r>
        <w:rPr>
          <w:rFonts w:ascii="Times New Roman" w:eastAsia="Times New Roman" w:hAnsi="Times New Roman" w:cs="Times New Roman"/>
          <w:i/>
          <w:color w:val="000000"/>
          <w:sz w:val="24"/>
          <w:szCs w:val="24"/>
        </w:rPr>
        <w:t>education</w:t>
      </w:r>
      <w:r>
        <w:rPr>
          <w:rFonts w:ascii="Times New Roman" w:eastAsia="Times New Roman" w:hAnsi="Times New Roman" w:cs="Times New Roman"/>
          <w:color w:val="000000"/>
          <w:sz w:val="24"/>
          <w:szCs w:val="24"/>
        </w:rPr>
        <w:t xml:space="preserve"> (86 unit). Rajah 3 menunjukkan visualisasi rangkaian (</w:t>
      </w:r>
      <w:r>
        <w:rPr>
          <w:rFonts w:ascii="Times New Roman" w:eastAsia="Times New Roman" w:hAnsi="Times New Roman" w:cs="Times New Roman"/>
          <w:i/>
          <w:color w:val="000000"/>
          <w:sz w:val="24"/>
          <w:szCs w:val="24"/>
        </w:rPr>
        <w:t>network visualization</w:t>
      </w:r>
      <w:r>
        <w:rPr>
          <w:rFonts w:ascii="Times New Roman" w:eastAsia="Times New Roman" w:hAnsi="Times New Roman" w:cs="Times New Roman"/>
          <w:color w:val="000000"/>
          <w:sz w:val="24"/>
          <w:szCs w:val="24"/>
        </w:rPr>
        <w:t>) VOSviewer. Kajian mendapati sebanyak 165 item kata kunci dan dikategorikan dalam tujuh kelompok kluster (Jadual 3). Visualisasi tindanan (</w:t>
      </w:r>
      <w:r>
        <w:rPr>
          <w:rFonts w:ascii="Times New Roman" w:eastAsia="Times New Roman" w:hAnsi="Times New Roman" w:cs="Times New Roman"/>
          <w:i/>
          <w:color w:val="000000"/>
          <w:sz w:val="24"/>
          <w:szCs w:val="24"/>
        </w:rPr>
        <w:t>overlay visualization</w:t>
      </w:r>
      <w:r>
        <w:rPr>
          <w:rFonts w:ascii="Times New Roman" w:eastAsia="Times New Roman" w:hAnsi="Times New Roman" w:cs="Times New Roman"/>
          <w:color w:val="000000"/>
          <w:sz w:val="24"/>
          <w:szCs w:val="24"/>
        </w:rPr>
        <w:t xml:space="preserve">) VOSviewer pula menunjukkan gambaran berkaitan perkembangan setiap fasa.  Kajian menunjukkan istilah kajian sains sosial UKM didapati terhad kepada tempoh masa dari Mei 2022 sehingga 2022. Warna kepekatan kuning adalah berkadar dengan fasa pembaharuan istilah tersebut. Istilah yang terbaru dikaji merangkumi </w:t>
      </w:r>
      <w:r>
        <w:rPr>
          <w:rFonts w:ascii="Times New Roman" w:eastAsia="Times New Roman" w:hAnsi="Times New Roman" w:cs="Times New Roman"/>
          <w:i/>
          <w:color w:val="000000"/>
          <w:sz w:val="24"/>
          <w:szCs w:val="24"/>
        </w:rPr>
        <w:t xml:space="preserve">spatiotemporal analysis, economic development, China, artificial neural network, energy efficiency, corporate social responsibility, wastewater treatment </w:t>
      </w:r>
      <w:r>
        <w:rPr>
          <w:rFonts w:ascii="Times New Roman" w:eastAsia="Times New Roman" w:hAnsi="Times New Roman" w:cs="Times New Roman"/>
          <w:color w:val="000000"/>
          <w:sz w:val="24"/>
          <w:szCs w:val="24"/>
        </w:rPr>
        <w:t>dan</w:t>
      </w:r>
      <w:r>
        <w:rPr>
          <w:rFonts w:ascii="Times New Roman" w:eastAsia="Times New Roman" w:hAnsi="Times New Roman" w:cs="Times New Roman"/>
          <w:i/>
          <w:color w:val="000000"/>
          <w:sz w:val="24"/>
          <w:szCs w:val="24"/>
        </w:rPr>
        <w:t xml:space="preserve"> public attitude</w:t>
      </w:r>
      <w:r>
        <w:rPr>
          <w:rFonts w:ascii="Times New Roman" w:eastAsia="Times New Roman" w:hAnsi="Times New Roman" w:cs="Times New Roman"/>
          <w:color w:val="000000"/>
          <w:sz w:val="24"/>
          <w:szCs w:val="24"/>
        </w:rPr>
        <w:t xml:space="preserve">. </w:t>
      </w:r>
    </w:p>
    <w:p w14:paraId="0C7C2086" w14:textId="77777777" w:rsidR="00C87779" w:rsidRDefault="00C87779">
      <w:pPr>
        <w:spacing w:after="0" w:line="240" w:lineRule="auto"/>
        <w:ind w:firstLine="0"/>
        <w:jc w:val="both"/>
        <w:rPr>
          <w:rFonts w:ascii="Times New Roman" w:eastAsia="Times New Roman" w:hAnsi="Times New Roman" w:cs="Times New Roman"/>
          <w:color w:val="000000"/>
          <w:sz w:val="24"/>
          <w:szCs w:val="24"/>
        </w:rPr>
      </w:pPr>
    </w:p>
    <w:p w14:paraId="10F8622A" w14:textId="77777777" w:rsidR="00C87779" w:rsidRDefault="004A3C5B">
      <w:pPr>
        <w:spacing w:after="0" w:line="240" w:lineRule="auto"/>
        <w:ind w:firstLine="0"/>
        <w:jc w:val="center"/>
        <w:rPr>
          <w:rFonts w:ascii="Times New Roman" w:eastAsia="Times New Roman" w:hAnsi="Times New Roman" w:cs="Times New Roman"/>
          <w:color w:val="000000"/>
          <w:sz w:val="32"/>
          <w:szCs w:val="32"/>
        </w:rPr>
      </w:pPr>
      <w:r>
        <w:rPr>
          <w:noProof/>
          <w:sz w:val="28"/>
          <w:szCs w:val="28"/>
          <w:lang w:val="en-MY"/>
        </w:rPr>
        <w:drawing>
          <wp:inline distT="0" distB="0" distL="0" distR="0" wp14:anchorId="69DDC08D" wp14:editId="7B30DCC7">
            <wp:extent cx="3856413" cy="2735951"/>
            <wp:effectExtent l="0" t="0" r="0" b="0"/>
            <wp:docPr id="10534993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19886" t="11876" r="20174" b="12480"/>
                    <a:stretch>
                      <a:fillRect/>
                    </a:stretch>
                  </pic:blipFill>
                  <pic:spPr>
                    <a:xfrm>
                      <a:off x="0" y="0"/>
                      <a:ext cx="3856413" cy="2735951"/>
                    </a:xfrm>
                    <a:prstGeom prst="rect">
                      <a:avLst/>
                    </a:prstGeom>
                    <a:ln/>
                  </pic:spPr>
                </pic:pic>
              </a:graphicData>
            </a:graphic>
          </wp:inline>
        </w:drawing>
      </w:r>
    </w:p>
    <w:p w14:paraId="23DAA28D"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VosViewer</w:t>
      </w:r>
    </w:p>
    <w:p w14:paraId="159AC508" w14:textId="77777777" w:rsidR="00C87779" w:rsidRDefault="00C87779">
      <w:pPr>
        <w:spacing w:after="0" w:line="240" w:lineRule="auto"/>
        <w:ind w:hanging="2"/>
        <w:jc w:val="center"/>
        <w:rPr>
          <w:rFonts w:ascii="Times New Roman" w:eastAsia="Times New Roman" w:hAnsi="Times New Roman" w:cs="Times New Roman"/>
          <w:b/>
          <w:sz w:val="24"/>
          <w:szCs w:val="24"/>
        </w:rPr>
      </w:pPr>
    </w:p>
    <w:p w14:paraId="6D857428" w14:textId="77777777" w:rsidR="00C87779" w:rsidRDefault="004A3C5B">
      <w:pPr>
        <w:spacing w:after="0" w:line="240" w:lineRule="auto"/>
        <w:ind w:hanging="2"/>
        <w:jc w:val="center"/>
        <w:rPr>
          <w:rFonts w:ascii="Times New Roman" w:eastAsia="Times New Roman" w:hAnsi="Times New Roman" w:cs="Times New Roman"/>
          <w:color w:val="000000"/>
          <w:sz w:val="32"/>
          <w:szCs w:val="32"/>
        </w:rPr>
      </w:pPr>
      <w:r>
        <w:rPr>
          <w:rFonts w:ascii="Times New Roman" w:eastAsia="Times New Roman" w:hAnsi="Times New Roman" w:cs="Times New Roman"/>
          <w:b/>
          <w:sz w:val="24"/>
          <w:szCs w:val="24"/>
        </w:rPr>
        <w:t xml:space="preserve">Rajah 3. </w:t>
      </w:r>
      <w:r>
        <w:rPr>
          <w:rFonts w:ascii="Times New Roman" w:eastAsia="Times New Roman" w:hAnsi="Times New Roman" w:cs="Times New Roman"/>
          <w:sz w:val="24"/>
          <w:szCs w:val="24"/>
        </w:rPr>
        <w:t>Visualisasi rangkaian bagi kajian sains sosial UKM</w:t>
      </w:r>
    </w:p>
    <w:p w14:paraId="33C621D6"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 xml:space="preserve">Jadual 2. </w:t>
      </w:r>
      <w:r>
        <w:rPr>
          <w:rFonts w:ascii="Times New Roman" w:eastAsia="Times New Roman" w:hAnsi="Times New Roman" w:cs="Times New Roman"/>
          <w:color w:val="000000"/>
          <w:sz w:val="24"/>
          <w:szCs w:val="24"/>
        </w:rPr>
        <w:t>Kluster kajian sains sosial UKM (167 item)</w:t>
      </w:r>
    </w:p>
    <w:p w14:paraId="530CD998"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tbl>
      <w:tblPr>
        <w:tblStyle w:val="a0"/>
        <w:tblW w:w="9720" w:type="dxa"/>
        <w:jc w:val="center"/>
        <w:tblLayout w:type="fixed"/>
        <w:tblLook w:val="0400" w:firstRow="0" w:lastRow="0" w:firstColumn="0" w:lastColumn="0" w:noHBand="0" w:noVBand="1"/>
      </w:tblPr>
      <w:tblGrid>
        <w:gridCol w:w="993"/>
        <w:gridCol w:w="1707"/>
        <w:gridCol w:w="1080"/>
        <w:gridCol w:w="1260"/>
        <w:gridCol w:w="1080"/>
        <w:gridCol w:w="1980"/>
        <w:gridCol w:w="1620"/>
      </w:tblGrid>
      <w:tr w:rsidR="00C87779" w14:paraId="290E95E0" w14:textId="77777777">
        <w:trPr>
          <w:trHeight w:val="232"/>
          <w:jc w:val="center"/>
        </w:trPr>
        <w:tc>
          <w:tcPr>
            <w:tcW w:w="993" w:type="dxa"/>
            <w:tcBorders>
              <w:top w:val="single" w:sz="4" w:space="0" w:color="000000"/>
              <w:bottom w:val="single" w:sz="4" w:space="0" w:color="000000"/>
            </w:tcBorders>
            <w:shd w:val="clear" w:color="auto" w:fill="8DB3E2"/>
          </w:tcPr>
          <w:p w14:paraId="2F0487AB"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Kluster</w:t>
            </w:r>
          </w:p>
        </w:tc>
        <w:tc>
          <w:tcPr>
            <w:tcW w:w="1707" w:type="dxa"/>
            <w:tcBorders>
              <w:top w:val="single" w:sz="4" w:space="0" w:color="000000"/>
              <w:bottom w:val="single" w:sz="4" w:space="0" w:color="000000"/>
            </w:tcBorders>
            <w:shd w:val="clear" w:color="auto" w:fill="8DB3E2"/>
          </w:tcPr>
          <w:p w14:paraId="5BD570BA" w14:textId="77777777" w:rsidR="00C87779" w:rsidRDefault="004A3C5B">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Istilah kekunci</w:t>
            </w:r>
          </w:p>
        </w:tc>
        <w:tc>
          <w:tcPr>
            <w:tcW w:w="1080" w:type="dxa"/>
            <w:tcBorders>
              <w:top w:val="single" w:sz="4" w:space="0" w:color="000000"/>
              <w:bottom w:val="single" w:sz="4" w:space="0" w:color="000000"/>
            </w:tcBorders>
            <w:shd w:val="clear" w:color="auto" w:fill="8DB3E2"/>
          </w:tcPr>
          <w:p w14:paraId="265285F5"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Jumlah item</w:t>
            </w:r>
          </w:p>
        </w:tc>
        <w:tc>
          <w:tcPr>
            <w:tcW w:w="1260" w:type="dxa"/>
            <w:tcBorders>
              <w:top w:val="single" w:sz="4" w:space="0" w:color="000000"/>
              <w:bottom w:val="single" w:sz="4" w:space="0" w:color="000000"/>
            </w:tcBorders>
            <w:shd w:val="clear" w:color="auto" w:fill="8DB3E2"/>
          </w:tcPr>
          <w:p w14:paraId="46E9E18B"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Warna</w:t>
            </w:r>
          </w:p>
        </w:tc>
        <w:tc>
          <w:tcPr>
            <w:tcW w:w="1080" w:type="dxa"/>
            <w:tcBorders>
              <w:top w:val="single" w:sz="4" w:space="0" w:color="000000"/>
              <w:bottom w:val="single" w:sz="4" w:space="0" w:color="000000"/>
            </w:tcBorders>
            <w:shd w:val="clear" w:color="auto" w:fill="8DB3E2"/>
          </w:tcPr>
          <w:p w14:paraId="157E6DA9" w14:textId="77777777" w:rsidR="00C87779" w:rsidRDefault="004A3C5B">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Pautan</w:t>
            </w:r>
          </w:p>
          <w:p w14:paraId="2E41AFE8"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w:t>
            </w:r>
            <w:r>
              <w:rPr>
                <w:rFonts w:ascii="Times New Roman" w:eastAsia="Times New Roman" w:hAnsi="Times New Roman" w:cs="Times New Roman"/>
                <w:b/>
                <w:i/>
                <w:color w:val="000000"/>
                <w:sz w:val="24"/>
                <w:szCs w:val="24"/>
              </w:rPr>
              <w:t>link</w:t>
            </w:r>
            <w:r>
              <w:rPr>
                <w:rFonts w:ascii="Times New Roman" w:eastAsia="Times New Roman" w:hAnsi="Times New Roman" w:cs="Times New Roman"/>
                <w:b/>
                <w:color w:val="000000"/>
                <w:sz w:val="24"/>
                <w:szCs w:val="24"/>
              </w:rPr>
              <w:t>)</w:t>
            </w:r>
          </w:p>
        </w:tc>
        <w:tc>
          <w:tcPr>
            <w:tcW w:w="1980" w:type="dxa"/>
            <w:tcBorders>
              <w:top w:val="single" w:sz="4" w:space="0" w:color="000000"/>
              <w:bottom w:val="single" w:sz="4" w:space="0" w:color="000000"/>
            </w:tcBorders>
            <w:shd w:val="clear" w:color="auto" w:fill="8DB3E2"/>
          </w:tcPr>
          <w:p w14:paraId="29062402" w14:textId="77777777" w:rsidR="00C87779" w:rsidRDefault="004A3C5B">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Jumlah kekuatan pautan</w:t>
            </w:r>
          </w:p>
          <w:p w14:paraId="6BA03A90"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w:t>
            </w:r>
            <w:r>
              <w:rPr>
                <w:rFonts w:ascii="Times New Roman" w:eastAsia="Times New Roman" w:hAnsi="Times New Roman" w:cs="Times New Roman"/>
                <w:b/>
                <w:i/>
                <w:sz w:val="24"/>
                <w:szCs w:val="24"/>
              </w:rPr>
              <w:t>total links strength</w:t>
            </w:r>
            <w:r>
              <w:rPr>
                <w:rFonts w:ascii="Times New Roman" w:eastAsia="Times New Roman" w:hAnsi="Times New Roman" w:cs="Times New Roman"/>
                <w:b/>
                <w:sz w:val="24"/>
                <w:szCs w:val="24"/>
              </w:rPr>
              <w:t>)</w:t>
            </w:r>
          </w:p>
        </w:tc>
        <w:tc>
          <w:tcPr>
            <w:tcW w:w="1620" w:type="dxa"/>
            <w:tcBorders>
              <w:top w:val="single" w:sz="4" w:space="0" w:color="000000"/>
              <w:bottom w:val="single" w:sz="4" w:space="0" w:color="000000"/>
            </w:tcBorders>
            <w:shd w:val="clear" w:color="auto" w:fill="8DB3E2"/>
          </w:tcPr>
          <w:p w14:paraId="7CF39E58"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Kejadian (</w:t>
            </w:r>
            <w:r>
              <w:rPr>
                <w:rFonts w:ascii="Times New Roman" w:eastAsia="Times New Roman" w:hAnsi="Times New Roman" w:cs="Times New Roman"/>
                <w:b/>
                <w:i/>
                <w:sz w:val="24"/>
                <w:szCs w:val="24"/>
              </w:rPr>
              <w:t>occurrences)</w:t>
            </w:r>
          </w:p>
        </w:tc>
      </w:tr>
      <w:tr w:rsidR="00C87779" w14:paraId="01D46BE8" w14:textId="77777777">
        <w:trPr>
          <w:trHeight w:val="251"/>
          <w:jc w:val="center"/>
        </w:trPr>
        <w:tc>
          <w:tcPr>
            <w:tcW w:w="993" w:type="dxa"/>
            <w:tcBorders>
              <w:top w:val="single" w:sz="4" w:space="0" w:color="000000"/>
            </w:tcBorders>
          </w:tcPr>
          <w:p w14:paraId="2F986840"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707" w:type="dxa"/>
            <w:tcBorders>
              <w:top w:val="single" w:sz="4" w:space="0" w:color="000000"/>
            </w:tcBorders>
          </w:tcPr>
          <w:p w14:paraId="04E429BC"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Sustainability</w:t>
            </w:r>
          </w:p>
        </w:tc>
        <w:tc>
          <w:tcPr>
            <w:tcW w:w="1080" w:type="dxa"/>
            <w:tcBorders>
              <w:top w:val="single" w:sz="4" w:space="0" w:color="000000"/>
            </w:tcBorders>
          </w:tcPr>
          <w:p w14:paraId="4021B38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w:t>
            </w:r>
          </w:p>
        </w:tc>
        <w:tc>
          <w:tcPr>
            <w:tcW w:w="1260" w:type="dxa"/>
            <w:tcBorders>
              <w:top w:val="single" w:sz="4" w:space="0" w:color="000000"/>
            </w:tcBorders>
          </w:tcPr>
          <w:p w14:paraId="67F18F58"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Merah</w:t>
            </w:r>
          </w:p>
        </w:tc>
        <w:tc>
          <w:tcPr>
            <w:tcW w:w="1080" w:type="dxa"/>
            <w:tcBorders>
              <w:top w:val="single" w:sz="4" w:space="0" w:color="000000"/>
            </w:tcBorders>
          </w:tcPr>
          <w:p w14:paraId="3915177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w:t>
            </w:r>
          </w:p>
        </w:tc>
        <w:tc>
          <w:tcPr>
            <w:tcW w:w="1980" w:type="dxa"/>
            <w:tcBorders>
              <w:top w:val="single" w:sz="4" w:space="0" w:color="000000"/>
            </w:tcBorders>
          </w:tcPr>
          <w:p w14:paraId="7932B4D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432</w:t>
            </w:r>
          </w:p>
        </w:tc>
        <w:tc>
          <w:tcPr>
            <w:tcW w:w="1620" w:type="dxa"/>
            <w:tcBorders>
              <w:top w:val="single" w:sz="4" w:space="0" w:color="000000"/>
            </w:tcBorders>
          </w:tcPr>
          <w:p w14:paraId="29501F7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w:t>
            </w:r>
          </w:p>
        </w:tc>
      </w:tr>
      <w:tr w:rsidR="00C87779" w14:paraId="3DCB6B2F" w14:textId="77777777">
        <w:trPr>
          <w:trHeight w:val="232"/>
          <w:jc w:val="center"/>
        </w:trPr>
        <w:tc>
          <w:tcPr>
            <w:tcW w:w="993" w:type="dxa"/>
          </w:tcPr>
          <w:p w14:paraId="4D3C5BED"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707" w:type="dxa"/>
          </w:tcPr>
          <w:p w14:paraId="1F9F793B"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Education</w:t>
            </w:r>
          </w:p>
        </w:tc>
        <w:tc>
          <w:tcPr>
            <w:tcW w:w="1080" w:type="dxa"/>
          </w:tcPr>
          <w:p w14:paraId="43FA86A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260" w:type="dxa"/>
          </w:tcPr>
          <w:p w14:paraId="7D0C93A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Hijau</w:t>
            </w:r>
          </w:p>
        </w:tc>
        <w:tc>
          <w:tcPr>
            <w:tcW w:w="1080" w:type="dxa"/>
          </w:tcPr>
          <w:p w14:paraId="668A39F9"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c>
          <w:tcPr>
            <w:tcW w:w="1980" w:type="dxa"/>
          </w:tcPr>
          <w:p w14:paraId="5FDEF579"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311</w:t>
            </w:r>
          </w:p>
        </w:tc>
        <w:tc>
          <w:tcPr>
            <w:tcW w:w="1620" w:type="dxa"/>
          </w:tcPr>
          <w:p w14:paraId="077C120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w:t>
            </w:r>
          </w:p>
        </w:tc>
      </w:tr>
      <w:tr w:rsidR="00C87779" w14:paraId="7B3A2AEF" w14:textId="77777777">
        <w:trPr>
          <w:trHeight w:val="232"/>
          <w:jc w:val="center"/>
        </w:trPr>
        <w:tc>
          <w:tcPr>
            <w:tcW w:w="993" w:type="dxa"/>
          </w:tcPr>
          <w:p w14:paraId="3FDBB41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1707" w:type="dxa"/>
          </w:tcPr>
          <w:p w14:paraId="6A9934F7"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West Malaysia</w:t>
            </w:r>
          </w:p>
        </w:tc>
        <w:tc>
          <w:tcPr>
            <w:tcW w:w="1080" w:type="dxa"/>
          </w:tcPr>
          <w:p w14:paraId="1291DAA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1260" w:type="dxa"/>
          </w:tcPr>
          <w:p w14:paraId="007EC46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Biru tua</w:t>
            </w:r>
          </w:p>
        </w:tc>
        <w:tc>
          <w:tcPr>
            <w:tcW w:w="1080" w:type="dxa"/>
          </w:tcPr>
          <w:p w14:paraId="1A40E3E2"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1980" w:type="dxa"/>
          </w:tcPr>
          <w:p w14:paraId="4673076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289</w:t>
            </w:r>
          </w:p>
        </w:tc>
        <w:tc>
          <w:tcPr>
            <w:tcW w:w="1620" w:type="dxa"/>
          </w:tcPr>
          <w:p w14:paraId="45EEF502"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w:t>
            </w:r>
          </w:p>
        </w:tc>
      </w:tr>
      <w:tr w:rsidR="00C87779" w14:paraId="08F2DB22" w14:textId="77777777">
        <w:trPr>
          <w:trHeight w:val="232"/>
          <w:jc w:val="center"/>
        </w:trPr>
        <w:tc>
          <w:tcPr>
            <w:tcW w:w="993" w:type="dxa"/>
          </w:tcPr>
          <w:p w14:paraId="018E1188"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707" w:type="dxa"/>
          </w:tcPr>
          <w:p w14:paraId="424347E0"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w:t>
            </w:r>
          </w:p>
        </w:tc>
        <w:tc>
          <w:tcPr>
            <w:tcW w:w="1080" w:type="dxa"/>
          </w:tcPr>
          <w:p w14:paraId="2A29426E"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1260" w:type="dxa"/>
          </w:tcPr>
          <w:p w14:paraId="0BE6440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Kuning</w:t>
            </w:r>
          </w:p>
        </w:tc>
        <w:tc>
          <w:tcPr>
            <w:tcW w:w="1080" w:type="dxa"/>
          </w:tcPr>
          <w:p w14:paraId="1BCCF17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w:t>
            </w:r>
          </w:p>
        </w:tc>
        <w:tc>
          <w:tcPr>
            <w:tcW w:w="1980" w:type="dxa"/>
          </w:tcPr>
          <w:p w14:paraId="20579D00"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648</w:t>
            </w:r>
          </w:p>
        </w:tc>
        <w:tc>
          <w:tcPr>
            <w:tcW w:w="1620" w:type="dxa"/>
          </w:tcPr>
          <w:p w14:paraId="5C2EC2C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w:t>
            </w:r>
          </w:p>
        </w:tc>
      </w:tr>
      <w:tr w:rsidR="00C87779" w14:paraId="53B5E42E" w14:textId="77777777">
        <w:trPr>
          <w:trHeight w:val="251"/>
          <w:jc w:val="center"/>
        </w:trPr>
        <w:tc>
          <w:tcPr>
            <w:tcW w:w="993" w:type="dxa"/>
          </w:tcPr>
          <w:p w14:paraId="67CD597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c>
          <w:tcPr>
            <w:tcW w:w="1707" w:type="dxa"/>
          </w:tcPr>
          <w:p w14:paraId="4BEE8B04"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Malaysia</w:t>
            </w:r>
          </w:p>
        </w:tc>
        <w:tc>
          <w:tcPr>
            <w:tcW w:w="1080" w:type="dxa"/>
          </w:tcPr>
          <w:p w14:paraId="1957EF4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1260" w:type="dxa"/>
          </w:tcPr>
          <w:p w14:paraId="5D83FE1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Jingga</w:t>
            </w:r>
          </w:p>
        </w:tc>
        <w:tc>
          <w:tcPr>
            <w:tcW w:w="1080" w:type="dxa"/>
          </w:tcPr>
          <w:p w14:paraId="2BB79D23"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w:t>
            </w:r>
          </w:p>
        </w:tc>
        <w:tc>
          <w:tcPr>
            <w:tcW w:w="1980" w:type="dxa"/>
          </w:tcPr>
          <w:p w14:paraId="3E1406F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1238</w:t>
            </w:r>
          </w:p>
        </w:tc>
        <w:tc>
          <w:tcPr>
            <w:tcW w:w="1620" w:type="dxa"/>
          </w:tcPr>
          <w:p w14:paraId="215BA42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416</w:t>
            </w:r>
          </w:p>
        </w:tc>
      </w:tr>
      <w:tr w:rsidR="00C87779" w14:paraId="098722C2" w14:textId="77777777">
        <w:trPr>
          <w:trHeight w:val="251"/>
          <w:jc w:val="center"/>
        </w:trPr>
        <w:tc>
          <w:tcPr>
            <w:tcW w:w="993" w:type="dxa"/>
          </w:tcPr>
          <w:p w14:paraId="03FF9B6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c>
          <w:tcPr>
            <w:tcW w:w="1707" w:type="dxa"/>
          </w:tcPr>
          <w:p w14:paraId="7FF92DA1"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Selangor</w:t>
            </w:r>
          </w:p>
        </w:tc>
        <w:tc>
          <w:tcPr>
            <w:tcW w:w="1080" w:type="dxa"/>
          </w:tcPr>
          <w:p w14:paraId="155885AF"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1260" w:type="dxa"/>
          </w:tcPr>
          <w:p w14:paraId="000D385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Biru muda</w:t>
            </w:r>
          </w:p>
        </w:tc>
        <w:tc>
          <w:tcPr>
            <w:tcW w:w="1080" w:type="dxa"/>
          </w:tcPr>
          <w:p w14:paraId="1637D43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w:t>
            </w:r>
          </w:p>
        </w:tc>
        <w:tc>
          <w:tcPr>
            <w:tcW w:w="1980" w:type="dxa"/>
          </w:tcPr>
          <w:p w14:paraId="76D56E6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w:t>
            </w:r>
          </w:p>
        </w:tc>
        <w:tc>
          <w:tcPr>
            <w:tcW w:w="1620" w:type="dxa"/>
          </w:tcPr>
          <w:p w14:paraId="74F8D819"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r>
      <w:tr w:rsidR="00C87779" w14:paraId="49BCD9A7" w14:textId="77777777">
        <w:trPr>
          <w:trHeight w:val="251"/>
          <w:jc w:val="center"/>
        </w:trPr>
        <w:tc>
          <w:tcPr>
            <w:tcW w:w="993" w:type="dxa"/>
            <w:tcBorders>
              <w:bottom w:val="single" w:sz="4" w:space="0" w:color="000000"/>
            </w:tcBorders>
          </w:tcPr>
          <w:p w14:paraId="204D20B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c>
          <w:tcPr>
            <w:tcW w:w="1707" w:type="dxa"/>
            <w:tcBorders>
              <w:bottom w:val="single" w:sz="4" w:space="0" w:color="000000"/>
            </w:tcBorders>
          </w:tcPr>
          <w:p w14:paraId="49EC6405"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Human rights</w:t>
            </w:r>
          </w:p>
        </w:tc>
        <w:tc>
          <w:tcPr>
            <w:tcW w:w="1080" w:type="dxa"/>
            <w:tcBorders>
              <w:bottom w:val="single" w:sz="4" w:space="0" w:color="000000"/>
            </w:tcBorders>
          </w:tcPr>
          <w:p w14:paraId="0CC5EA5D"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260" w:type="dxa"/>
            <w:tcBorders>
              <w:bottom w:val="single" w:sz="4" w:space="0" w:color="000000"/>
            </w:tcBorders>
          </w:tcPr>
          <w:p w14:paraId="1FBC9D6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Oren</w:t>
            </w:r>
          </w:p>
        </w:tc>
        <w:tc>
          <w:tcPr>
            <w:tcW w:w="1080" w:type="dxa"/>
            <w:tcBorders>
              <w:bottom w:val="single" w:sz="4" w:space="0" w:color="000000"/>
            </w:tcBorders>
          </w:tcPr>
          <w:p w14:paraId="21EEFA98"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1980" w:type="dxa"/>
            <w:tcBorders>
              <w:bottom w:val="single" w:sz="4" w:space="0" w:color="000000"/>
            </w:tcBorders>
          </w:tcPr>
          <w:p w14:paraId="681056F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1620" w:type="dxa"/>
            <w:tcBorders>
              <w:bottom w:val="single" w:sz="4" w:space="0" w:color="000000"/>
            </w:tcBorders>
          </w:tcPr>
          <w:p w14:paraId="55E4E89E"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r>
    </w:tbl>
    <w:p w14:paraId="6CF6B6DA"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Sumber: VosViewer</w:t>
      </w:r>
    </w:p>
    <w:p w14:paraId="4FD1CB92"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3E7B7BF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Jadual 3. </w:t>
      </w:r>
      <w:r>
        <w:rPr>
          <w:rFonts w:ascii="Times New Roman" w:eastAsia="Times New Roman" w:hAnsi="Times New Roman" w:cs="Times New Roman"/>
          <w:color w:val="000000"/>
          <w:sz w:val="24"/>
          <w:szCs w:val="24"/>
        </w:rPr>
        <w:t>Istilah intra- dan inter-kluster yang berkaitan</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dengan istilah kekunci</w:t>
      </w:r>
    </w:p>
    <w:p w14:paraId="224FFACB"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tbl>
      <w:tblPr>
        <w:tblStyle w:val="a1"/>
        <w:tblW w:w="9715" w:type="dxa"/>
        <w:jc w:val="center"/>
        <w:tblLayout w:type="fixed"/>
        <w:tblLook w:val="0400" w:firstRow="0" w:lastRow="0" w:firstColumn="0" w:lastColumn="0" w:noHBand="0" w:noVBand="1"/>
      </w:tblPr>
      <w:tblGrid>
        <w:gridCol w:w="1075"/>
        <w:gridCol w:w="1620"/>
        <w:gridCol w:w="3420"/>
        <w:gridCol w:w="3600"/>
      </w:tblGrid>
      <w:tr w:rsidR="00C87779" w14:paraId="2D12C38B" w14:textId="77777777">
        <w:trPr>
          <w:trHeight w:val="256"/>
          <w:jc w:val="center"/>
        </w:trPr>
        <w:tc>
          <w:tcPr>
            <w:tcW w:w="1075" w:type="dxa"/>
            <w:tcBorders>
              <w:top w:val="single" w:sz="4" w:space="0" w:color="000000"/>
              <w:bottom w:val="single" w:sz="4" w:space="0" w:color="000000"/>
            </w:tcBorders>
            <w:shd w:val="clear" w:color="auto" w:fill="8DB3E2"/>
          </w:tcPr>
          <w:p w14:paraId="7154F078"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Kluster</w:t>
            </w:r>
          </w:p>
        </w:tc>
        <w:tc>
          <w:tcPr>
            <w:tcW w:w="1620" w:type="dxa"/>
            <w:tcBorders>
              <w:top w:val="single" w:sz="4" w:space="0" w:color="000000"/>
              <w:bottom w:val="single" w:sz="4" w:space="0" w:color="000000"/>
            </w:tcBorders>
            <w:shd w:val="clear" w:color="auto" w:fill="8DB3E2"/>
          </w:tcPr>
          <w:p w14:paraId="629A2AAC"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Istilah kekunci</w:t>
            </w:r>
          </w:p>
        </w:tc>
        <w:tc>
          <w:tcPr>
            <w:tcW w:w="3420" w:type="dxa"/>
            <w:tcBorders>
              <w:top w:val="single" w:sz="4" w:space="0" w:color="000000"/>
              <w:bottom w:val="single" w:sz="4" w:space="0" w:color="000000"/>
            </w:tcBorders>
            <w:shd w:val="clear" w:color="auto" w:fill="8DB3E2"/>
          </w:tcPr>
          <w:p w14:paraId="4F63E4B8"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Istilah intra-kluster</w:t>
            </w:r>
          </w:p>
        </w:tc>
        <w:tc>
          <w:tcPr>
            <w:tcW w:w="3600" w:type="dxa"/>
            <w:tcBorders>
              <w:top w:val="single" w:sz="4" w:space="0" w:color="000000"/>
              <w:bottom w:val="single" w:sz="4" w:space="0" w:color="000000"/>
            </w:tcBorders>
            <w:shd w:val="clear" w:color="auto" w:fill="8DB3E2"/>
          </w:tcPr>
          <w:p w14:paraId="464A57B0" w14:textId="77777777" w:rsidR="00C87779" w:rsidRDefault="004A3C5B">
            <w:pPr>
              <w:spacing w:after="0" w:line="240" w:lineRule="auto"/>
              <w:ind w:hanging="2"/>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sz w:val="24"/>
                <w:szCs w:val="24"/>
              </w:rPr>
              <w:t>Istilah inter-kluster</w:t>
            </w:r>
          </w:p>
        </w:tc>
      </w:tr>
      <w:tr w:rsidR="00C87779" w14:paraId="066EF8C2" w14:textId="77777777">
        <w:trPr>
          <w:trHeight w:val="275"/>
          <w:jc w:val="center"/>
        </w:trPr>
        <w:tc>
          <w:tcPr>
            <w:tcW w:w="1075" w:type="dxa"/>
            <w:tcBorders>
              <w:top w:val="single" w:sz="4" w:space="0" w:color="000000"/>
            </w:tcBorders>
          </w:tcPr>
          <w:p w14:paraId="43E485B6"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w:t>
            </w:r>
          </w:p>
        </w:tc>
        <w:tc>
          <w:tcPr>
            <w:tcW w:w="1620" w:type="dxa"/>
            <w:tcBorders>
              <w:top w:val="single" w:sz="4" w:space="0" w:color="000000"/>
            </w:tcBorders>
          </w:tcPr>
          <w:p w14:paraId="30EA654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Sustainability</w:t>
            </w:r>
          </w:p>
        </w:tc>
        <w:tc>
          <w:tcPr>
            <w:tcW w:w="3420" w:type="dxa"/>
            <w:tcBorders>
              <w:top w:val="single" w:sz="4" w:space="0" w:color="000000"/>
            </w:tcBorders>
          </w:tcPr>
          <w:p w14:paraId="2B3BCCDA"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Sustainable development, decision making, renewable energy, technology adoption, supply chain management, policy making, etc</w:t>
            </w:r>
          </w:p>
        </w:tc>
        <w:tc>
          <w:tcPr>
            <w:tcW w:w="3600" w:type="dxa"/>
            <w:tcBorders>
              <w:top w:val="single" w:sz="4" w:space="0" w:color="000000"/>
            </w:tcBorders>
          </w:tcPr>
          <w:p w14:paraId="302E974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West Malaysia, performance assessment, machine learning, public attitude, higher education, Sabah, etc</w:t>
            </w:r>
          </w:p>
        </w:tc>
      </w:tr>
      <w:tr w:rsidR="00C87779" w14:paraId="185B7E0C" w14:textId="77777777">
        <w:trPr>
          <w:trHeight w:val="256"/>
          <w:jc w:val="center"/>
        </w:trPr>
        <w:tc>
          <w:tcPr>
            <w:tcW w:w="1075" w:type="dxa"/>
          </w:tcPr>
          <w:p w14:paraId="6A49DC2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p>
        </w:tc>
        <w:tc>
          <w:tcPr>
            <w:tcW w:w="1620" w:type="dxa"/>
          </w:tcPr>
          <w:p w14:paraId="2E8FAE6B"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Education</w:t>
            </w:r>
          </w:p>
        </w:tc>
        <w:tc>
          <w:tcPr>
            <w:tcW w:w="3420" w:type="dxa"/>
          </w:tcPr>
          <w:p w14:paraId="59230813"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Learning, language, social media, motivation, student, online learning, etc</w:t>
            </w:r>
          </w:p>
        </w:tc>
        <w:tc>
          <w:tcPr>
            <w:tcW w:w="3600" w:type="dxa"/>
          </w:tcPr>
          <w:p w14:paraId="2FF9AC80"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Religion, communication, psychology, sustainable development goal, internet, quality of life, etc</w:t>
            </w:r>
          </w:p>
        </w:tc>
      </w:tr>
      <w:tr w:rsidR="00C87779" w14:paraId="67D96968" w14:textId="77777777">
        <w:trPr>
          <w:trHeight w:val="256"/>
          <w:jc w:val="center"/>
        </w:trPr>
        <w:tc>
          <w:tcPr>
            <w:tcW w:w="1075" w:type="dxa"/>
          </w:tcPr>
          <w:p w14:paraId="08FF5A2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w:t>
            </w:r>
          </w:p>
        </w:tc>
        <w:tc>
          <w:tcPr>
            <w:tcW w:w="1620" w:type="dxa"/>
          </w:tcPr>
          <w:p w14:paraId="4731F15E"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West Malaysia</w:t>
            </w:r>
          </w:p>
        </w:tc>
        <w:tc>
          <w:tcPr>
            <w:tcW w:w="3420" w:type="dxa"/>
          </w:tcPr>
          <w:p w14:paraId="62057844"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area, artificial neural network, land use, public health, forecasting, air quality, etc</w:t>
            </w:r>
          </w:p>
        </w:tc>
        <w:tc>
          <w:tcPr>
            <w:tcW w:w="3600" w:type="dxa"/>
          </w:tcPr>
          <w:p w14:paraId="06E3AFB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Vulnerability, public attitude, climate change, flood, ecotourism, disaster management, etc</w:t>
            </w:r>
          </w:p>
        </w:tc>
      </w:tr>
      <w:tr w:rsidR="00C87779" w14:paraId="2099F302" w14:textId="77777777">
        <w:trPr>
          <w:trHeight w:val="275"/>
          <w:jc w:val="center"/>
        </w:trPr>
        <w:tc>
          <w:tcPr>
            <w:tcW w:w="1075" w:type="dxa"/>
          </w:tcPr>
          <w:p w14:paraId="1AAD97C5"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4</w:t>
            </w:r>
          </w:p>
        </w:tc>
        <w:tc>
          <w:tcPr>
            <w:tcW w:w="1620" w:type="dxa"/>
          </w:tcPr>
          <w:p w14:paraId="10A4240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Human</w:t>
            </w:r>
          </w:p>
        </w:tc>
        <w:tc>
          <w:tcPr>
            <w:tcW w:w="3420" w:type="dxa"/>
          </w:tcPr>
          <w:p w14:paraId="04060020"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Risk factor, psychology, university, cognition, quality of life, young adult, etc</w:t>
            </w:r>
          </w:p>
        </w:tc>
        <w:tc>
          <w:tcPr>
            <w:tcW w:w="3600" w:type="dxa"/>
          </w:tcPr>
          <w:p w14:paraId="753F8338"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Islam, software, China, Europe, perception, knowledge, etc</w:t>
            </w:r>
          </w:p>
        </w:tc>
      </w:tr>
      <w:tr w:rsidR="00C87779" w14:paraId="6EE69184" w14:textId="77777777">
        <w:trPr>
          <w:trHeight w:val="275"/>
          <w:jc w:val="center"/>
        </w:trPr>
        <w:tc>
          <w:tcPr>
            <w:tcW w:w="1075" w:type="dxa"/>
          </w:tcPr>
          <w:p w14:paraId="4D0C4A59"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w:t>
            </w:r>
          </w:p>
        </w:tc>
        <w:tc>
          <w:tcPr>
            <w:tcW w:w="1620" w:type="dxa"/>
          </w:tcPr>
          <w:p w14:paraId="6B8D2221"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Malaysia</w:t>
            </w:r>
          </w:p>
        </w:tc>
        <w:tc>
          <w:tcPr>
            <w:tcW w:w="3420" w:type="dxa"/>
          </w:tcPr>
          <w:p w14:paraId="2063381D"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Disaster management, resilience, self-efficacy, flood, risk assessment, trust, etc</w:t>
            </w:r>
          </w:p>
        </w:tc>
        <w:tc>
          <w:tcPr>
            <w:tcW w:w="3600" w:type="dxa"/>
          </w:tcPr>
          <w:p w14:paraId="196C6836"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Ecotourism, palm oil, leadership, machine learning, education, human right, etc</w:t>
            </w:r>
          </w:p>
        </w:tc>
      </w:tr>
      <w:tr w:rsidR="00C87779" w14:paraId="02109565" w14:textId="77777777">
        <w:trPr>
          <w:trHeight w:val="275"/>
          <w:jc w:val="center"/>
        </w:trPr>
        <w:tc>
          <w:tcPr>
            <w:tcW w:w="1075" w:type="dxa"/>
          </w:tcPr>
          <w:p w14:paraId="1E69741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w:t>
            </w:r>
          </w:p>
        </w:tc>
        <w:tc>
          <w:tcPr>
            <w:tcW w:w="1620" w:type="dxa"/>
          </w:tcPr>
          <w:p w14:paraId="4E98131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Selangor</w:t>
            </w:r>
          </w:p>
        </w:tc>
        <w:tc>
          <w:tcPr>
            <w:tcW w:w="3420" w:type="dxa"/>
          </w:tcPr>
          <w:p w14:paraId="3B2126AF"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Curriculum, public attitude, public health</w:t>
            </w:r>
          </w:p>
        </w:tc>
        <w:tc>
          <w:tcPr>
            <w:tcW w:w="3600" w:type="dxa"/>
          </w:tcPr>
          <w:p w14:paraId="01D5CC70"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West Malaysia, air quality, COVID-19</w:t>
            </w:r>
          </w:p>
        </w:tc>
      </w:tr>
      <w:tr w:rsidR="00C87779" w14:paraId="0DDE35BC" w14:textId="77777777">
        <w:trPr>
          <w:trHeight w:val="275"/>
          <w:jc w:val="center"/>
        </w:trPr>
        <w:tc>
          <w:tcPr>
            <w:tcW w:w="1075" w:type="dxa"/>
            <w:tcBorders>
              <w:bottom w:val="single" w:sz="4" w:space="0" w:color="000000"/>
            </w:tcBorders>
          </w:tcPr>
          <w:p w14:paraId="513FF9B7"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w:t>
            </w:r>
          </w:p>
        </w:tc>
        <w:tc>
          <w:tcPr>
            <w:tcW w:w="1620" w:type="dxa"/>
            <w:tcBorders>
              <w:bottom w:val="single" w:sz="4" w:space="0" w:color="000000"/>
            </w:tcBorders>
          </w:tcPr>
          <w:p w14:paraId="1E5BD0E6"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Human rights</w:t>
            </w:r>
          </w:p>
        </w:tc>
        <w:tc>
          <w:tcPr>
            <w:tcW w:w="3420" w:type="dxa"/>
            <w:tcBorders>
              <w:bottom w:val="single" w:sz="4" w:space="0" w:color="000000"/>
            </w:tcBorders>
          </w:tcPr>
          <w:p w14:paraId="4369B736"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International law</w:t>
            </w:r>
          </w:p>
        </w:tc>
        <w:tc>
          <w:tcPr>
            <w:tcW w:w="3600" w:type="dxa"/>
            <w:tcBorders>
              <w:bottom w:val="single" w:sz="4" w:space="0" w:color="000000"/>
            </w:tcBorders>
          </w:tcPr>
          <w:p w14:paraId="49A65A2C" w14:textId="77777777" w:rsidR="00C87779" w:rsidRDefault="004A3C5B">
            <w:pPr>
              <w:spacing w:after="0" w:line="240" w:lineRule="auto"/>
              <w:ind w:hanging="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COVID-19</w:t>
            </w:r>
          </w:p>
        </w:tc>
      </w:tr>
    </w:tbl>
    <w:p w14:paraId="20C0286B" w14:textId="77777777" w:rsidR="00C87779" w:rsidRDefault="004A3C5B">
      <w:pPr>
        <w:spacing w:after="0" w:line="240" w:lineRule="auto"/>
        <w:ind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Sumber: VosViewer</w:t>
      </w:r>
    </w:p>
    <w:p w14:paraId="06DB506A"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6A8A72F" w14:textId="77777777" w:rsidR="00C87779" w:rsidRDefault="004A3C5B">
      <w:pPr>
        <w:spacing w:after="0" w:line="240" w:lineRule="auto"/>
        <w:ind w:left="1" w:hanging="3"/>
        <w:jc w:val="center"/>
        <w:rPr>
          <w:rFonts w:ascii="Times New Roman" w:eastAsia="Times New Roman" w:hAnsi="Times New Roman" w:cs="Times New Roman"/>
          <w:color w:val="000000"/>
          <w:sz w:val="32"/>
          <w:szCs w:val="32"/>
        </w:rPr>
      </w:pPr>
      <w:r>
        <w:rPr>
          <w:noProof/>
          <w:sz w:val="28"/>
          <w:szCs w:val="28"/>
          <w:lang w:val="en-MY"/>
        </w:rPr>
        <w:lastRenderedPageBreak/>
        <w:drawing>
          <wp:inline distT="0" distB="0" distL="0" distR="0" wp14:anchorId="1C92AC4A" wp14:editId="41E85F3C">
            <wp:extent cx="4318213" cy="2536964"/>
            <wp:effectExtent l="0" t="0" r="0" b="0"/>
            <wp:docPr id="105349937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l="24750" t="12136" r="2595" b="11936"/>
                    <a:stretch>
                      <a:fillRect/>
                    </a:stretch>
                  </pic:blipFill>
                  <pic:spPr>
                    <a:xfrm>
                      <a:off x="0" y="0"/>
                      <a:ext cx="4318213" cy="2536964"/>
                    </a:xfrm>
                    <a:prstGeom prst="rect">
                      <a:avLst/>
                    </a:prstGeom>
                    <a:ln/>
                  </pic:spPr>
                </pic:pic>
              </a:graphicData>
            </a:graphic>
          </wp:inline>
        </w:drawing>
      </w:r>
    </w:p>
    <w:p w14:paraId="2F228427"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VosViewer</w:t>
      </w:r>
    </w:p>
    <w:p w14:paraId="5A3489FC" w14:textId="77777777" w:rsidR="00C87779" w:rsidRDefault="00C87779">
      <w:pPr>
        <w:spacing w:after="0" w:line="240" w:lineRule="auto"/>
        <w:ind w:hanging="2"/>
        <w:jc w:val="center"/>
        <w:rPr>
          <w:rFonts w:ascii="Times New Roman" w:eastAsia="Times New Roman" w:hAnsi="Times New Roman" w:cs="Times New Roman"/>
          <w:b/>
          <w:sz w:val="24"/>
          <w:szCs w:val="24"/>
        </w:rPr>
      </w:pPr>
    </w:p>
    <w:p w14:paraId="2C9E5CC5" w14:textId="77777777" w:rsidR="00C87779" w:rsidRDefault="004A3C5B">
      <w:pPr>
        <w:spacing w:after="0" w:line="240" w:lineRule="auto"/>
        <w:ind w:hanging="2"/>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Rajah 4. </w:t>
      </w:r>
      <w:r>
        <w:rPr>
          <w:rFonts w:ascii="Times New Roman" w:eastAsia="Times New Roman" w:hAnsi="Times New Roman" w:cs="Times New Roman"/>
          <w:sz w:val="24"/>
          <w:szCs w:val="24"/>
        </w:rPr>
        <w:t>Visualisasi tindanan bagi kajian sains sosial UKM</w:t>
      </w:r>
    </w:p>
    <w:p w14:paraId="5259AB56" w14:textId="77777777" w:rsidR="00C87779" w:rsidRDefault="00C87779">
      <w:pPr>
        <w:spacing w:after="0" w:line="240" w:lineRule="auto"/>
        <w:ind w:hanging="2"/>
        <w:jc w:val="both"/>
        <w:rPr>
          <w:rFonts w:ascii="Times New Roman" w:eastAsia="Times New Roman" w:hAnsi="Times New Roman" w:cs="Times New Roman"/>
          <w:b/>
          <w:color w:val="000000"/>
          <w:sz w:val="24"/>
          <w:szCs w:val="24"/>
        </w:rPr>
      </w:pPr>
    </w:p>
    <w:p w14:paraId="550EDDCE" w14:textId="77777777" w:rsidR="00C87779" w:rsidRDefault="00C87779">
      <w:pPr>
        <w:spacing w:after="0" w:line="240" w:lineRule="auto"/>
        <w:ind w:hanging="2"/>
        <w:jc w:val="both"/>
        <w:rPr>
          <w:rFonts w:ascii="Times New Roman" w:eastAsia="Times New Roman" w:hAnsi="Times New Roman" w:cs="Times New Roman"/>
          <w:b/>
          <w:color w:val="000000"/>
          <w:sz w:val="24"/>
          <w:szCs w:val="24"/>
        </w:rPr>
      </w:pPr>
    </w:p>
    <w:p w14:paraId="36600054" w14:textId="77777777" w:rsidR="00C87779" w:rsidRDefault="004A3C5B">
      <w:pPr>
        <w:spacing w:after="0" w:line="240" w:lineRule="auto"/>
        <w:ind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Perbincangan</w:t>
      </w:r>
    </w:p>
    <w:p w14:paraId="1BF95DDA"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489224AC" w14:textId="77777777" w:rsidR="00C87779" w:rsidRDefault="004A3C5B">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Analisis kluster</w:t>
      </w:r>
    </w:p>
    <w:p w14:paraId="2995C855"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7233234B"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Kluster kelestarian (</w:t>
      </w:r>
      <w:r>
        <w:rPr>
          <w:rFonts w:ascii="Times New Roman" w:eastAsia="Times New Roman" w:hAnsi="Times New Roman" w:cs="Times New Roman"/>
          <w:i/>
          <w:color w:val="000000"/>
          <w:sz w:val="24"/>
          <w:szCs w:val="24"/>
        </w:rPr>
        <w:t>sustainability</w:t>
      </w:r>
      <w:r>
        <w:rPr>
          <w:rFonts w:ascii="Times New Roman" w:eastAsia="Times New Roman" w:hAnsi="Times New Roman" w:cs="Times New Roman"/>
          <w:color w:val="000000"/>
          <w:sz w:val="24"/>
          <w:szCs w:val="24"/>
        </w:rPr>
        <w:t>) merah menekankan pendekatan pelbagai dimensi, iaitu meliputi aspek-aspek seperti peralihan tenaga, pengurusan sisa, pembangunan dasar dan kerjasama serantau. Kluster ini menyumbang dalam pembentukan kerangka di mana objektif ekonomi dan alam sekitar bergerak selaras, seterusnya menyokong komitmen kawasan serantau Asia Tenggara (ASEAN) terhadap pertumbuhan lestari. Saiz nod istilah kelestarian yang besar dan pembangunan lestari sebagai tema utama telah mencadangkan bahawa penyelidikan fokus kepada pencapaian kemajuan ekonomi serta menitikberatkan penjagaan alam sekitar. Istilah seperti ekonomi alam sekitar dan kesan alam sekitar pula menekankan usaha untuk mengkaji implikasi ekonomi daripada amalan dan dasar alam sekitar. Istilah ini juga kerap dihubungkan dengan istilah seperti tenaga boleh diperbaharui, tenaga alternatif dan kecekapan tenaga, menunjukkan fokus yang mendalam terhadap sumber tenaga mampan. Topik-topik ini mungkin dikaji untuk memahami bagaimana penerapan tenaga boleh diperbaharui dapat mendorong pertumbuhan ekonomi sambil mengurangkan kemerosotan alam sekitar.</w:t>
      </w:r>
    </w:p>
    <w:p w14:paraId="2EDDD9DA"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Selain itu, kehadiran tanggungjawab sosial korporat (CSR) menunjukkan peranan perniagaan dalam amalan lestari, di mana meneliti bagaimana inisiatif CSR dapat menyumbang kepada matlamat alam sekitar dan menyokong model ekonomi yang lestari. Istilah pembentukan dasar menunjukkan kajian memberi tumpuan kepada bagaimana dasar kerajaan menyokong pembangunan lestari, khususnya dalam sektor pelancongan, pengurusan sisa dan tenaga. Dari perspektif geografi serantau, negara Indonesia dan Bangladesh mencadangkan kajian perbandingan atau minat bersama dalam pendekatan pembangunan lestari di Asia Tenggara. Istilah ASEAN dan Asia Tenggara turut menunjukkan pandangan serantau mengenai kelestarian, di mana penyelidikan mungkin menyumbang kepada matlamat keseluruhan ASEAN dalam mencapai kemajuan lestari. Seterusnya, kehadiran istilah pembangunan pelancongan dan eko-pelancongan </w:t>
      </w:r>
      <w:r>
        <w:rPr>
          <w:rFonts w:ascii="Times New Roman" w:eastAsia="Times New Roman" w:hAnsi="Times New Roman" w:cs="Times New Roman"/>
          <w:color w:val="000000"/>
          <w:sz w:val="24"/>
          <w:szCs w:val="24"/>
        </w:rPr>
        <w:lastRenderedPageBreak/>
        <w:t xml:space="preserve">dalam kluster ini mencadangkan kajian tentang keseimbangan di antara manfaat ekonomi pelancongan dengan pemeliharaan alam sekitar. Ini mencerminkan cabaran dalam mengekalkan warisan semula jadinya di zaman pertumbuhan industri pelancongan. Akhir sekali, keutamaan pada pengurusan sisa menunjukkan aspek praktikal pengurusan alam sekitar dalam usaha kelestarian. </w:t>
      </w:r>
    </w:p>
    <w:p w14:paraId="0FFB3F5D"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Kluster pendidikan (</w:t>
      </w:r>
      <w:r>
        <w:rPr>
          <w:rFonts w:ascii="Times New Roman" w:eastAsia="Times New Roman" w:hAnsi="Times New Roman" w:cs="Times New Roman"/>
          <w:i/>
          <w:color w:val="000000"/>
          <w:sz w:val="24"/>
          <w:szCs w:val="24"/>
        </w:rPr>
        <w:t>education</w:t>
      </w:r>
      <w:r>
        <w:rPr>
          <w:rFonts w:ascii="Times New Roman" w:eastAsia="Times New Roman" w:hAnsi="Times New Roman" w:cs="Times New Roman"/>
          <w:color w:val="000000"/>
          <w:sz w:val="24"/>
          <w:szCs w:val="24"/>
        </w:rPr>
        <w:t>) hijau fokus topik-topik yang berkaitan e-pembelajaran, pembelajaran dalam talian, motivasi pelajar, media sosial dan COVID-19. Kluster ini menunjukkan kaedah pembelajaran semasa pandemik COVID-19, di mana tertumpu kepada kaedah pembelajaran digital. Istilah COVID-19 mencadangkan sebahagian besar kajian meneliti kesan pandemik terhadap sistem dan peralihan kepada pembelajaran dalam talian. Kehadiran istilah e-pembelajaran dan pembelajaran dalam talian menunjukkan fokus kepada pendidikan digital dan keberkesanan strategi pembelajaran jarak jauh sewaktu tempoh sekatan pergerakan. Selain itu, istilah motivasi pelajar dan media sosial di dalam kluster ini menunjukkan kajian mengenai faktor-faktor yang mempengaruhi penglibatan dan sikap pelajar terhadap persekitaran pembelajaran dalam talian. Hubungan dengan media sosial mencadangkan eksplorasi bagaimana medium seperti Facebook, Instagram atau Twitter digunakan untuk tujuan pendidikan atau sebagai alat untuk meningkatkan penglibatan dan hubungan pelajar dalam situasi maya.</w:t>
      </w:r>
      <w:r>
        <w:rPr>
          <w:rFonts w:ascii="Times New Roman" w:eastAsia="Times New Roman" w:hAnsi="Times New Roman" w:cs="Times New Roman"/>
          <w:color w:val="000000"/>
          <w:sz w:val="24"/>
          <w:szCs w:val="24"/>
        </w:rPr>
        <w:tab/>
      </w:r>
    </w:p>
    <w:p w14:paraId="34BA8AFB"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bookmarkStart w:id="3" w:name="_heading=h.t0xj7t6m1xvp" w:colFirst="0" w:colLast="0"/>
      <w:bookmarkEnd w:id="3"/>
      <w:r>
        <w:rPr>
          <w:rFonts w:ascii="Times New Roman" w:eastAsia="Times New Roman" w:hAnsi="Times New Roman" w:cs="Times New Roman"/>
          <w:color w:val="000000"/>
          <w:sz w:val="24"/>
          <w:szCs w:val="24"/>
        </w:rPr>
        <w:t>Istilah berkaitan sikap dan kebimbangan menunjukkan kajian terhadap kesihatan mental dan tindak balas psikologi pelajar terhadap pembelajaran dalam talian. Ini mungkin melibatkan kajian tentang isu kebimbangan berkaitan peperiksaan dalam talian, tekanan bilik darjah maya, dan kesan keseluruhan pendidikan dalam talian terhadap kesejahteraan mental. Tambahan pula, istilah Sains, Teknologi, Kejuruteraan dan Matematik (STEM) dan Pendidikan Teknikal dan Latihan Vokasional (TVET) menunjukkan bidang pendidikan khusus yang sedang dikaji dalam konteks ini. Ini berkemungkinan kajian-kajian menumpukan pada keberkesanan kaedah digital dalam subjek teknikal dan berasaskan sains.</w:t>
      </w:r>
    </w:p>
    <w:p w14:paraId="7372A1DD"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Kluster Barat Malaysia (</w:t>
      </w:r>
      <w:r>
        <w:rPr>
          <w:rFonts w:ascii="Times New Roman" w:eastAsia="Times New Roman" w:hAnsi="Times New Roman" w:cs="Times New Roman"/>
          <w:i/>
          <w:color w:val="000000"/>
          <w:sz w:val="24"/>
          <w:szCs w:val="24"/>
        </w:rPr>
        <w:t>West Malaysia</w:t>
      </w:r>
      <w:r>
        <w:rPr>
          <w:rFonts w:ascii="Times New Roman" w:eastAsia="Times New Roman" w:hAnsi="Times New Roman" w:cs="Times New Roman"/>
          <w:color w:val="000000"/>
          <w:sz w:val="24"/>
          <w:szCs w:val="24"/>
        </w:rPr>
        <w:t>) biru tua berpusat kepada tema teknologi dan analitik seperti pembelajaran mesin (</w:t>
      </w:r>
      <w:r>
        <w:rPr>
          <w:rFonts w:ascii="Times New Roman" w:eastAsia="Times New Roman" w:hAnsi="Times New Roman" w:cs="Times New Roman"/>
          <w:i/>
          <w:color w:val="000000"/>
          <w:sz w:val="24"/>
          <w:szCs w:val="24"/>
        </w:rPr>
        <w:t>machine learning</w:t>
      </w:r>
      <w:r>
        <w:rPr>
          <w:rFonts w:ascii="Times New Roman" w:eastAsia="Times New Roman" w:hAnsi="Times New Roman" w:cs="Times New Roman"/>
          <w:color w:val="000000"/>
          <w:sz w:val="24"/>
          <w:szCs w:val="24"/>
        </w:rPr>
        <w:t>), penderiaan jauh (</w:t>
      </w:r>
      <w:r>
        <w:rPr>
          <w:rFonts w:ascii="Times New Roman" w:eastAsia="Times New Roman" w:hAnsi="Times New Roman" w:cs="Times New Roman"/>
          <w:i/>
          <w:color w:val="000000"/>
          <w:sz w:val="24"/>
          <w:szCs w:val="24"/>
        </w:rPr>
        <w:t>remote sensing</w:t>
      </w:r>
      <w:r>
        <w:rPr>
          <w:rFonts w:ascii="Times New Roman" w:eastAsia="Times New Roman" w:hAnsi="Times New Roman" w:cs="Times New Roman"/>
          <w:color w:val="000000"/>
          <w:sz w:val="24"/>
          <w:szCs w:val="24"/>
        </w:rPr>
        <w:t xml:space="preserve">), GIS dan pengambilan keputusan. Istilah-istilah ini mencadangkan kluster ini </w:t>
      </w:r>
      <w:r>
        <w:rPr>
          <w:rFonts w:ascii="Times New Roman" w:eastAsia="Times New Roman" w:hAnsi="Times New Roman" w:cs="Times New Roman"/>
          <w:sz w:val="24"/>
          <w:szCs w:val="24"/>
        </w:rPr>
        <w:t>berorientasi pada</w:t>
      </w:r>
      <w:r>
        <w:rPr>
          <w:rFonts w:ascii="Times New Roman" w:eastAsia="Times New Roman" w:hAnsi="Times New Roman" w:cs="Times New Roman"/>
          <w:color w:val="000000"/>
          <w:sz w:val="24"/>
          <w:szCs w:val="24"/>
        </w:rPr>
        <w:t xml:space="preserve"> aplikasi teknologi maju dan kaedah analisis data dalam pelbagai bidang penyelidikan, termasuk pemantauan alam sekitar, pemodelan ramalan dan pengoptimuman. Istilah pembelajaran mesin yang ketara menunjukkan usaha penyelidikan dalam memanfaatkan algoritma dan pendekatan berasaskan data untuk analisis ramalan. Dalam hal ini, teknik pembelajaran mesin mungkin digunakan untuk menjangkakan perubahan corak dan hasil dalam bidang seperti kajian alam sekitar dan perancangan bandar. Selain itu, kehadiran istilah GIS dan penderiaan jauh menunjukkan penggunaan data spatial dalam pemetaan dan pemantauan pelbagai faktor geografi dan alam sekitar, seperti penggunaan tanah dan kualiti udara. Instrumen ini digunakan dalam kajian penilaian alam sekitar untuk menganalisis dan menggambarkan data spatial dengan lebih berkesan. Tambahan pula, pemetaan dan penilaian ketepatan juga dikaitkan bagi menekankan kepentingan pengumpulan dan pengesahan data yang tepat dalam kajian yang bergantung kepada data geografi.</w:t>
      </w:r>
    </w:p>
    <w:p w14:paraId="0FB87D98"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Kecerdasan buatan (AI) dan rangkaian neural dalam kluster ini menunjukkan penggunaan kaedah pengiraan lanjutan di dalam pelbagai bidang, dari analisis bidang alam sekitar sehingga kesihatan awam. Hubungan ini menunjukkan pendekatan saling perkaitan, di mana model berasaskan AI menyokong analisis yang kompleks seperti penilaian risiko dan kaedah pengesanan. Selain itu, istilah kesihatan awam, komunikasi dan kepercayaan dalam kluster ini memberi gambaran aspek kemanusiaan masyarakat. Ini kemungkinan kajian berkaitan bagaimana kemajuan </w:t>
      </w:r>
      <w:r>
        <w:rPr>
          <w:rFonts w:ascii="Times New Roman" w:eastAsia="Times New Roman" w:hAnsi="Times New Roman" w:cs="Times New Roman"/>
          <w:color w:val="000000"/>
          <w:sz w:val="24"/>
          <w:szCs w:val="24"/>
        </w:rPr>
        <w:lastRenderedPageBreak/>
        <w:t>teknologi dan aplikasi data mempengaruhi sikap awam, isu kesihatan dan kebolehpercayaan maklumat. Ini juga merangkumi kajian tentang kesan teknologi terhadap masyarakat atau kajian yang meneroka peranan komunikasi dan kepercayaan dalam penerimaan teknologi baru.</w:t>
      </w:r>
    </w:p>
    <w:p w14:paraId="33B6EFAF"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Kluster Selangor biru muda pula mewakili bidang kajian yang khusus tetapi signifikan, di mana fokus kepada aspek kesihatan awam serantau dan kurikulum pendidikan kawasan serantau. Hubungkait di antara istilah-istilah ini mencadangkan bahawa kajian meneliti bagaimana pandangan tempatan dan aspek kesihatan mempengaruhi strategi pendidikan dan kesihatan awam. Fokus khusus ini memberikan hala tuju tentang bagaimana komuniti tertentu memberi respons terhadap inisiatif kesihatan dan pendidikan, seterusnya membantu dalam pembentukan dasar yang lebih berkesan. </w:t>
      </w:r>
    </w:p>
    <w:p w14:paraId="0C15E0A6"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Walaupun hanya mempunyai kelompok yang terkecil, kluster hak asasi manusia (</w:t>
      </w:r>
      <w:r>
        <w:rPr>
          <w:rFonts w:ascii="Times New Roman" w:eastAsia="Times New Roman" w:hAnsi="Times New Roman" w:cs="Times New Roman"/>
          <w:i/>
          <w:color w:val="000000"/>
          <w:sz w:val="24"/>
          <w:szCs w:val="24"/>
        </w:rPr>
        <w:t>human rights</w:t>
      </w:r>
      <w:r>
        <w:rPr>
          <w:rFonts w:ascii="Times New Roman" w:eastAsia="Times New Roman" w:hAnsi="Times New Roman" w:cs="Times New Roman"/>
          <w:color w:val="000000"/>
          <w:sz w:val="24"/>
          <w:szCs w:val="24"/>
        </w:rPr>
        <w:t>) oren berpusat pada tema hak asasi manusia dan undang-undang antarabangsa. Kluster ini mencadangkan terdapat bidang kajian khusus yang meneliti peranan dan kewajipan dalam kerangka undang-undang antarabangsa. Istilah hak asasi manusia menunjukkan penekanan terhadap pematuhan terhadap penanda aras hak asasi manusia antarabangsa dan cabaran yang timbul. Selain itu, hubungan dengan istilah undang-undang antarabangsa mencadangkan bahawa kajian mungkin melibatkan analisis kewajipan undang-undang di bawah pelbagai perjanjian dan konvensyen antarabangsa berkaitan hak asasi manusia. Hal ini boleh merangkumi pelbagai isu seperti kebebasan sivil dan hak politik, dan hak sosial dan ekonomi. Kedudukan kluster ini terletak terasing dengan kluster lain dan kurang mempunyai kaitan dengan istilah yang lain seperti kelestarian atau teknologi. Walau bagaimanapun, ia tetap penting kerana ia menyentuh hak-hak asas dan kerangka undang-undang yang memberi kesan kepada masyarakat serta hubungannya dengan komuniti antarabangsa.</w:t>
      </w:r>
    </w:p>
    <w:p w14:paraId="3E57EC23"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Berdasarkan </w:t>
      </w:r>
      <w:r>
        <w:rPr>
          <w:rFonts w:ascii="Times New Roman" w:eastAsia="Times New Roman" w:hAnsi="Times New Roman" w:cs="Times New Roman"/>
          <w:sz w:val="24"/>
          <w:szCs w:val="24"/>
        </w:rPr>
        <w:t>sintesis</w:t>
      </w:r>
      <w:r>
        <w:rPr>
          <w:rFonts w:ascii="Times New Roman" w:eastAsia="Times New Roman" w:hAnsi="Times New Roman" w:cs="Times New Roman"/>
          <w:color w:val="000000"/>
          <w:sz w:val="24"/>
          <w:szCs w:val="24"/>
        </w:rPr>
        <w:t xml:space="preserve"> kesemua tujuh kluster hasil analisis bibilometrik, kajian ini mencadangkan Model Kerangka Integrasi Strategi Penyelidikan Sains Sosial UKM (Rajah 5). Model ini memandu perancangan agenda penyelidikan masa hadapan yang menyeluruh and berimpak tinggi. Model ini menempatkan visi penyelidikan sains sosial sebagai teras utama, yang dicapai melalui empat fokus utama yang saling berkaitan yang mencerminkan kekuatan semasa sains sosial UKM. Pertama, teknologi dan analitik yang merujuk kepada kluster 3, di mana yang berkait dengan AI dan GIS. Kedua, kelestarian dan alam sekitar yang merujuk kepada kluster 1 dan 5, di mana ekopelancongan dan Matlamat Pembangunan Mampan (SDG). Ketiga, pendidikan dan masyarakat, yang merujuk kepada kluster 2 dan 6, di mana pembelajaran digital dan sikap awam. Keempat, dasar dan hak asasi, yang merujuk kepada kluster 7, di mana berkait dengan pembentukan dasar dan undang-undang antarabangsa. Keberkesanan </w:t>
      </w:r>
      <w:r>
        <w:rPr>
          <w:rFonts w:ascii="Times New Roman" w:eastAsia="Times New Roman" w:hAnsi="Times New Roman" w:cs="Times New Roman"/>
          <w:sz w:val="24"/>
          <w:szCs w:val="24"/>
        </w:rPr>
        <w:t>pelaksanaan</w:t>
      </w:r>
      <w:r>
        <w:rPr>
          <w:rFonts w:ascii="Times New Roman" w:eastAsia="Times New Roman" w:hAnsi="Times New Roman" w:cs="Times New Roman"/>
          <w:color w:val="000000"/>
          <w:sz w:val="24"/>
          <w:szCs w:val="24"/>
        </w:rPr>
        <w:t xml:space="preserve"> bidang fokus ini bergantung kepada empat pemacu utama yang mengelilinginya, iaitu kerjasama antara disiplin, pendekatan tekno-sosial, perspektif serantau (ASEAN) dan dasar berasaskan bukti. Sebagai contoh, penekanan pendekatan pemacu utama seperti kerjasama antara disiplin pusat kajian seperti integrasi kelestarian SEEDS dengan MENTION dalam komunikasi kesedaran awam. Selain itu, pendekatan tekno-sosial dengan memanfaatkan AI untuk analisis data sosial. Penerapan model ini diharapkan dapat menghasilkan gambaran yang menyeluruh dan seterusnya membentuk hasil yang nyata seperti dasar pembangunan yang lebih menyeluruh, inovasi sosial, peningkatan ketahanan masyarakat serantau dan keberkesanan pemuliharaan alam. Kesimpulannya, kerangka ini berfungsi sebagai peta perjalanan untuk penyelidikan masa hadapan dan berpotensi untuk </w:t>
      </w:r>
      <w:r>
        <w:rPr>
          <w:rFonts w:ascii="Times New Roman" w:eastAsia="Times New Roman" w:hAnsi="Times New Roman" w:cs="Times New Roman"/>
          <w:sz w:val="24"/>
          <w:szCs w:val="24"/>
        </w:rPr>
        <w:t>mengukuhkan</w:t>
      </w:r>
      <w:r>
        <w:rPr>
          <w:rFonts w:ascii="Times New Roman" w:eastAsia="Times New Roman" w:hAnsi="Times New Roman" w:cs="Times New Roman"/>
          <w:color w:val="000000"/>
          <w:sz w:val="24"/>
          <w:szCs w:val="24"/>
        </w:rPr>
        <w:t xml:space="preserve"> posisi UKM sebagai hab penyelidikan sains sosial yang unggul dan relevan di peringkat serantau dan antarabangsa. </w:t>
      </w:r>
    </w:p>
    <w:p w14:paraId="4E0ADE85"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12076C10" w14:textId="77777777" w:rsidR="00C87779" w:rsidRDefault="004A3C5B">
      <w:pPr>
        <w:spacing w:after="0" w:line="240" w:lineRule="auto"/>
        <w:ind w:left="1" w:hanging="3"/>
        <w:jc w:val="center"/>
        <w:rPr>
          <w:rFonts w:ascii="Times New Roman" w:eastAsia="Times New Roman" w:hAnsi="Times New Roman" w:cs="Times New Roman"/>
          <w:color w:val="000000"/>
          <w:sz w:val="32"/>
          <w:szCs w:val="32"/>
        </w:rPr>
      </w:pPr>
      <w:r>
        <w:rPr>
          <w:noProof/>
          <w:sz w:val="28"/>
          <w:szCs w:val="28"/>
          <w:lang w:val="en-MY"/>
        </w:rPr>
        <w:lastRenderedPageBreak/>
        <w:drawing>
          <wp:inline distT="0" distB="0" distL="0" distR="0" wp14:anchorId="0A9A5E29" wp14:editId="5F1B0ACF">
            <wp:extent cx="3707437" cy="3707437"/>
            <wp:effectExtent l="0" t="0" r="0" b="0"/>
            <wp:docPr id="10534993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707437" cy="3707437"/>
                    </a:xfrm>
                    <a:prstGeom prst="rect">
                      <a:avLst/>
                    </a:prstGeom>
                    <a:ln/>
                  </pic:spPr>
                </pic:pic>
              </a:graphicData>
            </a:graphic>
          </wp:inline>
        </w:drawing>
      </w:r>
    </w:p>
    <w:p w14:paraId="41C949D3"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Sumber: Pengarang</w:t>
      </w:r>
    </w:p>
    <w:p w14:paraId="6221FD57" w14:textId="77777777" w:rsidR="00C87779" w:rsidRDefault="00C87779">
      <w:pPr>
        <w:spacing w:after="0" w:line="240" w:lineRule="auto"/>
        <w:ind w:hanging="2"/>
        <w:jc w:val="center"/>
        <w:rPr>
          <w:rFonts w:ascii="Times New Roman" w:eastAsia="Times New Roman" w:hAnsi="Times New Roman" w:cs="Times New Roman"/>
          <w:b/>
          <w:sz w:val="24"/>
          <w:szCs w:val="24"/>
        </w:rPr>
      </w:pPr>
    </w:p>
    <w:p w14:paraId="4D00DCB4" w14:textId="77777777" w:rsidR="00C87779" w:rsidRDefault="004A3C5B">
      <w:pPr>
        <w:spacing w:after="0" w:line="240" w:lineRule="auto"/>
        <w:ind w:hanging="2"/>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Rajah 5. </w:t>
      </w:r>
      <w:r>
        <w:rPr>
          <w:rFonts w:ascii="Times New Roman" w:eastAsia="Times New Roman" w:hAnsi="Times New Roman" w:cs="Times New Roman"/>
          <w:sz w:val="24"/>
          <w:szCs w:val="24"/>
        </w:rPr>
        <w:t>Model kerangka integrasi strategi penyelidikan sains sosial UKM</w:t>
      </w:r>
    </w:p>
    <w:p w14:paraId="351FC706"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1F22FEA8" w14:textId="77777777" w:rsidR="00C87779" w:rsidRDefault="004A3C5B">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Ekopelancongan</w:t>
      </w:r>
    </w:p>
    <w:p w14:paraId="1C9045D4"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bookmarkStart w:id="4" w:name="_heading=h.wb1isuzxt35" w:colFirst="0" w:colLast="0"/>
      <w:bookmarkEnd w:id="4"/>
    </w:p>
    <w:p w14:paraId="65D3A4D7"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bookmarkStart w:id="5" w:name="_heading=h.1fiieila805g" w:colFirst="0" w:colLast="0"/>
      <w:bookmarkEnd w:id="5"/>
      <w:r>
        <w:rPr>
          <w:rFonts w:ascii="Times New Roman" w:eastAsia="Times New Roman" w:hAnsi="Times New Roman" w:cs="Times New Roman"/>
          <w:color w:val="000000"/>
          <w:sz w:val="24"/>
          <w:szCs w:val="24"/>
        </w:rPr>
        <w:t xml:space="preserve">Salah satu dapatan kajian yang khusus ialah istilah </w:t>
      </w:r>
      <w:r>
        <w:rPr>
          <w:rFonts w:ascii="Times New Roman" w:eastAsia="Times New Roman" w:hAnsi="Times New Roman" w:cs="Times New Roman"/>
          <w:sz w:val="24"/>
          <w:szCs w:val="24"/>
        </w:rPr>
        <w:t>ekopelancongan</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color w:val="000000"/>
          <w:sz w:val="24"/>
          <w:szCs w:val="24"/>
        </w:rPr>
        <w:t>ecotourism</w:t>
      </w:r>
      <w:r>
        <w:rPr>
          <w:rFonts w:ascii="Times New Roman" w:eastAsia="Times New Roman" w:hAnsi="Times New Roman" w:cs="Times New Roman"/>
          <w:color w:val="000000"/>
          <w:sz w:val="24"/>
          <w:szCs w:val="24"/>
        </w:rPr>
        <w:t xml:space="preserve">). Ekopelancongan ini </w:t>
      </w:r>
      <w:r>
        <w:rPr>
          <w:rFonts w:ascii="Times New Roman" w:eastAsia="Times New Roman" w:hAnsi="Times New Roman" w:cs="Times New Roman"/>
          <w:sz w:val="24"/>
          <w:szCs w:val="24"/>
        </w:rPr>
        <w:t>berhubung kait</w:t>
      </w:r>
      <w:r>
        <w:rPr>
          <w:rFonts w:ascii="Times New Roman" w:eastAsia="Times New Roman" w:hAnsi="Times New Roman" w:cs="Times New Roman"/>
          <w:color w:val="000000"/>
          <w:sz w:val="24"/>
          <w:szCs w:val="24"/>
        </w:rPr>
        <w:t xml:space="preserve"> dengan matlamat pembangunan lestari, pembangunan ekonomi dan kesan alam sekitar. Ini mencerminkan tumpuan kajian kepada pelancongan yang selari dengan pemeliharaan alam sekitar dan kelestarian. Kajian mungkin meneliti bagaimana aktiviti pelancongan boleh dikembangkan dengan kaedah yang meminimumkan kesan alam sekitar, melibatkan komuniti tempatan dan seterusnya mempromosikan kesedaran ekologi. Hubungan dengan SDG menunjukkan bahawa kajian bertujuan untuk mencapai sasaran kelestarian yang lebih luas, di mana berkemungkinan meneroka bagaimana ekopelancongan dapat menyumbang kepada SDG yang ditetapkan. Ini juga dikaitkan dengan penglibatan keseimbangan antara pertumbuhan ekonomi dan pemuliharaan alam sekitar dalam sektor pelancongan.</w:t>
      </w:r>
    </w:p>
    <w:p w14:paraId="0367A93F" w14:textId="77777777" w:rsidR="00C87779" w:rsidRDefault="004A3C5B">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Selain itu, istilah pembangunan ekonomi dan pertumbuhan ekonomi dikaitkan aspek ekonomi ekopelancongan. Kajian mungkin fokus kepada bagaimana pelancongan lestari boleh mendorong pertumbuhan ekonomi, mencipta peluang pekerjaan dan menyokong ekonomi tempatan terutama di kawasan luar bandar dan ekologi sensitif. Kehadiran istilah kesan alam sekitar dan pelepasan karbon menunjukkan tumpuan dalam menilai jejak ekologi pelancongan, seperti pelepasan karbon dan kemerosotan ekologi. Dalam hal ini, kajian mungkin menilai kaedah untuk mengurangkan kesan negatif alam sekitar yang dikaitkan dengan pelancongan melalui dasar atau amalan. Secara kesimpulannya, istilah ekopelancongan ini mencerminkan pendekatan yang selaras dengan pembangunan pelancongan lestari, di mana meneliti bagaimana ekopelancongan </w:t>
      </w:r>
      <w:r>
        <w:rPr>
          <w:rFonts w:ascii="Times New Roman" w:eastAsia="Times New Roman" w:hAnsi="Times New Roman" w:cs="Times New Roman"/>
          <w:color w:val="000000"/>
          <w:sz w:val="24"/>
          <w:szCs w:val="24"/>
        </w:rPr>
        <w:lastRenderedPageBreak/>
        <w:t>dapat menyokong matlamat ekonomi dan kelestarian alam sekitar. Kajian ini menunjukkan usaha untuk mengimbangi pertumbuhan pelancongan dengan pemuliharaan alam sekitar, selari dengan matlamat kelestarian antarabangsa.</w:t>
      </w:r>
    </w:p>
    <w:p w14:paraId="3AD480E5"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0561B513" w14:textId="77777777" w:rsidR="00C87779" w:rsidRDefault="004A3C5B">
      <w:pPr>
        <w:spacing w:after="0" w:line="240" w:lineRule="auto"/>
        <w:ind w:hanging="2"/>
        <w:jc w:val="both"/>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Cadangan hala tuju masa depan untuk kajian lanjutan </w:t>
      </w:r>
    </w:p>
    <w:p w14:paraId="106C5240"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69C2B81" w14:textId="77777777" w:rsidR="00C87779" w:rsidRDefault="004A3C5B">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Integrasi pembangunan lestari dan teknologi</w:t>
      </w:r>
    </w:p>
    <w:p w14:paraId="503DCDED"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6E11E3AC"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Kajian masa depan boleh memberi tumpuan kepada teknologi dan pembangunan lestari seperti penggunaan GIS, pembelajaran mesin dan AI dalam membantu mencapai matlamat SDG dalam </w:t>
      </w:r>
      <w:r>
        <w:rPr>
          <w:rFonts w:ascii="Times New Roman" w:eastAsia="Times New Roman" w:hAnsi="Times New Roman" w:cs="Times New Roman"/>
          <w:sz w:val="24"/>
          <w:szCs w:val="24"/>
        </w:rPr>
        <w:t>kawasan</w:t>
      </w:r>
      <w:r>
        <w:rPr>
          <w:rFonts w:ascii="Times New Roman" w:eastAsia="Times New Roman" w:hAnsi="Times New Roman" w:cs="Times New Roman"/>
          <w:color w:val="000000"/>
          <w:sz w:val="24"/>
          <w:szCs w:val="24"/>
        </w:rPr>
        <w:t xml:space="preserve"> serantau. Walau istilah pembangunan lestari seperti tenaga alternatif, pengurangan pelepasan karbon dan ekonomi alam sekitar semakin mendapat perhatian, akan tetapi masih lebih kajian yang mendalam diperlukan untuk meneroka bagaimana teknologi dapat meningkatkan inisiatif SDG. Kajian boleh meneliti kesan program CSR yang menggabungkan penyelesaian tenaga boleh diperbaharui dan mengurangkan jejak karbon, khususnya di dalam industri pembuatan dan pertanian. Pendekatan ini akan menyediakan pengukuran berkaitan manfaat alam sekitar dan ekonomi daripada amalan lestari. Ini seterusnya menggalakkan lebih banyak syarikat mengamalkan strategi yang bertanggungjawab terhadap alam sekitar. Di samping itu, kajian masa depan boleh menilai semula polisi kecekapan dasar alam sekitar semasa dan kesesuaiannya dengan teknologi baharu, di mana menyokong hala tuju negara ke arah inisiatif ekonomi rendah karbon.</w:t>
      </w:r>
    </w:p>
    <w:p w14:paraId="3F5830E0"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3557D0BA" w14:textId="77777777" w:rsidR="00C87779" w:rsidRDefault="004A3C5B">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Kesihatan awam dan sikap masyarakat</w:t>
      </w:r>
    </w:p>
    <w:p w14:paraId="04EF30C3"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672E5D5D"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Kajian berkaitan kesihatan awam boleh diperluaskan untuk merangkumi analisis yang lebih terperinci mengenai perbezaan kawasan seperti Selangor, di mana kepadatan penduduk dan faktor sosio-ekonomi memberi impak besar terhadap hasil kesihatan. Kajian masa depan boleh memberi fokus dalam memahami sikap masyarakat tempatan terhadap dasar kesihatan awam dengan meneliti bagaimana faktor budaya, agama dan sosio-ekonomi membentuk respons komuniti terhadap inisiatif kesihatan. Selain itu, gabungan di antara istilah topik kesihatan awam dalam kurikulum pendidikan boleh berfungsi sebagai pendekatan pencegahan untuk meningkatkan pengetahuan kesihatan dan tingkah laku proaktif terhadap kesihatan, terutama </w:t>
      </w:r>
      <w:r>
        <w:rPr>
          <w:rFonts w:ascii="Times New Roman" w:eastAsia="Times New Roman" w:hAnsi="Times New Roman" w:cs="Times New Roman"/>
          <w:sz w:val="24"/>
          <w:szCs w:val="24"/>
        </w:rPr>
        <w:t>dalam</w:t>
      </w:r>
      <w:r>
        <w:rPr>
          <w:rFonts w:ascii="Times New Roman" w:eastAsia="Times New Roman" w:hAnsi="Times New Roman" w:cs="Times New Roman"/>
          <w:color w:val="000000"/>
          <w:sz w:val="24"/>
          <w:szCs w:val="24"/>
        </w:rPr>
        <w:t xml:space="preserve"> kalangan belia. Kajian boleh menyiasat keberkesanan pelbagai strategi komunikasi kesihatan dalam sistem pendidikan, mengenal pasti cara untuk meningkatkan kesedaran kesihatan awam dari peringkat muda. In </w:t>
      </w:r>
      <w:r>
        <w:rPr>
          <w:rFonts w:ascii="Times New Roman" w:eastAsia="Times New Roman" w:hAnsi="Times New Roman" w:cs="Times New Roman"/>
          <w:sz w:val="24"/>
          <w:szCs w:val="24"/>
        </w:rPr>
        <w:t>seterusnya</w:t>
      </w:r>
      <w:r>
        <w:rPr>
          <w:rFonts w:ascii="Times New Roman" w:eastAsia="Times New Roman" w:hAnsi="Times New Roman" w:cs="Times New Roman"/>
          <w:color w:val="000000"/>
          <w:sz w:val="24"/>
          <w:szCs w:val="24"/>
        </w:rPr>
        <w:t xml:space="preserve"> memberikan maklumat untuk pembentukan dasar kesihatan awam yang relevan dengan komuniti.</w:t>
      </w:r>
    </w:p>
    <w:p w14:paraId="78C09F49"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10AB9FF2" w14:textId="77777777" w:rsidR="00C87779" w:rsidRDefault="004A3C5B">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Ekopelancongan dan pembangunan ekonomi lestari</w:t>
      </w:r>
    </w:p>
    <w:p w14:paraId="2323B419"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BC0EADD"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Sektor pelancongan merupakan sektor yang menyumbang di dalam ekonomi negara, oleh itu kajian masa depan harus meneroka model pelancongan lestari yang dapat menghasilkan manfaat ekonomi sambil melindungi alam sekitar. Kajian masa hadapan boleh memberi tumpuan kepada ekopelancongan, di mana memberi kesan minimum terhadap alam sekitar dan menggalakkan penglibatan komuniti tempatan. Kajian khusus boleh meneliti amalan pengurusan sisa di kawasan pelancongan utama, menganalisis bagaimana sistem pelupusan sisa dan kitar semula yang lestari boleh mengurangkan jejak ekologi aktiviti pelancongan. Selain itu, kajian analisis kitaran hayat infrastruktur pelancongan seperti tempat peranginan dan kemudahan rekreasi akan membantu </w:t>
      </w:r>
      <w:r>
        <w:rPr>
          <w:rFonts w:ascii="Times New Roman" w:eastAsia="Times New Roman" w:hAnsi="Times New Roman" w:cs="Times New Roman"/>
          <w:color w:val="000000"/>
          <w:sz w:val="24"/>
          <w:szCs w:val="24"/>
        </w:rPr>
        <w:lastRenderedPageBreak/>
        <w:t>dalam proses pembinaan sehingga pelupusan. Ini seterusnya memaklumkan dasar yang menyokong pelancongan, mengimbangi potensi ekonomi pelancongan dengan komitmen negara terhadap pemuliharaan alam sekitar. Kajian sedemikian juga akan menyokong biodiversiti dan warisan budaya tempatan dan memastikan pertumbuhan pelancongan tanpa menjejaskan sumber semula jadi.</w:t>
      </w:r>
    </w:p>
    <w:p w14:paraId="22FEFA93"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2ADFAE86" w14:textId="77777777" w:rsidR="00C87779" w:rsidRDefault="004A3C5B">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Reformasi pendidikan untuk pembelajaran digital dan lestari</w:t>
      </w:r>
    </w:p>
    <w:p w14:paraId="62370B57"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74BAFF70"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Pandemik COVID-19 didapati telah mempercepatkan kaedah penerapan pembelajaran dalam talian tetapi memberi peluang dan cabaran dalam pendidikan digital. Kajian masa depan boleh mengkaji kaedah dalam meningkatkan medium digital untuk pembelajaran dengan fokus kepada faktor seperti motivasi pelajar, penglibatan dan keberkesanan instrumen e-pembelajaran. Selain itu, kajian juga boleh meneroka kaedah untuk </w:t>
      </w:r>
      <w:r>
        <w:rPr>
          <w:rFonts w:ascii="Times New Roman" w:eastAsia="Times New Roman" w:hAnsi="Times New Roman" w:cs="Times New Roman"/>
          <w:sz w:val="24"/>
          <w:szCs w:val="24"/>
        </w:rPr>
        <w:t>menggabungkan</w:t>
      </w:r>
      <w:r>
        <w:rPr>
          <w:rFonts w:ascii="Times New Roman" w:eastAsia="Times New Roman" w:hAnsi="Times New Roman" w:cs="Times New Roman"/>
          <w:color w:val="000000"/>
          <w:sz w:val="24"/>
          <w:szCs w:val="24"/>
        </w:rPr>
        <w:t xml:space="preserve"> istilah kelestarian dalam kurikulum digital. Ini bertujuan menyediakan pelajar menangani cabaran alam sekitar. Tambahan pula, kajian boleh fokus dalam peranan media sosial dalam pendidikan dengan meneliti bagaimana medium ini boleh digunakan sebagai instrumen pendidikan untuk memupuk interaksi pelajar dan perkongsian ilmu. Hal ini penting untuk menyediakan golongan belia pada masa krisis hadapan. </w:t>
      </w:r>
    </w:p>
    <w:p w14:paraId="44E66F09"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573E9624" w14:textId="77777777" w:rsidR="00C87779" w:rsidRDefault="004A3C5B">
      <w:pPr>
        <w:numPr>
          <w:ilvl w:val="0"/>
          <w:numId w:val="1"/>
        </w:numPr>
        <w:pBdr>
          <w:top w:val="nil"/>
          <w:left w:val="nil"/>
          <w:bottom w:val="nil"/>
          <w:right w:val="nil"/>
          <w:between w:val="nil"/>
        </w:pBdr>
        <w:spacing w:after="0" w:line="240"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Kesan alam sekitar dan pembangunan dasar</w:t>
      </w:r>
    </w:p>
    <w:p w14:paraId="1712D62C"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48AF0976" w14:textId="77777777" w:rsidR="00C87779" w:rsidRDefault="004A3C5B">
      <w:pPr>
        <w:spacing w:after="0" w:line="240" w:lineRule="auto"/>
        <w:ind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Kajian lanjutan boleh fokus kepada kesan alam sekitar dan penerapan tenaga boleh diperbaharui. Kajian boleh meneliti peranan dasar dalam proses peralihan kepada sumber tenaga boleh diperbaharui seperti tenaga suria dan biojisim. Ini meliputi kajian terhadap penilaian insentif, cabaran dan halangan yang dihadapi dalam sektor-sektor tertentu. Kajian juga boleh menganalisis kesan alam sekitar industri secara menyeluruh dengan mengenal pasti sektor tertentu di mana penglibatan dasar boleh memberi kesan terbesar dalam mengurangkan pencemaran dan pelepasan karbon. Di samping itu, mengkaji kebolehlaksanaan ekonomi bagi pilihan tenaga boleh diperbaharui untuk negeri-negeri tertentu akan memberikan hala tuju kepada pihak pembuat dasar dalam membantu dalam pengagihan sumber kepada projek-projek yang lestari. </w:t>
      </w:r>
    </w:p>
    <w:p w14:paraId="7E0AC589"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7E491885" w14:textId="77777777" w:rsidR="00C87779" w:rsidRDefault="00C87779">
      <w:pPr>
        <w:spacing w:after="0" w:line="240" w:lineRule="auto"/>
        <w:ind w:hanging="2"/>
        <w:jc w:val="both"/>
        <w:rPr>
          <w:rFonts w:ascii="Times New Roman" w:eastAsia="Times New Roman" w:hAnsi="Times New Roman" w:cs="Times New Roman"/>
          <w:color w:val="000000"/>
          <w:sz w:val="24"/>
          <w:szCs w:val="24"/>
        </w:rPr>
      </w:pPr>
    </w:p>
    <w:p w14:paraId="553E9AFB" w14:textId="77777777" w:rsidR="00C87779" w:rsidRDefault="004A3C5B">
      <w:pPr>
        <w:spacing w:after="0" w:line="240" w:lineRule="auto"/>
        <w:ind w:hanging="2"/>
        <w:rPr>
          <w:rFonts w:ascii="Times New Roman" w:eastAsia="Times New Roman" w:hAnsi="Times New Roman" w:cs="Times New Roman"/>
          <w:sz w:val="24"/>
          <w:szCs w:val="24"/>
        </w:rPr>
      </w:pPr>
      <w:r>
        <w:rPr>
          <w:rFonts w:ascii="Times New Roman" w:eastAsia="Times New Roman" w:hAnsi="Times New Roman" w:cs="Times New Roman"/>
          <w:b/>
          <w:sz w:val="24"/>
          <w:szCs w:val="24"/>
        </w:rPr>
        <w:t>Kesimpulan</w:t>
      </w:r>
    </w:p>
    <w:p w14:paraId="5DCC61FA" w14:textId="77777777" w:rsidR="00C87779" w:rsidRDefault="00C87779">
      <w:pPr>
        <w:spacing w:after="0" w:line="240" w:lineRule="auto"/>
        <w:ind w:hanging="2"/>
        <w:rPr>
          <w:rFonts w:ascii="Times New Roman" w:eastAsia="Times New Roman" w:hAnsi="Times New Roman" w:cs="Times New Roman"/>
          <w:sz w:val="24"/>
          <w:szCs w:val="24"/>
        </w:rPr>
      </w:pPr>
    </w:p>
    <w:p w14:paraId="04D7A903" w14:textId="77777777" w:rsidR="00C87779" w:rsidRDefault="004A3C5B">
      <w:pPr>
        <w:spacing w:after="0" w:line="240" w:lineRule="auto"/>
        <w:ind w:left="-2"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Tujuan kajian ini ialah menganalisis penyelidikan bidang sains sosial UKM yang relevan dengan kawasan serantau. Dengan menggunakan bilangan minimum kejadian sebanyak 10 tetapan kata kunci, lima kata kunci yang teratas ialah Malaysia, </w:t>
      </w:r>
      <w:r>
        <w:rPr>
          <w:rFonts w:ascii="Times New Roman" w:eastAsia="Times New Roman" w:hAnsi="Times New Roman" w:cs="Times New Roman"/>
          <w:i/>
          <w:sz w:val="24"/>
          <w:szCs w:val="24"/>
        </w:rPr>
        <w:t>sustainability</w:t>
      </w:r>
      <w:r>
        <w:rPr>
          <w:rFonts w:ascii="Times New Roman" w:eastAsia="Times New Roman" w:hAnsi="Times New Roman" w:cs="Times New Roman"/>
          <w:sz w:val="24"/>
          <w:szCs w:val="24"/>
        </w:rPr>
        <w:t xml:space="preserve">, COVID-19, </w:t>
      </w:r>
      <w:r>
        <w:rPr>
          <w:rFonts w:ascii="Times New Roman" w:eastAsia="Times New Roman" w:hAnsi="Times New Roman" w:cs="Times New Roman"/>
          <w:i/>
          <w:sz w:val="24"/>
          <w:szCs w:val="24"/>
        </w:rPr>
        <w:t>human</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education</w:t>
      </w:r>
      <w:r>
        <w:rPr>
          <w:rFonts w:ascii="Times New Roman" w:eastAsia="Times New Roman" w:hAnsi="Times New Roman" w:cs="Times New Roman"/>
          <w:sz w:val="24"/>
          <w:szCs w:val="24"/>
        </w:rPr>
        <w:t xml:space="preserve">. Istilah yang terbaru dikaji merangkumi </w:t>
      </w:r>
      <w:r>
        <w:rPr>
          <w:rFonts w:ascii="Times New Roman" w:eastAsia="Times New Roman" w:hAnsi="Times New Roman" w:cs="Times New Roman"/>
          <w:i/>
          <w:sz w:val="24"/>
          <w:szCs w:val="24"/>
        </w:rPr>
        <w:t>spatiotemporal analysis</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economic development</w:t>
      </w:r>
      <w:r>
        <w:rPr>
          <w:rFonts w:ascii="Times New Roman" w:eastAsia="Times New Roman" w:hAnsi="Times New Roman" w:cs="Times New Roman"/>
          <w:sz w:val="24"/>
          <w:szCs w:val="24"/>
        </w:rPr>
        <w:t xml:space="preserve">, China, </w:t>
      </w:r>
      <w:r>
        <w:rPr>
          <w:rFonts w:ascii="Times New Roman" w:eastAsia="Times New Roman" w:hAnsi="Times New Roman" w:cs="Times New Roman"/>
          <w:i/>
          <w:sz w:val="24"/>
          <w:szCs w:val="24"/>
        </w:rPr>
        <w:t>artificial neural network</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energy efficiency, corporate social responsibility, wastewater treatment</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public attitude</w:t>
      </w:r>
      <w:r>
        <w:rPr>
          <w:rFonts w:ascii="Times New Roman" w:eastAsia="Times New Roman" w:hAnsi="Times New Roman" w:cs="Times New Roman"/>
          <w:sz w:val="24"/>
          <w:szCs w:val="24"/>
        </w:rPr>
        <w:t>. Analisis bibliometrik kajian mengenal pasti 165 item kata kunci, dan dikategorikan dalam tujuh kelompok kluster. Kluster-kluster yang dikenal pasti memberikan pandangan yang khusus seperti kelestarian, teknologi, pendidikan dan sikap masyarakat tempatan. Hasil dapatan menekankan kepentingan pendekatan bersepadu yang menyelaraskan pertumbuhan ekonomi dengan tanggungjawab terhadap alam sekitar dan sosial, seterusnya menyokong visi untuk masa depan yang lestari. Kluster kelestarian fokus aspek seperti peralihan tenaga, pengurusan sisa, pembangunan dasar dan kerjasama serantau.</w:t>
      </w:r>
      <w:r>
        <w:t xml:space="preserve"> </w:t>
      </w:r>
      <w:r>
        <w:rPr>
          <w:rFonts w:ascii="Times New Roman" w:eastAsia="Times New Roman" w:hAnsi="Times New Roman" w:cs="Times New Roman"/>
          <w:sz w:val="24"/>
          <w:szCs w:val="24"/>
        </w:rPr>
        <w:t xml:space="preserve">Kluster pendidikan fokus topik-topik yang berkaitan e-pembelajaran, pembelajaran dalam talian, motivasi pelajar, </w:t>
      </w:r>
      <w:r>
        <w:rPr>
          <w:rFonts w:ascii="Times New Roman" w:eastAsia="Times New Roman" w:hAnsi="Times New Roman" w:cs="Times New Roman"/>
          <w:sz w:val="24"/>
          <w:szCs w:val="24"/>
        </w:rPr>
        <w:lastRenderedPageBreak/>
        <w:t>media sosial dan COVID-19.</w:t>
      </w:r>
      <w:r>
        <w:t xml:space="preserve"> </w:t>
      </w:r>
      <w:r>
        <w:rPr>
          <w:rFonts w:ascii="Times New Roman" w:eastAsia="Times New Roman" w:hAnsi="Times New Roman" w:cs="Times New Roman"/>
          <w:sz w:val="24"/>
          <w:szCs w:val="24"/>
        </w:rPr>
        <w:t>Kluster Barat Malaysia berpusat kepada bidang teknologi dan analitik, seperti pembelajaran mesin, penderiaan jauh dan GIS. Salah satu khusus dapatan kajian ialah ekopelancogan. Ekopelancongan ini mencerminkan fokus penyelidikan dalam sektor pelancongan yang selaras dengan pemeliharaan alam sekitar dan kelestarian. Selain itu, Kajian ini juga mengenal pasti lima hala tuju kajian masa depan untuk menyokong pembangunan lestari di Malaysia. Secara keseluruhannya, integrasi teknologi dalam kelestarian boleh membantu dalam mencapai SDG dengan kadar yang lebih pantas, sementara kajian dalam kesihatan awam dan sikap masyarakat membantu memahami perbezaan kawasan dan meningkatkan literasi kesihatan. Selain itu, ekopelancongan membentuk model pertumbuhan ekonomi berimpak rendah dan reformasi pendidikan digital serta lestari dapat memupuk kesedaran alam sekitar. Tambahan pula, kajian dasar alam sekitar pula dapat mempercepat proses peralihan ke tenaga boleh diperbaharui. Kesimpulannya, fokus bidang kajian ini membolehkan mencapai pertumbuhan yang inklusif dan bertanggungjawab terhadap alam sekitar.</w:t>
      </w:r>
    </w:p>
    <w:p w14:paraId="607B8EDC" w14:textId="77777777" w:rsidR="00C87779" w:rsidRDefault="004A3C5B">
      <w:pPr>
        <w:spacing w:after="0" w:line="240" w:lineRule="auto"/>
        <w:ind w:left="-2" w:firstLine="72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Kajian ini memberikan sumbangan yang signifikan dari segi teori dan praktikal dengan memetakan perkembangan kajian bidang sains sosial UKM melalui trend terkini dan pengenalpastian bidang yang kurang dikaji yang memerlukan kajian lanjut. Ia menyediakan asas berasaskan bukti untuk perancangan strategik penyelidikan dan pembangunan (R&amp;D), reka bentuk kurikulum akademik dan keutamaan dasar. Penemuan ini membantu badan pemberi dana, pendidik dan pembuat dasar dalam memperuntukkan sumber ke arah bidang penyelidikan kontemporari dan berimpak tinggi. Pendekatan analisis bibliometrik ini mampu memetakan kluster penyelidikan dan mengenal pasti bidang khusus untuk tumpuan masa hadapan. Namun, ini adalah penting bahawa kajian ini terhad kepada penerbitan yang hanya terdapat dalam pangkalan data Scopus. Oleh itu, disarankan untuk menjalankan penilaian daripada pelbagai pangkalan data seperti </w:t>
      </w:r>
      <w:r>
        <w:rPr>
          <w:rFonts w:ascii="Times New Roman" w:eastAsia="Times New Roman" w:hAnsi="Times New Roman" w:cs="Times New Roman"/>
          <w:i/>
          <w:sz w:val="24"/>
          <w:szCs w:val="24"/>
        </w:rPr>
        <w:t>Web of Science</w:t>
      </w:r>
      <w:r>
        <w:rPr>
          <w:rFonts w:ascii="Times New Roman" w:eastAsia="Times New Roman" w:hAnsi="Times New Roman" w:cs="Times New Roman"/>
          <w:sz w:val="24"/>
          <w:szCs w:val="24"/>
        </w:rPr>
        <w:t xml:space="preserve"> (WoS), </w:t>
      </w:r>
      <w:r>
        <w:rPr>
          <w:rFonts w:ascii="Times New Roman" w:eastAsia="Times New Roman" w:hAnsi="Times New Roman" w:cs="Times New Roman"/>
          <w:i/>
          <w:sz w:val="24"/>
          <w:szCs w:val="24"/>
        </w:rPr>
        <w:t>Dimensions</w:t>
      </w:r>
      <w:r>
        <w:rPr>
          <w:rFonts w:ascii="Times New Roman" w:eastAsia="Times New Roman" w:hAnsi="Times New Roman" w:cs="Times New Roman"/>
          <w:sz w:val="24"/>
          <w:szCs w:val="24"/>
        </w:rPr>
        <w:t xml:space="preserve"> dan </w:t>
      </w:r>
      <w:r>
        <w:rPr>
          <w:rFonts w:ascii="Times New Roman" w:eastAsia="Times New Roman" w:hAnsi="Times New Roman" w:cs="Times New Roman"/>
          <w:i/>
          <w:sz w:val="24"/>
          <w:szCs w:val="24"/>
        </w:rPr>
        <w:t>Lens</w:t>
      </w:r>
      <w:r>
        <w:rPr>
          <w:rFonts w:ascii="Times New Roman" w:eastAsia="Times New Roman" w:hAnsi="Times New Roman" w:cs="Times New Roman"/>
          <w:sz w:val="24"/>
          <w:szCs w:val="24"/>
        </w:rPr>
        <w:t xml:space="preserve">. Di samping itu, kajian akan datang juga boleh menggunakan instrumen pelengkap lain seperti </w:t>
      </w:r>
      <w:r>
        <w:rPr>
          <w:rFonts w:ascii="Times New Roman" w:eastAsia="Times New Roman" w:hAnsi="Times New Roman" w:cs="Times New Roman"/>
          <w:i/>
          <w:sz w:val="24"/>
          <w:szCs w:val="24"/>
        </w:rPr>
        <w:t>BiblioShiny</w:t>
      </w:r>
      <w:r>
        <w:rPr>
          <w:rFonts w:ascii="Times New Roman" w:eastAsia="Times New Roman" w:hAnsi="Times New Roman" w:cs="Times New Roman"/>
          <w:sz w:val="24"/>
          <w:szCs w:val="24"/>
        </w:rPr>
        <w:t xml:space="preserve"> atau </w:t>
      </w:r>
      <w:r>
        <w:rPr>
          <w:rFonts w:ascii="Times New Roman" w:eastAsia="Times New Roman" w:hAnsi="Times New Roman" w:cs="Times New Roman"/>
          <w:i/>
          <w:sz w:val="24"/>
          <w:szCs w:val="24"/>
        </w:rPr>
        <w:t xml:space="preserve">CiteSpace </w:t>
      </w:r>
      <w:r>
        <w:rPr>
          <w:rFonts w:ascii="Times New Roman" w:eastAsia="Times New Roman" w:hAnsi="Times New Roman" w:cs="Times New Roman"/>
          <w:sz w:val="24"/>
          <w:szCs w:val="24"/>
        </w:rPr>
        <w:t>untuk analisis rangkaian bibliometrik dan pemetaan temporal. Dengan memperluaskan sumber data dan kaedah analisis yang digunakan, usaha-usaha ini akan memberikan pemahaman yang lebih komprehensif mengenai landskap kajian bidang sains sosial UKM.</w:t>
      </w:r>
    </w:p>
    <w:p w14:paraId="7F2485A7" w14:textId="77777777" w:rsidR="00C87779" w:rsidRDefault="00C87779">
      <w:pPr>
        <w:spacing w:after="0" w:line="240" w:lineRule="auto"/>
        <w:ind w:hanging="2"/>
        <w:rPr>
          <w:rFonts w:ascii="Times New Roman" w:eastAsia="Times New Roman" w:hAnsi="Times New Roman" w:cs="Times New Roman"/>
          <w:sz w:val="24"/>
          <w:szCs w:val="24"/>
        </w:rPr>
      </w:pPr>
    </w:p>
    <w:p w14:paraId="372861E9" w14:textId="77777777" w:rsidR="00C87779" w:rsidRDefault="00C87779">
      <w:pPr>
        <w:spacing w:after="0" w:line="240" w:lineRule="auto"/>
        <w:ind w:hanging="2"/>
        <w:rPr>
          <w:rFonts w:ascii="Times New Roman" w:eastAsia="Times New Roman" w:hAnsi="Times New Roman" w:cs="Times New Roman"/>
          <w:sz w:val="24"/>
          <w:szCs w:val="24"/>
        </w:rPr>
      </w:pPr>
    </w:p>
    <w:p w14:paraId="2341066E" w14:textId="77777777" w:rsidR="00C87779" w:rsidRDefault="004A3C5B">
      <w:pPr>
        <w:spacing w:after="0" w:line="240" w:lineRule="auto"/>
        <w:ind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Rujukan</w:t>
      </w:r>
    </w:p>
    <w:p w14:paraId="10A07B30" w14:textId="77777777" w:rsidR="00C87779" w:rsidRDefault="00C87779">
      <w:pPr>
        <w:spacing w:after="0" w:line="240" w:lineRule="auto"/>
        <w:ind w:hanging="2"/>
        <w:rPr>
          <w:rFonts w:ascii="Times New Roman" w:eastAsia="Times New Roman" w:hAnsi="Times New Roman" w:cs="Times New Roman"/>
          <w:sz w:val="24"/>
          <w:szCs w:val="24"/>
        </w:rPr>
      </w:pPr>
    </w:p>
    <w:p w14:paraId="231D9B0A"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Abu Bakar, M. F., &amp; A Kadir, N. (2021). Persepsi komuniti kampus terhadap inisiatif dan amalan kelestarian di Universiti Sains Malaysia. </w:t>
      </w:r>
      <w:r>
        <w:rPr>
          <w:rFonts w:ascii="Times New Roman" w:eastAsia="Times New Roman" w:hAnsi="Times New Roman" w:cs="Times New Roman"/>
          <w:i/>
          <w:sz w:val="24"/>
          <w:szCs w:val="24"/>
        </w:rPr>
        <w:t>Geografia-Malaysian Journal of Society and Space, 17</w:t>
      </w:r>
      <w:r>
        <w:rPr>
          <w:rFonts w:ascii="Times New Roman" w:eastAsia="Times New Roman" w:hAnsi="Times New Roman" w:cs="Times New Roman"/>
          <w:sz w:val="24"/>
          <w:szCs w:val="24"/>
        </w:rPr>
        <w:t>(1), 227-237.</w:t>
      </w:r>
    </w:p>
    <w:p w14:paraId="41D182A2"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 S. Y., &amp; Mat Saat, G. A. (2024). Sociological factors of women criminality: A systematic review. </w:t>
      </w:r>
      <w:r>
        <w:rPr>
          <w:rFonts w:ascii="Times New Roman" w:eastAsia="Times New Roman" w:hAnsi="Times New Roman" w:cs="Times New Roman"/>
          <w:i/>
          <w:sz w:val="24"/>
          <w:szCs w:val="24"/>
        </w:rPr>
        <w:t>Geografia-Malaysian Journal of Society and Space, 20</w:t>
      </w:r>
      <w:r>
        <w:rPr>
          <w:rFonts w:ascii="Times New Roman" w:eastAsia="Times New Roman" w:hAnsi="Times New Roman" w:cs="Times New Roman"/>
          <w:sz w:val="24"/>
          <w:szCs w:val="24"/>
        </w:rPr>
        <w:t xml:space="preserve">(3), 155-170. </w:t>
      </w:r>
    </w:p>
    <w:p w14:paraId="1D8D5CF1"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Ang, S. Y., Kamaluddin, M. R., Mohd Nasir, N. C., AbRahman, R. M., &amp; Rathakrishnan, B. (2021). Pengaruh kawalan kendiri, pencarian sensasi dan pengherotan kognitif terhadap sikap pro-jenayah dalam kalangan belia institusi pengajian tinggi di Malaysia. </w:t>
      </w:r>
      <w:r>
        <w:rPr>
          <w:rFonts w:ascii="Times New Roman" w:eastAsia="Times New Roman" w:hAnsi="Times New Roman" w:cs="Times New Roman"/>
          <w:i/>
          <w:sz w:val="24"/>
          <w:szCs w:val="24"/>
        </w:rPr>
        <w:t>Geografia-Malaysian Journal of Society and Space, 17</w:t>
      </w:r>
      <w:r>
        <w:rPr>
          <w:rFonts w:ascii="Times New Roman" w:eastAsia="Times New Roman" w:hAnsi="Times New Roman" w:cs="Times New Roman"/>
          <w:sz w:val="24"/>
          <w:szCs w:val="24"/>
        </w:rPr>
        <w:t>(2), 261-274.</w:t>
      </w:r>
      <w:r>
        <w:t xml:space="preserve"> </w:t>
      </w:r>
    </w:p>
    <w:p w14:paraId="53334618"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Anuar Ghazali, M. K., Saleh, Y., &amp; Mahat, H. (2021). Pembinaan kerangka konstruk kelestarian bandar warisan di Malaysia. </w:t>
      </w:r>
      <w:r>
        <w:rPr>
          <w:rFonts w:ascii="Times New Roman" w:eastAsia="Times New Roman" w:hAnsi="Times New Roman" w:cs="Times New Roman"/>
          <w:i/>
          <w:sz w:val="24"/>
          <w:szCs w:val="24"/>
        </w:rPr>
        <w:t>Geografia-Malaysian Journal of Society and Space, 17</w:t>
      </w:r>
      <w:r>
        <w:rPr>
          <w:rFonts w:ascii="Times New Roman" w:eastAsia="Times New Roman" w:hAnsi="Times New Roman" w:cs="Times New Roman"/>
          <w:sz w:val="24"/>
          <w:szCs w:val="24"/>
        </w:rPr>
        <w:t>(1), 211-226.</w:t>
      </w:r>
    </w:p>
    <w:p w14:paraId="7114D790"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Arifin, K., &amp; Derahim, N. (2020). Dimensi iklim keselamatan rakan sekerja bagi system pengangkutan rel bandar. </w:t>
      </w:r>
      <w:r>
        <w:rPr>
          <w:rFonts w:ascii="Times New Roman" w:eastAsia="Times New Roman" w:hAnsi="Times New Roman" w:cs="Times New Roman"/>
          <w:i/>
          <w:sz w:val="24"/>
          <w:szCs w:val="24"/>
        </w:rPr>
        <w:t>Geografia-Malaysian Journal of Society and Space, 16</w:t>
      </w:r>
      <w:r>
        <w:rPr>
          <w:rFonts w:ascii="Times New Roman" w:eastAsia="Times New Roman" w:hAnsi="Times New Roman" w:cs="Times New Roman"/>
          <w:sz w:val="24"/>
          <w:szCs w:val="24"/>
        </w:rPr>
        <w:t>(2), 53-65.</w:t>
      </w:r>
    </w:p>
    <w:p w14:paraId="479EAF24"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Asnawi, N. H., Lam, K. C., Che Rose, R. A., Widiawaty, M. A., Dede, M., &amp; Muhammad, F. N. (2024). Impacts of urban land use and land cover changes on land surface temperature in Kuala Lumpur, Malaysia. </w:t>
      </w:r>
      <w:r>
        <w:rPr>
          <w:rFonts w:ascii="Times New Roman" w:eastAsia="Times New Roman" w:hAnsi="Times New Roman" w:cs="Times New Roman"/>
          <w:i/>
          <w:sz w:val="24"/>
          <w:szCs w:val="24"/>
        </w:rPr>
        <w:t>Geografia-Malaysian Journal of Society and Space, 20</w:t>
      </w:r>
      <w:r>
        <w:rPr>
          <w:rFonts w:ascii="Times New Roman" w:eastAsia="Times New Roman" w:hAnsi="Times New Roman" w:cs="Times New Roman"/>
          <w:sz w:val="24"/>
          <w:szCs w:val="24"/>
        </w:rPr>
        <w:t>(1), 99-120.</w:t>
      </w:r>
    </w:p>
    <w:p w14:paraId="2DB1CD6C"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Bukar, U. A., Sayeed, M. S., Razak, S. F. A., Yogarayan, S., Amodu, O. A., &amp; Mahmood, R. A. R. (2023). A method for analyzing text using VOSviewer. </w:t>
      </w:r>
      <w:r>
        <w:rPr>
          <w:rFonts w:ascii="Times New Roman" w:eastAsia="Times New Roman" w:hAnsi="Times New Roman" w:cs="Times New Roman"/>
          <w:i/>
          <w:sz w:val="24"/>
          <w:szCs w:val="24"/>
        </w:rPr>
        <w:t>MethodsX, 11</w:t>
      </w:r>
      <w:r>
        <w:rPr>
          <w:rFonts w:ascii="Times New Roman" w:eastAsia="Times New Roman" w:hAnsi="Times New Roman" w:cs="Times New Roman"/>
          <w:sz w:val="24"/>
          <w:szCs w:val="24"/>
        </w:rPr>
        <w:t>, 102339.</w:t>
      </w:r>
    </w:p>
    <w:p w14:paraId="19227DCE"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Slegte, J., Van Droogenbroeck, F., Spruyt, B., Verboven, S., &amp; Ginis, V. (2024). The use of machine learning methods in political science: An in-depth literature review. </w:t>
      </w:r>
      <w:r>
        <w:rPr>
          <w:rFonts w:ascii="Times New Roman" w:eastAsia="Times New Roman" w:hAnsi="Times New Roman" w:cs="Times New Roman"/>
          <w:i/>
          <w:sz w:val="24"/>
          <w:szCs w:val="24"/>
        </w:rPr>
        <w:t>Political Studies Review, 23</w:t>
      </w:r>
      <w:r>
        <w:rPr>
          <w:rFonts w:ascii="Times New Roman" w:eastAsia="Times New Roman" w:hAnsi="Times New Roman" w:cs="Times New Roman"/>
          <w:sz w:val="24"/>
          <w:szCs w:val="24"/>
        </w:rPr>
        <w:t>(3), 764-784.</w:t>
      </w:r>
    </w:p>
    <w:p w14:paraId="5B410BF2"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Demirtaş Ç., &amp; Altun A. (2024). A knowledge literacy model proposal for social studies education on the basis of social sciences. </w:t>
      </w:r>
      <w:r>
        <w:rPr>
          <w:rFonts w:ascii="Times New Roman" w:eastAsia="Times New Roman" w:hAnsi="Times New Roman" w:cs="Times New Roman"/>
          <w:i/>
          <w:sz w:val="24"/>
          <w:szCs w:val="24"/>
        </w:rPr>
        <w:t>Egitim ve Bilim, 49</w:t>
      </w:r>
      <w:r>
        <w:rPr>
          <w:rFonts w:ascii="Times New Roman" w:eastAsia="Times New Roman" w:hAnsi="Times New Roman" w:cs="Times New Roman"/>
          <w:sz w:val="24"/>
          <w:szCs w:val="24"/>
        </w:rPr>
        <w:t>(218), 79-104.</w:t>
      </w:r>
    </w:p>
    <w:p w14:paraId="69742106"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 Franco, G., &amp; Santurro, M. (2023). From big data to machine learning: An empirical application for social sciences. </w:t>
      </w:r>
      <w:r>
        <w:rPr>
          <w:rFonts w:ascii="Times New Roman" w:eastAsia="Times New Roman" w:hAnsi="Times New Roman" w:cs="Times New Roman"/>
          <w:i/>
          <w:sz w:val="24"/>
          <w:szCs w:val="24"/>
        </w:rPr>
        <w:t>Athens Journal of Social Sciences, 10</w:t>
      </w:r>
      <w:r>
        <w:rPr>
          <w:rFonts w:ascii="Times New Roman" w:eastAsia="Times New Roman" w:hAnsi="Times New Roman" w:cs="Times New Roman"/>
          <w:sz w:val="24"/>
          <w:szCs w:val="24"/>
        </w:rPr>
        <w:t>(2), 79-100.</w:t>
      </w:r>
    </w:p>
    <w:p w14:paraId="2723C26A"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Filippis, R., &amp; Foysal, A. A. (2024). Insights Unveiled: Harnessing AI to explore human behaviour in social sciences. </w:t>
      </w:r>
      <w:r>
        <w:rPr>
          <w:rFonts w:ascii="Times New Roman" w:eastAsia="Times New Roman" w:hAnsi="Times New Roman" w:cs="Times New Roman"/>
          <w:i/>
          <w:sz w:val="24"/>
          <w:szCs w:val="24"/>
        </w:rPr>
        <w:t>Journal of Mathematical Techniques and Computational Mathematics, 3</w:t>
      </w:r>
      <w:r>
        <w:rPr>
          <w:rFonts w:ascii="Times New Roman" w:eastAsia="Times New Roman" w:hAnsi="Times New Roman" w:cs="Times New Roman"/>
          <w:sz w:val="24"/>
          <w:szCs w:val="24"/>
        </w:rPr>
        <w:t xml:space="preserve">(5), 1-8. </w:t>
      </w:r>
    </w:p>
    <w:p w14:paraId="21E6312E"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Iacus, S. M. (2017). Big data and social science - A practical guide to methods and tools. </w:t>
      </w:r>
      <w:r>
        <w:rPr>
          <w:rFonts w:ascii="Times New Roman" w:eastAsia="Times New Roman" w:hAnsi="Times New Roman" w:cs="Times New Roman"/>
          <w:i/>
          <w:sz w:val="24"/>
          <w:szCs w:val="24"/>
        </w:rPr>
        <w:t>Journal of Statistical Software,</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78</w:t>
      </w:r>
      <w:r>
        <w:rPr>
          <w:rFonts w:ascii="Times New Roman" w:eastAsia="Times New Roman" w:hAnsi="Times New Roman" w:cs="Times New Roman"/>
          <w:sz w:val="24"/>
          <w:szCs w:val="24"/>
        </w:rPr>
        <w:t xml:space="preserve">(2), 1-22. </w:t>
      </w:r>
    </w:p>
    <w:p w14:paraId="16F96EEE"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Isnin, I., Mohamed, N. M. N., &amp; Haji Haml, J. (2022). Politik Melaka kontemporari: Analisis pilihan raya umum negeri Melaka 2021 dan selanjutnya. </w:t>
      </w:r>
      <w:r>
        <w:rPr>
          <w:rFonts w:ascii="Times New Roman" w:eastAsia="Times New Roman" w:hAnsi="Times New Roman" w:cs="Times New Roman"/>
          <w:i/>
          <w:sz w:val="24"/>
          <w:szCs w:val="24"/>
        </w:rPr>
        <w:t>Geografia-Malaysian Journal of Society and Space, 8</w:t>
      </w:r>
      <w:r>
        <w:rPr>
          <w:rFonts w:ascii="Times New Roman" w:eastAsia="Times New Roman" w:hAnsi="Times New Roman" w:cs="Times New Roman"/>
          <w:sz w:val="24"/>
          <w:szCs w:val="24"/>
        </w:rPr>
        <w:t>(3), 185-199.</w:t>
      </w:r>
    </w:p>
    <w:p w14:paraId="7A21634B"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Khoong, T. W., Baba, M., Kumara, K. A., Chong, K. F., Ow, M. W., &amp; Phuah, K. T. (2024). ASEAN geology bibliometric analysis: A way forward for sustainable development. </w:t>
      </w:r>
      <w:r>
        <w:rPr>
          <w:rFonts w:ascii="Times New Roman" w:eastAsia="Times New Roman" w:hAnsi="Times New Roman" w:cs="Times New Roman"/>
          <w:i/>
          <w:sz w:val="24"/>
          <w:szCs w:val="24"/>
        </w:rPr>
        <w:t>Bulletin of the Geological Society of Malaysia, 78</w:t>
      </w:r>
      <w:r>
        <w:rPr>
          <w:rFonts w:ascii="Times New Roman" w:eastAsia="Times New Roman" w:hAnsi="Times New Roman" w:cs="Times New Roman"/>
          <w:sz w:val="24"/>
          <w:szCs w:val="24"/>
        </w:rPr>
        <w:t>, 5-16.</w:t>
      </w:r>
    </w:p>
    <w:p w14:paraId="6DEB3558"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Khoong, T. W., Phuah, K. T., Ow, M. W., &amp; Lin, K. L. (2023). Aplikasi tingkah laku kewangan: Kajian kes pengeluaran pra-persaraan skim pencen sewaktu pandemik crisis COVID-19 (Financial behaviour application: A study of pre-withdrawal pension scheme during pandemic COVID-19 crisis). </w:t>
      </w:r>
      <w:r>
        <w:rPr>
          <w:rFonts w:ascii="Times New Roman" w:eastAsia="Times New Roman" w:hAnsi="Times New Roman" w:cs="Times New Roman"/>
          <w:i/>
          <w:sz w:val="24"/>
          <w:szCs w:val="24"/>
        </w:rPr>
        <w:t>Geografia-Malaysian Journal of Society and Space, 17</w:t>
      </w:r>
      <w:r>
        <w:rPr>
          <w:rFonts w:ascii="Times New Roman" w:eastAsia="Times New Roman" w:hAnsi="Times New Roman" w:cs="Times New Roman"/>
          <w:sz w:val="24"/>
          <w:szCs w:val="24"/>
        </w:rPr>
        <w:t>(3), 234-245.</w:t>
      </w:r>
    </w:p>
    <w:p w14:paraId="736A6FF8"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Kusuma, K. A., Fauji, I., Faruq Ahmad, F, Khoong, T. W., Ramlan, S. I., &amp; Nordin, N. (2024). Bankziskaand loan </w:t>
      </w:r>
      <w:proofErr w:type="gramStart"/>
      <w:r>
        <w:rPr>
          <w:rFonts w:ascii="Times New Roman" w:eastAsia="Times New Roman" w:hAnsi="Times New Roman" w:cs="Times New Roman"/>
          <w:sz w:val="24"/>
          <w:szCs w:val="24"/>
        </w:rPr>
        <w:t>sharks</w:t>
      </w:r>
      <w:proofErr w:type="gramEnd"/>
      <w:r>
        <w:rPr>
          <w:rFonts w:ascii="Times New Roman" w:eastAsia="Times New Roman" w:hAnsi="Times New Roman" w:cs="Times New Roman"/>
          <w:sz w:val="24"/>
          <w:szCs w:val="24"/>
        </w:rPr>
        <w:t xml:space="preserve"> eradication in Souhteast Asia: Evidence from Indonesia. </w:t>
      </w:r>
      <w:r>
        <w:rPr>
          <w:rFonts w:ascii="Times New Roman" w:eastAsia="Times New Roman" w:hAnsi="Times New Roman" w:cs="Times New Roman"/>
          <w:i/>
          <w:sz w:val="24"/>
          <w:szCs w:val="24"/>
        </w:rPr>
        <w:t>Al-Uqud: Journal of Islamic Economics,8</w:t>
      </w:r>
      <w:r>
        <w:rPr>
          <w:rFonts w:ascii="Times New Roman" w:eastAsia="Times New Roman" w:hAnsi="Times New Roman" w:cs="Times New Roman"/>
          <w:sz w:val="24"/>
          <w:szCs w:val="24"/>
        </w:rPr>
        <w:t>(2), 161-174.</w:t>
      </w:r>
    </w:p>
    <w:p w14:paraId="555678CD"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Lauer, R. (2024). Macrostructural explanation in the social sciences. </w:t>
      </w:r>
      <w:r>
        <w:rPr>
          <w:rFonts w:ascii="Times New Roman" w:eastAsia="Times New Roman" w:hAnsi="Times New Roman" w:cs="Times New Roman"/>
          <w:i/>
          <w:sz w:val="24"/>
          <w:szCs w:val="24"/>
        </w:rPr>
        <w:t>Synthese, 204</w:t>
      </w:r>
      <w:r>
        <w:rPr>
          <w:rFonts w:ascii="Times New Roman" w:eastAsia="Times New Roman" w:hAnsi="Times New Roman" w:cs="Times New Roman"/>
          <w:sz w:val="24"/>
          <w:szCs w:val="24"/>
        </w:rPr>
        <w:t>(95).</w:t>
      </w:r>
    </w:p>
    <w:p w14:paraId="7165261D"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Leitgöb, H., Prandner, D., &amp; Wolbring, T. (2023). Editorial: Big data and machine learning in sociology. </w:t>
      </w:r>
      <w:r>
        <w:rPr>
          <w:rFonts w:ascii="Times New Roman" w:eastAsia="Times New Roman" w:hAnsi="Times New Roman" w:cs="Times New Roman"/>
          <w:i/>
          <w:sz w:val="24"/>
          <w:szCs w:val="24"/>
        </w:rPr>
        <w:t>Frontiers in Sociology, 8</w:t>
      </w:r>
      <w:r>
        <w:rPr>
          <w:rFonts w:ascii="Times New Roman" w:eastAsia="Times New Roman" w:hAnsi="Times New Roman" w:cs="Times New Roman"/>
          <w:sz w:val="24"/>
          <w:szCs w:val="24"/>
        </w:rPr>
        <w:t>, 1173155.</w:t>
      </w:r>
    </w:p>
    <w:p w14:paraId="507417FA"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Letchumanan, K., &amp; Che Rose, R. A. (2021). Cabaran dan isu yang dihadapi dalam pelaksanaan Program Sekolah Lestari di Malaysia. </w:t>
      </w:r>
      <w:r>
        <w:rPr>
          <w:rFonts w:ascii="Times New Roman" w:eastAsia="Times New Roman" w:hAnsi="Times New Roman" w:cs="Times New Roman"/>
          <w:i/>
          <w:sz w:val="24"/>
          <w:szCs w:val="24"/>
        </w:rPr>
        <w:t>Geografia-Malaysian Journal of Society and Space, 17</w:t>
      </w:r>
      <w:r>
        <w:rPr>
          <w:rFonts w:ascii="Times New Roman" w:eastAsia="Times New Roman" w:hAnsi="Times New Roman" w:cs="Times New Roman"/>
          <w:sz w:val="24"/>
          <w:szCs w:val="24"/>
        </w:rPr>
        <w:t>(1), 238-254.</w:t>
      </w:r>
    </w:p>
    <w:p w14:paraId="10C8ABF6"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 </w:t>
      </w:r>
      <w:proofErr w:type="gramStart"/>
      <w:r>
        <w:rPr>
          <w:rFonts w:ascii="Times New Roman" w:eastAsia="Times New Roman" w:hAnsi="Times New Roman" w:cs="Times New Roman"/>
          <w:sz w:val="24"/>
          <w:szCs w:val="24"/>
        </w:rPr>
        <w:t>Nor</w:t>
      </w:r>
      <w:proofErr w:type="gramEnd"/>
      <w:r>
        <w:rPr>
          <w:rFonts w:ascii="Times New Roman" w:eastAsia="Times New Roman" w:hAnsi="Times New Roman" w:cs="Times New Roman"/>
          <w:sz w:val="24"/>
          <w:szCs w:val="24"/>
        </w:rPr>
        <w:t xml:space="preserve">, N. N. F., &amp; Ghazali, S. (2021). Malaysia towards an ageing country. </w:t>
      </w:r>
      <w:r>
        <w:rPr>
          <w:rFonts w:ascii="Times New Roman" w:eastAsia="Times New Roman" w:hAnsi="Times New Roman" w:cs="Times New Roman"/>
          <w:i/>
          <w:sz w:val="24"/>
          <w:szCs w:val="24"/>
        </w:rPr>
        <w:t>Geografia-Malaysian Journal of Society and Space, 19</w:t>
      </w:r>
      <w:r>
        <w:rPr>
          <w:rFonts w:ascii="Times New Roman" w:eastAsia="Times New Roman" w:hAnsi="Times New Roman" w:cs="Times New Roman"/>
          <w:sz w:val="24"/>
          <w:szCs w:val="24"/>
        </w:rPr>
        <w:t>(2), 181-199.</w:t>
      </w:r>
    </w:p>
    <w:p w14:paraId="7D79C38C"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Moral-Muñoz, J. A., Herrera-Viedma, E., Santisteban-Espejo, A., &amp; Cobo, M. J. (2020). Software tools for conducting bibliometric analysis in science: An up-to-date review</w:t>
      </w:r>
      <w:r>
        <w:rPr>
          <w:rFonts w:ascii="Times New Roman" w:eastAsia="Times New Roman" w:hAnsi="Times New Roman" w:cs="Times New Roman"/>
          <w:i/>
          <w:sz w:val="24"/>
          <w:szCs w:val="24"/>
        </w:rPr>
        <w:t>. Profesional de la Informacion, 29</w:t>
      </w:r>
      <w:r>
        <w:rPr>
          <w:rFonts w:ascii="Times New Roman" w:eastAsia="Times New Roman" w:hAnsi="Times New Roman" w:cs="Times New Roman"/>
          <w:sz w:val="24"/>
          <w:szCs w:val="24"/>
        </w:rPr>
        <w:t>(1), e290103.</w:t>
      </w:r>
    </w:p>
    <w:p w14:paraId="434FC121"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Muhammad Arshad, S. H., Hj Ishak, A. M. Muhamad, N., &amp; Pereira, J. J. (2020). Penilaian keberkesanan terowong SMART Kuala Lumpur dalam menghalang banjir kilat. </w:t>
      </w:r>
      <w:r>
        <w:rPr>
          <w:rFonts w:ascii="Times New Roman" w:eastAsia="Times New Roman" w:hAnsi="Times New Roman" w:cs="Times New Roman"/>
          <w:i/>
          <w:sz w:val="24"/>
          <w:szCs w:val="24"/>
        </w:rPr>
        <w:t>Geografia-Malaysian Journal of Society and Space, 16</w:t>
      </w:r>
      <w:r>
        <w:rPr>
          <w:rFonts w:ascii="Times New Roman" w:eastAsia="Times New Roman" w:hAnsi="Times New Roman" w:cs="Times New Roman"/>
          <w:sz w:val="24"/>
          <w:szCs w:val="24"/>
        </w:rPr>
        <w:t>(3), 184-200.</w:t>
      </w:r>
    </w:p>
    <w:p w14:paraId="65B0DEC9"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Murthy, T., Mohamad Yusoff. I., Md </w:t>
      </w:r>
      <w:proofErr w:type="gramStart"/>
      <w:r>
        <w:rPr>
          <w:rFonts w:ascii="Times New Roman" w:eastAsia="Times New Roman" w:hAnsi="Times New Roman" w:cs="Times New Roman"/>
          <w:sz w:val="24"/>
          <w:szCs w:val="24"/>
        </w:rPr>
        <w:t>Nor</w:t>
      </w:r>
      <w:proofErr w:type="gramEnd"/>
      <w:r>
        <w:rPr>
          <w:rFonts w:ascii="Times New Roman" w:eastAsia="Times New Roman" w:hAnsi="Times New Roman" w:cs="Times New Roman"/>
          <w:sz w:val="24"/>
          <w:szCs w:val="24"/>
        </w:rPr>
        <w:t xml:space="preserve">, N, N. F., Abdul Rashid, S. M. R., &amp; Abir, I, A. (2023). Analisis trend suhu jangka masa panjang dan hubungannya dengan perkembangan kawasan bandar di Pulau Pinang. </w:t>
      </w:r>
      <w:r>
        <w:rPr>
          <w:rFonts w:ascii="Times New Roman" w:eastAsia="Times New Roman" w:hAnsi="Times New Roman" w:cs="Times New Roman"/>
          <w:i/>
          <w:sz w:val="24"/>
          <w:szCs w:val="24"/>
        </w:rPr>
        <w:t>Geografia-Malaysian Journal of Society and Space, 19</w:t>
      </w:r>
      <w:r>
        <w:rPr>
          <w:rFonts w:ascii="Times New Roman" w:eastAsia="Times New Roman" w:hAnsi="Times New Roman" w:cs="Times New Roman"/>
          <w:sz w:val="24"/>
          <w:szCs w:val="24"/>
        </w:rPr>
        <w:t>(4), 132-149.</w:t>
      </w:r>
    </w:p>
    <w:p w14:paraId="4D5FB004"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Petir, L. (2023). Humanities and social sciences (HSS) and the challenges posed by AI: A French point of view. </w:t>
      </w:r>
      <w:r>
        <w:rPr>
          <w:rFonts w:ascii="Times New Roman" w:eastAsia="Times New Roman" w:hAnsi="Times New Roman" w:cs="Times New Roman"/>
          <w:i/>
          <w:sz w:val="24"/>
          <w:szCs w:val="24"/>
        </w:rPr>
        <w:t>AI &amp; Society, 39</w:t>
      </w:r>
      <w:r>
        <w:rPr>
          <w:rFonts w:ascii="Times New Roman" w:eastAsia="Times New Roman" w:hAnsi="Times New Roman" w:cs="Times New Roman"/>
          <w:sz w:val="24"/>
          <w:szCs w:val="24"/>
        </w:rPr>
        <w:t>, 2791–2797.</w:t>
      </w:r>
    </w:p>
    <w:p w14:paraId="6AF071FA"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Pusat Kajian Pembangunan, Sosial &amp; Persekitaran (SEEDS). (2024). Pusat Kajian Pembangunan, Sosial &amp; Persekitaran (SEEDS). Kluster penyelidikan. https://www.ukm.my/ppspp/management-team/</w:t>
      </w:r>
    </w:p>
    <w:p w14:paraId="25516C92"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Pusat Kajian Psikologi dan Kesejahteraan Manusia (PsiTRA). (2024). Our Research Clusters. https://www.ukm.my/ppppm/#</w:t>
      </w:r>
    </w:p>
    <w:p w14:paraId="3FBEF47B"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Tolan, N., &amp; Molony, E. (2023) Social world knowledge: Modeling and applications. </w:t>
      </w:r>
      <w:r>
        <w:rPr>
          <w:rFonts w:ascii="Times New Roman" w:eastAsia="Times New Roman" w:hAnsi="Times New Roman" w:cs="Times New Roman"/>
          <w:i/>
          <w:sz w:val="24"/>
          <w:szCs w:val="24"/>
        </w:rPr>
        <w:t>PLOS ONE 18</w:t>
      </w:r>
      <w:r>
        <w:rPr>
          <w:rFonts w:ascii="Times New Roman" w:eastAsia="Times New Roman" w:hAnsi="Times New Roman" w:cs="Times New Roman"/>
          <w:sz w:val="24"/>
          <w:szCs w:val="24"/>
        </w:rPr>
        <w:t xml:space="preserve">(7), e0283700. </w:t>
      </w:r>
    </w:p>
    <w:p w14:paraId="1BB5EB8D"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Universiti Kebangsaan Malaysia. (2025). Mengenai UKM. https://www.ukm.my/portalukm/ms/mengenai-ukm/</w:t>
      </w:r>
    </w:p>
    <w:p w14:paraId="2D1A4409" w14:textId="77777777" w:rsidR="0030253B" w:rsidRDefault="0030253B">
      <w:pPr>
        <w:spacing w:after="0" w:line="240" w:lineRule="auto"/>
        <w:ind w:left="862" w:hanging="864"/>
        <w:jc w:val="both"/>
        <w:rPr>
          <w:rFonts w:ascii="Times New Roman" w:eastAsia="Times New Roman" w:hAnsi="Times New Roman" w:cs="Times New Roman"/>
          <w:sz w:val="24"/>
          <w:szCs w:val="24"/>
        </w:rPr>
      </w:pPr>
      <w:bookmarkStart w:id="6" w:name="_heading=h.6wam8kie6npd" w:colFirst="0" w:colLast="0"/>
      <w:bookmarkEnd w:id="6"/>
      <w:r>
        <w:rPr>
          <w:rFonts w:ascii="Times New Roman" w:eastAsia="Times New Roman" w:hAnsi="Times New Roman" w:cs="Times New Roman"/>
          <w:sz w:val="24"/>
          <w:szCs w:val="24"/>
        </w:rPr>
        <w:t xml:space="preserve">Verhagen, M. D. (2022). A pragmatist’s guide to using prediction in the social sciences. </w:t>
      </w:r>
      <w:r>
        <w:rPr>
          <w:rFonts w:ascii="Times New Roman" w:eastAsia="Times New Roman" w:hAnsi="Times New Roman" w:cs="Times New Roman"/>
          <w:i/>
          <w:sz w:val="24"/>
          <w:szCs w:val="24"/>
        </w:rPr>
        <w:t>Socius: Sociological Research for a Dynamic Worlds, 8</w:t>
      </w:r>
      <w:r>
        <w:rPr>
          <w:rFonts w:ascii="Times New Roman" w:eastAsia="Times New Roman" w:hAnsi="Times New Roman" w:cs="Times New Roman"/>
          <w:sz w:val="24"/>
          <w:szCs w:val="24"/>
        </w:rPr>
        <w:t xml:space="preserve">. </w:t>
      </w:r>
    </w:p>
    <w:p w14:paraId="63B0CF81"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Vlase, I., &amp; Lähdesmäki, T. (2023). A bibliometric analysis of cultural heritage research in the humanities: The Web of Science as a tool of knowledge management. </w:t>
      </w:r>
      <w:r>
        <w:rPr>
          <w:rFonts w:ascii="Times New Roman" w:eastAsia="Times New Roman" w:hAnsi="Times New Roman" w:cs="Times New Roman"/>
          <w:i/>
          <w:sz w:val="24"/>
          <w:szCs w:val="24"/>
        </w:rPr>
        <w:t>Humanities and Social Sciences Communications, 10</w:t>
      </w:r>
      <w:r>
        <w:rPr>
          <w:rFonts w:ascii="Times New Roman" w:eastAsia="Times New Roman" w:hAnsi="Times New Roman" w:cs="Times New Roman"/>
          <w:sz w:val="24"/>
          <w:szCs w:val="24"/>
        </w:rPr>
        <w:t>(1), 84.</w:t>
      </w:r>
    </w:p>
    <w:p w14:paraId="11157796"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Yasin, M. Y., Yusoff, M. M. Abdullah, J. Mohd Noor, N., &amp; Mohd Noor, N. (2021). Urban sprawl literature review: Definition and driving force. </w:t>
      </w:r>
      <w:r>
        <w:rPr>
          <w:rFonts w:ascii="Times New Roman" w:eastAsia="Times New Roman" w:hAnsi="Times New Roman" w:cs="Times New Roman"/>
          <w:i/>
          <w:sz w:val="24"/>
          <w:szCs w:val="24"/>
        </w:rPr>
        <w:t>Geografia-Malaysian Journal of Society and Space, 17</w:t>
      </w:r>
      <w:r>
        <w:rPr>
          <w:rFonts w:ascii="Times New Roman" w:eastAsia="Times New Roman" w:hAnsi="Times New Roman" w:cs="Times New Roman"/>
          <w:sz w:val="24"/>
          <w:szCs w:val="24"/>
        </w:rPr>
        <w:t>(1), 116-128.</w:t>
      </w:r>
    </w:p>
    <w:p w14:paraId="7F99624C" w14:textId="77777777" w:rsidR="0030253B" w:rsidRDefault="0030253B">
      <w:pPr>
        <w:spacing w:after="0" w:line="240" w:lineRule="auto"/>
        <w:ind w:left="862" w:hanging="86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Zwilling, M. (2023). Big data challenges in social sciences: An NLP analysis</w:t>
      </w:r>
      <w:r>
        <w:rPr>
          <w:rFonts w:ascii="Times New Roman" w:eastAsia="Times New Roman" w:hAnsi="Times New Roman" w:cs="Times New Roman"/>
          <w:i/>
          <w:sz w:val="24"/>
          <w:szCs w:val="24"/>
        </w:rPr>
        <w:t>. Journal of Computer Information Systems, 63</w:t>
      </w:r>
      <w:r>
        <w:rPr>
          <w:rFonts w:ascii="Times New Roman" w:eastAsia="Times New Roman" w:hAnsi="Times New Roman" w:cs="Times New Roman"/>
          <w:sz w:val="24"/>
          <w:szCs w:val="24"/>
        </w:rPr>
        <w:t xml:space="preserve">(3), 537-554. </w:t>
      </w:r>
    </w:p>
    <w:p w14:paraId="245A7876" w14:textId="77777777" w:rsidR="00C87779" w:rsidRDefault="00C87779">
      <w:pPr>
        <w:spacing w:after="0" w:line="240" w:lineRule="auto"/>
        <w:ind w:hanging="2"/>
        <w:rPr>
          <w:rFonts w:ascii="Times New Roman" w:eastAsia="Times New Roman" w:hAnsi="Times New Roman" w:cs="Times New Roman"/>
          <w:b/>
          <w:sz w:val="24"/>
          <w:szCs w:val="24"/>
        </w:rPr>
      </w:pPr>
    </w:p>
    <w:sectPr w:rsidR="00C87779" w:rsidSect="00AE399D">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pgNumType w:start="239"/>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3DB1EA" w14:textId="77777777" w:rsidR="00D362FD" w:rsidRDefault="00D362FD">
      <w:pPr>
        <w:spacing w:after="0" w:line="240" w:lineRule="auto"/>
      </w:pPr>
      <w:r>
        <w:separator/>
      </w:r>
    </w:p>
  </w:endnote>
  <w:endnote w:type="continuationSeparator" w:id="0">
    <w:p w14:paraId="663FFCA0" w14:textId="77777777" w:rsidR="00D362FD" w:rsidRDefault="00D362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4394CE29-CCA4-4329-B0B2-488BC2532FD0}"/>
    <w:embedBold r:id="rId2" w:fontKey="{7DC5398C-E480-497C-840C-DB3EEBC9CD45}"/>
  </w:font>
  <w:font w:name="Cambria">
    <w:panose1 w:val="02040503050406030204"/>
    <w:charset w:val="00"/>
    <w:family w:val="roman"/>
    <w:pitch w:val="variable"/>
    <w:sig w:usb0="E00006FF" w:usb1="420024FF" w:usb2="02000000" w:usb3="00000000" w:csb0="0000019F" w:csb1="00000000"/>
    <w:embedRegular r:id="rId3" w:fontKey="{0F418455-BBF1-4CCC-86C1-60022EFAAAC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A57C0C9D-2AFB-4112-8D52-5E69DB030454}"/>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5" w:fontKey="{EF2C08BB-6E94-4AB9-846E-43B2EC8D3F59}"/>
  </w:font>
  <w:font w:name="Georgia">
    <w:panose1 w:val="02040502050405020303"/>
    <w:charset w:val="00"/>
    <w:family w:val="roman"/>
    <w:pitch w:val="variable"/>
    <w:sig w:usb0="00000287" w:usb1="00000000" w:usb2="00000000" w:usb3="00000000" w:csb0="0000009F" w:csb1="00000000"/>
    <w:embedRegular r:id="rId6" w:fontKey="{432B7AC8-14C4-40A8-9FE1-97FF21591DA5}"/>
    <w:embedItalic r:id="rId7" w:fontKey="{BDCC2DD2-4A49-4F2B-9B5E-07790C1CFFF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5EEBD" w14:textId="77777777" w:rsidR="00C87779" w:rsidRDefault="00C87779">
    <w:pPr>
      <w:pBdr>
        <w:top w:val="nil"/>
        <w:left w:val="nil"/>
        <w:bottom w:val="nil"/>
        <w:right w:val="nil"/>
        <w:between w:val="nil"/>
      </w:pBdr>
      <w:spacing w:after="0" w:line="240" w:lineRule="auto"/>
      <w:ind w:hanging="2"/>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406840" w14:textId="77777777" w:rsidR="00C87779" w:rsidRDefault="00C87779">
    <w:pPr>
      <w:pBdr>
        <w:top w:val="nil"/>
        <w:left w:val="nil"/>
        <w:bottom w:val="nil"/>
        <w:right w:val="nil"/>
        <w:between w:val="nil"/>
      </w:pBdr>
      <w:spacing w:after="0" w:line="240" w:lineRule="auto"/>
      <w:ind w:hanging="2"/>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3B148" w14:textId="77777777" w:rsidR="00C87779" w:rsidRDefault="00C87779">
    <w:pPr>
      <w:pBdr>
        <w:top w:val="nil"/>
        <w:left w:val="nil"/>
        <w:bottom w:val="nil"/>
        <w:right w:val="nil"/>
        <w:between w:val="nil"/>
      </w:pBdr>
      <w:spacing w:after="0" w:line="240" w:lineRule="auto"/>
      <w:ind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5240D" w14:textId="77777777" w:rsidR="00D362FD" w:rsidRDefault="00D362FD">
      <w:pPr>
        <w:spacing w:after="0" w:line="240" w:lineRule="auto"/>
      </w:pPr>
      <w:r>
        <w:separator/>
      </w:r>
    </w:p>
  </w:footnote>
  <w:footnote w:type="continuationSeparator" w:id="0">
    <w:p w14:paraId="6721E522" w14:textId="77777777" w:rsidR="00D362FD" w:rsidRDefault="00D362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DD83D2" w14:textId="77777777" w:rsidR="00C87779" w:rsidRDefault="00C87779">
    <w:pPr>
      <w:pBdr>
        <w:top w:val="nil"/>
        <w:left w:val="nil"/>
        <w:bottom w:val="nil"/>
        <w:right w:val="nil"/>
        <w:between w:val="nil"/>
      </w:pBdr>
      <w:ind w:hanging="2"/>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66E09" w14:textId="2376102B" w:rsidR="00AE399D" w:rsidRPr="00AE399D" w:rsidRDefault="00AE399D" w:rsidP="00AE399D">
    <w:pPr>
      <w:tabs>
        <w:tab w:val="center" w:pos="4680"/>
        <w:tab w:val="right" w:pos="9360"/>
      </w:tabs>
      <w:spacing w:after="0" w:line="240" w:lineRule="auto"/>
      <w:ind w:left="2" w:hanging="2"/>
      <w:rPr>
        <w:rFonts w:ascii="Times New Roman" w:hAnsi="Times New Roman" w:cs="Times New Roman"/>
        <w:sz w:val="18"/>
        <w:szCs w:val="18"/>
      </w:rPr>
    </w:pPr>
    <w:r w:rsidRPr="00AE399D">
      <w:rPr>
        <w:rFonts w:ascii="Times New Roman" w:hAnsi="Times New Roman" w:cs="Times New Roman"/>
        <w:sz w:val="18"/>
        <w:szCs w:val="18"/>
      </w:rPr>
      <w:t>Geografia-Malaysian Journal of Society and Space 21 issue 4 (</w:t>
    </w:r>
    <w:r w:rsidR="00E938AA">
      <w:rPr>
        <w:rFonts w:ascii="Times New Roman" w:hAnsi="Times New Roman" w:cs="Times New Roman"/>
        <w:sz w:val="18"/>
        <w:szCs w:val="18"/>
      </w:rPr>
      <w:t>239-256</w:t>
    </w:r>
    <w:r w:rsidRPr="00AE399D">
      <w:rPr>
        <w:rFonts w:ascii="Times New Roman" w:hAnsi="Times New Roman" w:cs="Times New Roman"/>
        <w:sz w:val="18"/>
        <w:szCs w:val="18"/>
      </w:rPr>
      <w:t>)</w:t>
    </w:r>
    <w:r w:rsidRPr="00AE399D">
      <w:rPr>
        <w:rFonts w:ascii="Times New Roman" w:hAnsi="Times New Roman" w:cs="Times New Roman"/>
        <w:sz w:val="18"/>
        <w:szCs w:val="18"/>
      </w:rPr>
      <w:tab/>
    </w:r>
  </w:p>
  <w:p w14:paraId="41943FC1" w14:textId="3208464D" w:rsidR="00AE399D" w:rsidRPr="00AE399D" w:rsidRDefault="00AE399D" w:rsidP="00E938AA">
    <w:pPr>
      <w:pStyle w:val="Header"/>
      <w:spacing w:after="0" w:line="240" w:lineRule="auto"/>
      <w:ind w:firstLine="0"/>
      <w:rPr>
        <w:rFonts w:ascii="Times New Roman" w:hAnsi="Times New Roman" w:cs="Times New Roman"/>
        <w:sz w:val="18"/>
        <w:szCs w:val="18"/>
      </w:rPr>
    </w:pPr>
    <w:r w:rsidRPr="00AE399D">
      <w:rPr>
        <w:rFonts w:ascii="Times New Roman" w:hAnsi="Times New Roman" w:cs="Times New Roman"/>
        <w:sz w:val="18"/>
        <w:szCs w:val="18"/>
      </w:rPr>
      <w:t xml:space="preserve">© 2025, e-ISSN 2682-7727 </w:t>
    </w:r>
    <w:bookmarkStart w:id="7" w:name="_GoBack"/>
    <w:r w:rsidR="00E938AA" w:rsidRPr="00E938AA">
      <w:rPr>
        <w:rFonts w:ascii="Times New Roman" w:hAnsi="Times New Roman" w:cs="Times New Roman"/>
        <w:position w:val="-1"/>
        <w:sz w:val="18"/>
        <w:szCs w:val="18"/>
      </w:rPr>
      <w:fldChar w:fldCharType="begin"/>
    </w:r>
    <w:r w:rsidR="00E938AA" w:rsidRPr="00E938AA">
      <w:rPr>
        <w:rFonts w:ascii="Times New Roman" w:hAnsi="Times New Roman" w:cs="Times New Roman"/>
        <w:position w:val="-1"/>
        <w:sz w:val="18"/>
        <w:szCs w:val="18"/>
      </w:rPr>
      <w:instrText xml:space="preserve"> HYPERLINK "https://doi.org/10.17576/geo-2025-2104-14" </w:instrText>
    </w:r>
    <w:r w:rsidR="00E938AA" w:rsidRPr="00E938AA">
      <w:rPr>
        <w:rFonts w:ascii="Times New Roman" w:hAnsi="Times New Roman" w:cs="Times New Roman"/>
        <w:position w:val="-1"/>
        <w:sz w:val="18"/>
        <w:szCs w:val="18"/>
      </w:rPr>
    </w:r>
    <w:r w:rsidR="00E938AA" w:rsidRPr="00E938AA">
      <w:rPr>
        <w:rFonts w:ascii="Times New Roman" w:hAnsi="Times New Roman" w:cs="Times New Roman"/>
        <w:position w:val="-1"/>
        <w:sz w:val="18"/>
        <w:szCs w:val="18"/>
      </w:rPr>
      <w:fldChar w:fldCharType="separate"/>
    </w:r>
    <w:r w:rsidRPr="00E938AA">
      <w:rPr>
        <w:rStyle w:val="Hyperlink"/>
        <w:rFonts w:ascii="Times New Roman" w:hAnsi="Times New Roman" w:cs="Times New Roman"/>
        <w:color w:val="auto"/>
        <w:sz w:val="18"/>
        <w:szCs w:val="18"/>
        <w:u w:val="none"/>
      </w:rPr>
      <w:t>https://doi.org/10.17576/geo-2025-2104-1</w:t>
    </w:r>
    <w:r w:rsidR="00E938AA" w:rsidRPr="00E938AA">
      <w:rPr>
        <w:rStyle w:val="Hyperlink"/>
        <w:rFonts w:ascii="Times New Roman" w:hAnsi="Times New Roman" w:cs="Times New Roman"/>
        <w:color w:val="auto"/>
        <w:sz w:val="18"/>
        <w:szCs w:val="18"/>
        <w:u w:val="none"/>
      </w:rPr>
      <w:t>4</w:t>
    </w:r>
    <w:r w:rsidR="00E938AA" w:rsidRPr="00E938AA">
      <w:rPr>
        <w:rFonts w:ascii="Times New Roman" w:hAnsi="Times New Roman" w:cs="Times New Roman"/>
        <w:position w:val="-1"/>
        <w:sz w:val="18"/>
        <w:szCs w:val="18"/>
      </w:rPr>
      <w:fldChar w:fldCharType="end"/>
    </w:r>
    <w:bookmarkEnd w:id="7"/>
    <w:sdt>
      <w:sdtPr>
        <w:rPr>
          <w:rFonts w:ascii="Times New Roman" w:hAnsi="Times New Roman" w:cs="Times New Roman"/>
          <w:sz w:val="18"/>
          <w:szCs w:val="18"/>
        </w:rPr>
        <w:id w:val="893783702"/>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AE399D">
          <w:rPr>
            <w:rFonts w:ascii="Times New Roman" w:hAnsi="Times New Roman" w:cs="Times New Roman"/>
            <w:sz w:val="18"/>
            <w:szCs w:val="18"/>
          </w:rPr>
          <w:fldChar w:fldCharType="begin"/>
        </w:r>
        <w:r w:rsidRPr="00AE399D">
          <w:rPr>
            <w:rFonts w:ascii="Times New Roman" w:hAnsi="Times New Roman" w:cs="Times New Roman"/>
            <w:sz w:val="18"/>
            <w:szCs w:val="18"/>
          </w:rPr>
          <w:instrText xml:space="preserve"> PAGE   \* MERGEFORMAT </w:instrText>
        </w:r>
        <w:r w:rsidRPr="00AE399D">
          <w:rPr>
            <w:rFonts w:ascii="Times New Roman" w:hAnsi="Times New Roman" w:cs="Times New Roman"/>
            <w:sz w:val="18"/>
            <w:szCs w:val="18"/>
          </w:rPr>
          <w:fldChar w:fldCharType="separate"/>
        </w:r>
        <w:r w:rsidR="00E938AA">
          <w:rPr>
            <w:rFonts w:ascii="Times New Roman" w:hAnsi="Times New Roman" w:cs="Times New Roman"/>
            <w:noProof/>
            <w:sz w:val="18"/>
            <w:szCs w:val="18"/>
          </w:rPr>
          <w:t>256</w:t>
        </w:r>
        <w:r w:rsidRPr="00AE399D">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5671" w14:textId="77777777" w:rsidR="00C87779" w:rsidRDefault="00C87779">
    <w:pPr>
      <w:pBdr>
        <w:top w:val="nil"/>
        <w:left w:val="nil"/>
        <w:bottom w:val="nil"/>
        <w:right w:val="nil"/>
        <w:between w:val="nil"/>
      </w:pBdr>
      <w:ind w:hanging="2"/>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482222"/>
    <w:multiLevelType w:val="multilevel"/>
    <w:tmpl w:val="7E9A73BC"/>
    <w:lvl w:ilvl="0">
      <w:start w:val="1"/>
      <w:numFmt w:val="lowerLetter"/>
      <w:pStyle w:val="figurecaption"/>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79"/>
    <w:rsid w:val="000B37BA"/>
    <w:rsid w:val="000C63D3"/>
    <w:rsid w:val="00146AE1"/>
    <w:rsid w:val="002432D6"/>
    <w:rsid w:val="00260FA5"/>
    <w:rsid w:val="0030253B"/>
    <w:rsid w:val="00365EB3"/>
    <w:rsid w:val="003F45CC"/>
    <w:rsid w:val="004876EE"/>
    <w:rsid w:val="004A3C5B"/>
    <w:rsid w:val="006A69D5"/>
    <w:rsid w:val="006E6A13"/>
    <w:rsid w:val="006F48C0"/>
    <w:rsid w:val="00747C1E"/>
    <w:rsid w:val="009D3E3C"/>
    <w:rsid w:val="00AA64D5"/>
    <w:rsid w:val="00AE399D"/>
    <w:rsid w:val="00B5735C"/>
    <w:rsid w:val="00BC0E06"/>
    <w:rsid w:val="00BC2AED"/>
    <w:rsid w:val="00C40632"/>
    <w:rsid w:val="00C540A9"/>
    <w:rsid w:val="00C87779"/>
    <w:rsid w:val="00D362FD"/>
    <w:rsid w:val="00DB121C"/>
    <w:rsid w:val="00DD503A"/>
    <w:rsid w:val="00E24557"/>
    <w:rsid w:val="00E83705"/>
    <w:rsid w:val="00E938AA"/>
    <w:rsid w:val="00EA5E7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F54133"/>
  <w15:docId w15:val="{8F923D4E-46C0-4107-A656-DDECDFAC0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MY" w:bidi="ar-SA"/>
      </w:rPr>
    </w:rPrDefault>
    <w:pPrDefault>
      <w:pPr>
        <w:spacing w:after="200" w:line="276" w:lineRule="auto"/>
        <w:ind w:hang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rFonts w:ascii="Cambria" w:eastAsia="Cambria" w:hAnsi="Cambria" w:cs="Cambria"/>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BodyText">
    <w:name w:val="Body Text"/>
    <w:basedOn w:val="Normal"/>
    <w:link w:val="BodyTextChar"/>
    <w:pPr>
      <w:tabs>
        <w:tab w:val="left" w:pos="288"/>
      </w:tabs>
      <w:spacing w:after="120" w:line="228" w:lineRule="auto"/>
      <w:ind w:firstLine="288"/>
      <w:jc w:val="both"/>
    </w:pPr>
    <w:rPr>
      <w:rFonts w:ascii="Times New Roman" w:eastAsia="SimSun" w:hAnsi="Times New Roman" w:cs="Times New Roman"/>
      <w:spacing w:val="-1"/>
      <w:sz w:val="20"/>
      <w:szCs w:val="20"/>
      <w:lang w:val="zh-CN" w:eastAsia="zh-CN"/>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character" w:styleId="FollowedHyperlink">
    <w:name w:val="FollowedHyperlink"/>
    <w:basedOn w:val="DefaultParagraphFont"/>
    <w:uiPriority w:val="99"/>
    <w:semiHidden/>
    <w:unhideWhenUsed/>
    <w:rPr>
      <w:color w:val="800080" w:themeColor="followedHyperlink"/>
      <w:u w:val="single"/>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table" w:styleId="TableGrid">
    <w:name w:val="Table Grid"/>
    <w:basedOn w:val="TableNormal"/>
    <w:qFormat/>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qFormat/>
    <w:pPr>
      <w:suppressAutoHyphens/>
      <w:ind w:leftChars="-1" w:left="-1" w:hangingChars="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qFormat/>
    <w:rPr>
      <w:rFonts w:ascii="Calibri" w:eastAsia="Calibri" w:hAnsi="Calibri" w:cs="Times New Roman"/>
      <w:w w:val="100"/>
      <w:position w:val="-1"/>
      <w:sz w:val="20"/>
      <w:szCs w:val="20"/>
      <w:vertAlign w:val="baseline"/>
      <w:cs w:val="0"/>
      <w:lang w:val="en-MY"/>
    </w:rPr>
  </w:style>
  <w:style w:type="character" w:customStyle="1" w:styleId="FooterChar">
    <w:name w:val="Footer Char"/>
    <w:qFormat/>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qFormat/>
    <w:rPr>
      <w:w w:val="100"/>
      <w:position w:val="-1"/>
      <w:vertAlign w:val="baseline"/>
      <w:cs w:val="0"/>
    </w:rPr>
  </w:style>
  <w:style w:type="character" w:customStyle="1" w:styleId="HeaderChar">
    <w:name w:val="Header Char"/>
    <w:uiPriority w:val="99"/>
    <w:qFormat/>
    <w:rPr>
      <w:rFonts w:ascii="Calibri" w:eastAsia="Calibri" w:hAnsi="Calibri" w:cs="Times New Roman"/>
      <w:w w:val="100"/>
      <w:position w:val="-1"/>
      <w:vertAlign w:val="baseline"/>
      <w:cs w:val="0"/>
    </w:rPr>
  </w:style>
  <w:style w:type="character" w:customStyle="1" w:styleId="CommentTextChar">
    <w:name w:val="Comment Text Char"/>
    <w:qFormat/>
    <w:rPr>
      <w:rFonts w:ascii="Calibri" w:eastAsia="Calibri" w:hAnsi="Calibri" w:cs="Times New Roman"/>
      <w:w w:val="100"/>
      <w:position w:val="-1"/>
      <w:sz w:val="20"/>
      <w:szCs w:val="20"/>
      <w:vertAlign w:val="baseline"/>
      <w:cs w:val="0"/>
    </w:rPr>
  </w:style>
  <w:style w:type="character" w:customStyle="1" w:styleId="BalloonTextChar">
    <w:name w:val="Balloon Text Char"/>
    <w:qFormat/>
    <w:rPr>
      <w:rFonts w:ascii="Tahoma" w:eastAsia="Calibri" w:hAnsi="Tahoma" w:cs="Tahoma"/>
      <w:w w:val="100"/>
      <w:position w:val="-1"/>
      <w:sz w:val="16"/>
      <w:szCs w:val="16"/>
      <w:vertAlign w:val="baseline"/>
      <w:cs w:val="0"/>
    </w:rPr>
  </w:style>
  <w:style w:type="character" w:customStyle="1" w:styleId="CommentSubjectChar">
    <w:name w:val="Comment Subject Char"/>
    <w:qFormat/>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qFormat/>
    <w:pPr>
      <w:suppressAutoHyphens/>
      <w:spacing w:line="1" w:lineRule="atLeast"/>
      <w:ind w:leftChars="-1" w:left="-1" w:hangingChars="1"/>
      <w:textAlignment w:val="top"/>
      <w:outlineLvl w:val="0"/>
    </w:pPr>
    <w:rPr>
      <w:position w:val="-1"/>
      <w:lang w:val="en-US" w:eastAsia="en-US"/>
    </w:rPr>
  </w:style>
  <w:style w:type="character" w:customStyle="1" w:styleId="st1">
    <w:name w:val="st1"/>
    <w:qFormat/>
    <w:rPr>
      <w:w w:val="100"/>
      <w:position w:val="-1"/>
      <w:vertAlign w:val="baseline"/>
      <w:cs w:val="0"/>
    </w:rPr>
  </w:style>
  <w:style w:type="character" w:customStyle="1" w:styleId="Heading1Char">
    <w:name w:val="Heading 1 Char"/>
    <w:qFormat/>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qFormat/>
    <w:pPr>
      <w:suppressAutoHyphens/>
      <w:spacing w:line="1" w:lineRule="atLeast"/>
      <w:ind w:leftChars="-1" w:left="-1" w:hangingChars="1"/>
      <w:textAlignment w:val="top"/>
      <w:outlineLvl w:val="0"/>
    </w:pPr>
    <w:rPr>
      <w:position w:val="-1"/>
      <w:lang w:val="en-US" w:eastAsia="en-US"/>
    </w:rPr>
  </w:style>
  <w:style w:type="paragraph" w:styleId="ListParagraph">
    <w:name w:val="List Paragraph"/>
    <w:basedOn w:val="Normal"/>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pPr>
      <w:suppressAutoHyphens/>
      <w:ind w:leftChars="-1" w:left="-1" w:hangingChars="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pPr>
      <w:suppressAutoHyphens/>
      <w:spacing w:line="1" w:lineRule="atLeast"/>
      <w:ind w:leftChars="-1" w:left="-1" w:hangingChars="1"/>
      <w:textAlignment w:val="top"/>
      <w:outlineLvl w:val="0"/>
    </w:pPr>
    <w:rPr>
      <w:rFonts w:ascii="Helvetica" w:eastAsia="Helvetica" w:hAnsi="Helvetica" w:cs="Helvetica"/>
      <w:color w:val="000000"/>
      <w:position w:val="-1"/>
      <w:lang w:val="en-US" w:eastAsia="en-US"/>
    </w:rPr>
  </w:style>
  <w:style w:type="paragraph" w:customStyle="1" w:styleId="TableStyle2">
    <w:name w:val="Table Style 2"/>
    <w:pPr>
      <w:suppressAutoHyphens/>
      <w:spacing w:line="1" w:lineRule="atLeast"/>
      <w:ind w:leftChars="-1" w:left="-1" w:hangingChars="1"/>
      <w:textAlignment w:val="top"/>
      <w:outlineLvl w:val="0"/>
    </w:pPr>
    <w:rPr>
      <w:rFonts w:ascii="Helvetica" w:eastAsia="Helvetica" w:hAnsi="Helvetica" w:cs="Helvetica"/>
      <w:color w:val="000000"/>
      <w:position w:val="-1"/>
    </w:rPr>
  </w:style>
  <w:style w:type="character" w:customStyle="1" w:styleId="UnresolvedMention2">
    <w:name w:val="Unresolved Mention2"/>
    <w:qFormat/>
    <w:rPr>
      <w:color w:val="808080"/>
      <w:w w:val="100"/>
      <w:position w:val="-1"/>
      <w:shd w:val="clear" w:color="auto" w:fill="E6E6E6"/>
      <w:vertAlign w:val="baseline"/>
      <w:cs w:val="0"/>
    </w:rPr>
  </w:style>
  <w:style w:type="table" w:customStyle="1" w:styleId="1">
    <w:name w:val="1"/>
    <w:basedOn w:val="TableNormal"/>
    <w:tblPr/>
  </w:style>
  <w:style w:type="character" w:customStyle="1" w:styleId="BodyTextChar">
    <w:name w:val="Body Text Char"/>
    <w:basedOn w:val="DefaultParagraphFont"/>
    <w:link w:val="BodyText"/>
    <w:rPr>
      <w:rFonts w:ascii="Times New Roman" w:eastAsia="SimSun" w:hAnsi="Times New Roman" w:cs="Times New Roman"/>
      <w:spacing w:val="-1"/>
      <w:sz w:val="20"/>
      <w:szCs w:val="20"/>
      <w:lang w:val="zh-CN" w:eastAsia="zh-CN"/>
    </w:rPr>
  </w:style>
  <w:style w:type="paragraph" w:customStyle="1" w:styleId="figurecaption">
    <w:name w:val="figure caption"/>
    <w:pPr>
      <w:numPr>
        <w:numId w:val="1"/>
      </w:numPr>
      <w:tabs>
        <w:tab w:val="left" w:pos="533"/>
      </w:tabs>
      <w:spacing w:before="80"/>
      <w:ind w:left="0" w:firstLine="0"/>
      <w:jc w:val="both"/>
    </w:pPr>
    <w:rPr>
      <w:rFonts w:ascii="Times New Roman" w:eastAsia="SimSun" w:hAnsi="Times New Roman" w:cs="Times New Roman"/>
      <w:sz w:val="16"/>
      <w:szCs w:val="16"/>
      <w:lang w:val="en-US" w:eastAsia="en-US"/>
    </w:rPr>
  </w:style>
  <w:style w:type="character" w:customStyle="1" w:styleId="UnresolvedMention3">
    <w:name w:val="Unresolved Mention3"/>
    <w:basedOn w:val="DefaultParagraphFont"/>
    <w:uiPriority w:val="99"/>
    <w:semiHidden/>
    <w:unhideWhenUse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8602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chart" Target="charts/chart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G:\My%20Drive\Guest%20Lecture%20talk\Biblio_UKM\Analysis%20from%20Scopus\by%20year.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G:\My%20Drive\Guest%20Lecture%20talk\Biblio_UKM\Analysis%20from%20Scopus\by%20jenis%20dokume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MY" sz="1200" b="1"/>
              <a:t>Bilangan dokumen mengikut tahun </a:t>
            </a:r>
          </a:p>
        </c:rich>
      </c:tx>
      <c:overlay val="0"/>
      <c:spPr>
        <a:noFill/>
        <a:ln>
          <a:no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'Scopus-10-Analyze-Year'!$D$9:$D$13</c:f>
              <c:numCache>
                <c:formatCode>General</c:formatCode>
                <c:ptCount val="5"/>
                <c:pt idx="0">
                  <c:v>2019</c:v>
                </c:pt>
                <c:pt idx="1">
                  <c:v>2020</c:v>
                </c:pt>
                <c:pt idx="2">
                  <c:v>2021</c:v>
                </c:pt>
                <c:pt idx="3">
                  <c:v>2022</c:v>
                </c:pt>
                <c:pt idx="4">
                  <c:v>2023</c:v>
                </c:pt>
              </c:numCache>
            </c:numRef>
          </c:cat>
          <c:val>
            <c:numRef>
              <c:f>'Scopus-10-Analyze-Year'!$E$9:$E$13</c:f>
              <c:numCache>
                <c:formatCode>General</c:formatCode>
                <c:ptCount val="5"/>
                <c:pt idx="0">
                  <c:v>463</c:v>
                </c:pt>
                <c:pt idx="1">
                  <c:v>472</c:v>
                </c:pt>
                <c:pt idx="2">
                  <c:v>566</c:v>
                </c:pt>
                <c:pt idx="3">
                  <c:v>640</c:v>
                </c:pt>
                <c:pt idx="4">
                  <c:v>668</c:v>
                </c:pt>
              </c:numCache>
            </c:numRef>
          </c:val>
          <c:extLst>
            <c:ext xmlns:c16="http://schemas.microsoft.com/office/drawing/2014/chart" uri="{C3380CC4-5D6E-409C-BE32-E72D297353CC}">
              <c16:uniqueId val="{00000000-537F-40E0-A5B2-89419805F5DF}"/>
            </c:ext>
          </c:extLst>
        </c:ser>
        <c:dLbls>
          <c:showLegendKey val="0"/>
          <c:showVal val="1"/>
          <c:showCatName val="0"/>
          <c:showSerName val="0"/>
          <c:showPercent val="0"/>
          <c:showBubbleSize val="0"/>
        </c:dLbls>
        <c:gapWidth val="219"/>
        <c:overlap val="-27"/>
        <c:axId val="359658368"/>
        <c:axId val="359654760"/>
      </c:barChart>
      <c:catAx>
        <c:axId val="359658368"/>
        <c:scaling>
          <c:orientation val="minMax"/>
        </c:scaling>
        <c:delete val="0"/>
        <c:axPos val="b"/>
        <c:title>
          <c:tx>
            <c:rich>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t>Tahun</a:t>
                </a:r>
              </a:p>
            </c:rich>
          </c:tx>
          <c:overlay val="0"/>
          <c:spPr>
            <a:noFill/>
            <a:ln>
              <a:noFill/>
            </a:ln>
            <a:effectLst/>
          </c:spPr>
          <c:txPr>
            <a:bodyPr rot="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654760"/>
        <c:crosses val="autoZero"/>
        <c:auto val="1"/>
        <c:lblAlgn val="ctr"/>
        <c:lblOffset val="100"/>
        <c:noMultiLvlLbl val="0"/>
      </c:catAx>
      <c:valAx>
        <c:axId val="359654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b="1"/>
                  <a:t>Bilangan dokumen</a:t>
                </a:r>
              </a:p>
            </c:rich>
          </c:tx>
          <c:layout>
            <c:manualLayout>
              <c:xMode val="edge"/>
              <c:yMode val="edge"/>
              <c:x val="2.8883183568677799E-2"/>
              <c:y val="0.16131270883957199"/>
            </c:manualLayout>
          </c:layout>
          <c:overlay val="0"/>
          <c:spPr>
            <a:noFill/>
            <a:ln>
              <a:noFill/>
            </a:ln>
            <a:effectLst/>
          </c:spPr>
          <c:txPr>
            <a:bodyPr rot="-5400000" spcFirstLastPara="1" vertOverflow="ellipsis" vert="horz" wrap="square" anchor="ctr" anchorCtr="1"/>
            <a:lstStyle/>
            <a:p>
              <a:pPr>
                <a:defRPr lang="en-US"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9658368"/>
        <c:crosses val="autoZero"/>
        <c:crossBetween val="between"/>
      </c:valAx>
      <c:spPr>
        <a:noFill/>
        <a:ln>
          <a:noFill/>
        </a:ln>
        <a:effectLst/>
      </c:spPr>
    </c:plotArea>
    <c:plotVisOnly val="1"/>
    <c:dispBlanksAs val="gap"/>
    <c:showDLblsOverMax val="0"/>
    <c:extLst>
      <c:ext uri="{0b15fc19-7d7d-44ad-8c2d-2c3a37ce22c3}">
        <chartProps xmlns="https://web.wps.cn/et/2018/main" chartId="{b7399673-7509-4146-affe-9082775ef6b9}"/>
      </c:ext>
    </c:extLst>
  </c:chart>
  <c:spPr>
    <a:solidFill>
      <a:schemeClr val="bg1"/>
    </a:solidFill>
    <a:ln w="9525" cap="flat" cmpd="sng" algn="ctr">
      <a:noFill/>
      <a:round/>
    </a:ln>
    <a:effectLst/>
  </c:spPr>
  <c:txPr>
    <a:bodyPr/>
    <a:lstStyle/>
    <a:p>
      <a:pPr>
        <a:defRPr lang="en-US"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MY" sz="1200" b="1"/>
              <a:t>Jenis dokumen</a:t>
            </a:r>
          </a:p>
        </c:rich>
      </c:tx>
      <c:layout>
        <c:manualLayout>
          <c:xMode val="edge"/>
          <c:yMode val="edge"/>
          <c:x val="0.724409667541557"/>
          <c:y val="0.210818277207833"/>
        </c:manualLayout>
      </c:layout>
      <c:overlay val="0"/>
      <c:spPr>
        <a:noFill/>
        <a:ln>
          <a:no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spPr>
            <a:ln w="19050">
              <a:solidFill>
                <a:schemeClr val="tx1"/>
              </a:solidFill>
            </a:ln>
          </c:spPr>
          <c:dPt>
            <c:idx val="0"/>
            <c:bubble3D val="0"/>
            <c:spPr>
              <a:solidFill>
                <a:schemeClr val="accent1"/>
              </a:solidFill>
              <a:ln w="19050">
                <a:solidFill>
                  <a:schemeClr val="tx1"/>
                </a:solidFill>
              </a:ln>
              <a:effectLst/>
            </c:spPr>
            <c:extLst>
              <c:ext xmlns:c16="http://schemas.microsoft.com/office/drawing/2014/chart" uri="{C3380CC4-5D6E-409C-BE32-E72D297353CC}">
                <c16:uniqueId val="{00000001-F521-4F98-8BE9-175B9892758F}"/>
              </c:ext>
            </c:extLst>
          </c:dPt>
          <c:dPt>
            <c:idx val="1"/>
            <c:bubble3D val="0"/>
            <c:spPr>
              <a:solidFill>
                <a:schemeClr val="accent2"/>
              </a:solidFill>
              <a:ln w="19050">
                <a:solidFill>
                  <a:schemeClr val="tx1"/>
                </a:solidFill>
              </a:ln>
              <a:effectLst/>
            </c:spPr>
            <c:extLst>
              <c:ext xmlns:c16="http://schemas.microsoft.com/office/drawing/2014/chart" uri="{C3380CC4-5D6E-409C-BE32-E72D297353CC}">
                <c16:uniqueId val="{00000003-F521-4F98-8BE9-175B9892758F}"/>
              </c:ext>
            </c:extLst>
          </c:dPt>
          <c:dPt>
            <c:idx val="2"/>
            <c:bubble3D val="0"/>
            <c:spPr>
              <a:solidFill>
                <a:schemeClr val="accent3"/>
              </a:solidFill>
              <a:ln w="19050">
                <a:solidFill>
                  <a:schemeClr val="tx1"/>
                </a:solidFill>
              </a:ln>
              <a:effectLst/>
            </c:spPr>
            <c:extLst>
              <c:ext xmlns:c16="http://schemas.microsoft.com/office/drawing/2014/chart" uri="{C3380CC4-5D6E-409C-BE32-E72D297353CC}">
                <c16:uniqueId val="{00000005-F521-4F98-8BE9-175B9892758F}"/>
              </c:ext>
            </c:extLst>
          </c:dPt>
          <c:dPt>
            <c:idx val="3"/>
            <c:bubble3D val="0"/>
            <c:spPr>
              <a:solidFill>
                <a:schemeClr val="accent4"/>
              </a:solidFill>
              <a:ln w="19050">
                <a:solidFill>
                  <a:schemeClr val="tx1"/>
                </a:solidFill>
              </a:ln>
              <a:effectLst/>
            </c:spPr>
            <c:extLst>
              <c:ext xmlns:c16="http://schemas.microsoft.com/office/drawing/2014/chart" uri="{C3380CC4-5D6E-409C-BE32-E72D297353CC}">
                <c16:uniqueId val="{00000007-F521-4F98-8BE9-175B9892758F}"/>
              </c:ext>
            </c:extLst>
          </c:dPt>
          <c:dPt>
            <c:idx val="4"/>
            <c:bubble3D val="0"/>
            <c:spPr>
              <a:solidFill>
                <a:schemeClr val="accent5"/>
              </a:solidFill>
              <a:ln w="19050">
                <a:solidFill>
                  <a:schemeClr val="tx1"/>
                </a:solidFill>
              </a:ln>
              <a:effectLst/>
            </c:spPr>
            <c:extLst>
              <c:ext xmlns:c16="http://schemas.microsoft.com/office/drawing/2014/chart" uri="{C3380CC4-5D6E-409C-BE32-E72D297353CC}">
                <c16:uniqueId val="{00000009-F521-4F98-8BE9-175B9892758F}"/>
              </c:ext>
            </c:extLst>
          </c:dPt>
          <c:dLbls>
            <c:dLbl>
              <c:idx val="1"/>
              <c:layout>
                <c:manualLayout>
                  <c:x val="-8.8251531058617702E-2"/>
                  <c:y val="5.16270342478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521-4F98-8BE9-175B9892758F}"/>
                </c:ext>
              </c:extLst>
            </c:dLbl>
            <c:dLbl>
              <c:idx val="2"/>
              <c:layout>
                <c:manualLayout>
                  <c:x val="-0.133741469816273"/>
                  <c:y val="-3.523248401243769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521-4F98-8BE9-175B9892758F}"/>
                </c:ext>
              </c:extLst>
            </c:dLbl>
            <c:dLbl>
              <c:idx val="3"/>
              <c:layout>
                <c:manualLayout>
                  <c:x val="-2.3665969533638399E-2"/>
                  <c:y val="-5.8009538899568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F521-4F98-8BE9-175B9892758F}"/>
                </c:ext>
              </c:extLst>
            </c:dLbl>
            <c:dLbl>
              <c:idx val="4"/>
              <c:layout>
                <c:manualLayout>
                  <c:x val="0.29319378827646603"/>
                  <c:y val="-4.904269747213189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F521-4F98-8BE9-175B9892758F}"/>
                </c:ext>
              </c:extLst>
            </c:dLbl>
            <c:numFmt formatCode="0.00%" sourceLinked="0"/>
            <c:spPr>
              <a:noFill/>
              <a:ln>
                <a:noFill/>
              </a:ln>
              <a:effectLst/>
            </c:spPr>
            <c:txPr>
              <a:bodyPr rot="0" spcFirstLastPara="1" vertOverflow="ellipsis" vert="horz" wrap="square" anchor="ctr" anchorCtr="1"/>
              <a:lstStyle/>
              <a:p>
                <a:pPr>
                  <a:defRPr lang="en-US"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'Scopus-10-Analyze-Doctype'!$B$9:$B$13</c:f>
              <c:strCache>
                <c:ptCount val="5"/>
                <c:pt idx="0">
                  <c:v>Artikel</c:v>
                </c:pt>
                <c:pt idx="1">
                  <c:v>Ulasan</c:v>
                </c:pt>
                <c:pt idx="2">
                  <c:v>Kertas persidangan</c:v>
                </c:pt>
                <c:pt idx="3">
                  <c:v>Bab buku</c:v>
                </c:pt>
                <c:pt idx="4">
                  <c:v>Buku</c:v>
                </c:pt>
              </c:strCache>
            </c:strRef>
          </c:cat>
          <c:val>
            <c:numRef>
              <c:f>'Scopus-10-Analyze-Doctype'!$C$9:$C$13</c:f>
              <c:numCache>
                <c:formatCode>General</c:formatCode>
                <c:ptCount val="5"/>
                <c:pt idx="0">
                  <c:v>2389</c:v>
                </c:pt>
                <c:pt idx="1">
                  <c:v>176</c:v>
                </c:pt>
                <c:pt idx="2">
                  <c:v>128</c:v>
                </c:pt>
                <c:pt idx="3">
                  <c:v>109</c:v>
                </c:pt>
                <c:pt idx="4">
                  <c:v>7</c:v>
                </c:pt>
              </c:numCache>
            </c:numRef>
          </c:val>
          <c:extLst>
            <c:ext xmlns:c16="http://schemas.microsoft.com/office/drawing/2014/chart" uri="{C3380CC4-5D6E-409C-BE32-E72D297353CC}">
              <c16:uniqueId val="{0000000A-F521-4F98-8BE9-175B9892758F}"/>
            </c:ext>
          </c:extLst>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81a2ab1c-ac88-420a-885a-4eb340bf9288}"/>
      </c:ext>
    </c:extLst>
  </c:chart>
  <c:spPr>
    <a:solidFill>
      <a:schemeClr val="bg1"/>
    </a:solidFill>
    <a:ln w="9525" cap="flat" cmpd="sng" algn="ctr">
      <a:noFill/>
      <a:round/>
    </a:ln>
    <a:effectLst/>
  </c:spPr>
  <c:txPr>
    <a:bodyPr/>
    <a:lstStyle/>
    <a:p>
      <a:pPr>
        <a:defRPr lang="en-US"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5ElkioM5vFWLqB/P9XZH0jkYzQ==">CgMxLjAyCGguZ2pkZ3hzMg5oLmR0cTAzYzdvYzlmdTINaC5uOGN3dDRuazlwcDIOaC50MHhqN3Q2bTF4dnAyDWgud2IxaXN1enh0MzUyDmguMWZpaWVpbGE4MDVnMg5oLjZ3YW04a2llNm5wZDgAciExb0JORHNEUHJFZlNrM3E4N3BvdlJFSkdCd1RHN0dCUlA=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7435</Words>
  <Characters>42385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2025-11-19T08:41:00Z</dcterms:created>
  <dcterms:modified xsi:type="dcterms:W3CDTF">2025-11-19T08:42:00Z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1033-12.2.0.22549</vt:lpwstr>
  </property>
  <property fmtid="{D5CDD505-2E9C-101B-9397-08002B2CF9AE}" pid="3" name="GrammarlyDocumentId">
    <vt:lpwstr>3c3105cc-b9cd-461a-ac99-7fb723bfb2f5</vt:lpwstr>
  </property>
  <property fmtid="{D5CDD505-2E9C-101B-9397-08002B2CF9AE}" pid="4" name="ICV">
    <vt:lpwstr>3F50DFD5F5BE470B86A96DA45920334F_13</vt:lpwstr>
  </property>
</Properties>
</file>