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8E92B" w14:textId="77777777" w:rsidR="00893361" w:rsidRDefault="00252E94">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and validation of indicators for the Islamic Affairs Management Index in Malaysia: A Fuzzy Delphi Method approach</w:t>
      </w:r>
    </w:p>
    <w:p w14:paraId="5D25E97E" w14:textId="77777777" w:rsidR="00893361" w:rsidRDefault="00893361">
      <w:pPr>
        <w:spacing w:after="0" w:line="240" w:lineRule="auto"/>
        <w:ind w:left="0" w:hanging="2"/>
        <w:jc w:val="center"/>
        <w:rPr>
          <w:rFonts w:ascii="Times New Roman" w:eastAsia="Times New Roman" w:hAnsi="Times New Roman" w:cs="Times New Roman"/>
          <w:b/>
        </w:rPr>
      </w:pPr>
    </w:p>
    <w:p w14:paraId="127B5C92" w14:textId="77777777" w:rsidR="00893361" w:rsidRDefault="00252E9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roofErr w:type="spellStart"/>
      <w:r>
        <w:rPr>
          <w:rFonts w:ascii="Times New Roman" w:eastAsia="Times New Roman" w:hAnsi="Times New Roman" w:cs="Times New Roman"/>
        </w:rPr>
        <w:t>Mohd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Ikhwan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Izzat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Zulkefli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Mohd</w:t>
      </w:r>
      <w:proofErr w:type="spellEnd"/>
      <w:r>
        <w:rPr>
          <w:rFonts w:ascii="Times New Roman" w:eastAsia="Times New Roman" w:hAnsi="Times New Roman" w:cs="Times New Roman"/>
        </w:rPr>
        <w:t xml:space="preserve"> Nuri Al-Amin </w:t>
      </w:r>
      <w:proofErr w:type="spellStart"/>
      <w:r>
        <w:rPr>
          <w:rFonts w:ascii="Times New Roman" w:eastAsia="Times New Roman" w:hAnsi="Times New Roman" w:cs="Times New Roman"/>
        </w:rPr>
        <w:t>Endut</w:t>
      </w:r>
      <w:proofErr w:type="spellEnd"/>
      <w:r>
        <w:rPr>
          <w:rFonts w:ascii="Times New Roman" w:eastAsia="Times New Roman" w:hAnsi="Times New Roman" w:cs="Times New Roman"/>
        </w:rPr>
        <w:t xml:space="preserve">, Muhammad </w:t>
      </w:r>
      <w:proofErr w:type="spellStart"/>
      <w:r>
        <w:rPr>
          <w:rFonts w:ascii="Times New Roman" w:eastAsia="Times New Roman" w:hAnsi="Times New Roman" w:cs="Times New Roman"/>
        </w:rPr>
        <w:t>Ridhuan</w:t>
      </w:r>
      <w:proofErr w:type="spellEnd"/>
      <w:r>
        <w:rPr>
          <w:rFonts w:ascii="Times New Roman" w:eastAsia="Times New Roman" w:hAnsi="Times New Roman" w:cs="Times New Roman"/>
        </w:rPr>
        <w:t xml:space="preserve"> Tony Lim Abdullah, Farrah </w:t>
      </w:r>
      <w:proofErr w:type="spellStart"/>
      <w:r>
        <w:rPr>
          <w:rFonts w:ascii="Times New Roman" w:eastAsia="Times New Roman" w:hAnsi="Times New Roman" w:cs="Times New Roman"/>
        </w:rPr>
        <w:t>Ilyani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Jamaludin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Syaaibah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Zulkipli</w:t>
      </w:r>
      <w:proofErr w:type="spellEnd"/>
    </w:p>
    <w:p w14:paraId="219AFFB1" w14:textId="77777777" w:rsidR="00893361" w:rsidRDefault="0089336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524FFB0C" w14:textId="77777777" w:rsidR="00893361" w:rsidRDefault="00252E9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Department of Management and Humanities, </w:t>
      </w:r>
      <w:proofErr w:type="spellStart"/>
      <w:r>
        <w:rPr>
          <w:rFonts w:ascii="Times New Roman" w:eastAsia="Times New Roman" w:hAnsi="Times New Roman" w:cs="Times New Roman"/>
        </w:rPr>
        <w:t>Universiti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PETRONAS</w:t>
      </w:r>
    </w:p>
    <w:p w14:paraId="615EDBB7" w14:textId="77777777" w:rsidR="00893361" w:rsidRDefault="0089336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F1FEBF3" w14:textId="77777777" w:rsidR="00893361" w:rsidRDefault="00252E94">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Correspondence: </w:t>
      </w:r>
      <w:proofErr w:type="spellStart"/>
      <w:r>
        <w:rPr>
          <w:rFonts w:ascii="Times New Roman" w:eastAsia="Times New Roman" w:hAnsi="Times New Roman" w:cs="Times New Roman"/>
        </w:rPr>
        <w:t>Mohd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Ikhwan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Izzat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Zulkefli</w:t>
      </w:r>
      <w:proofErr w:type="spellEnd"/>
      <w:r>
        <w:rPr>
          <w:rFonts w:ascii="Times New Roman" w:eastAsia="Times New Roman" w:hAnsi="Times New Roman" w:cs="Times New Roman"/>
        </w:rPr>
        <w:t xml:space="preserve"> (email: </w:t>
      </w:r>
      <w:hyperlink r:id="rId8">
        <w:r>
          <w:rPr>
            <w:rFonts w:ascii="Times New Roman" w:eastAsia="Times New Roman" w:hAnsi="Times New Roman" w:cs="Times New Roman"/>
            <w:color w:val="000000"/>
          </w:rPr>
          <w:t>mohd_22000057@utp.edu.my</w:t>
        </w:r>
      </w:hyperlink>
      <w:r>
        <w:rPr>
          <w:rFonts w:ascii="Times New Roman" w:eastAsia="Times New Roman" w:hAnsi="Times New Roman" w:cs="Times New Roman"/>
        </w:rPr>
        <w:t>)</w:t>
      </w:r>
    </w:p>
    <w:p w14:paraId="56AB9567" w14:textId="77777777" w:rsidR="00893361" w:rsidRDefault="0089336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F8F7F3D" w14:textId="77777777" w:rsidR="00893361" w:rsidRDefault="00252E94">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rPr>
        <w:t>Received: 2 December 2024; Accepted: 23 February 2025; Published: 27 May 2025</w:t>
      </w:r>
    </w:p>
    <w:p w14:paraId="0F111371" w14:textId="77777777" w:rsidR="00893361" w:rsidRDefault="0089336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D238615" w14:textId="77777777" w:rsidR="00893361" w:rsidRDefault="0089336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76DB97A9"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61562BE6"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1DEF9FC"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Malaysia is a nation distinguished by its ethnic, religious, and cultural diversity. Despite this diversity, Islam is recognized as the official religion and significantly influences various dimensions of the lives of Muslims, spanning from personal matters to governmental structures.  Institutions responsible for Islamic affairs were established to supervise religious matters and protect the rights and interests of Muslims. However, the current state of Islamic affairs management remains ambiguous, highlighting the need for a comprehensive assessment tool. Therefore, the objective of this study is to identify a set of indicators for the Islamic Affairs Management Index in Malaysia. The Fuzzy Delphi Method (FDM) was utilized to select and validate the most important indicators for inclusion in the index. The identification of these indicators was based on the input of twelve (12) experts, including policy makers, policy executers, academics, and representatives of non-governmental organizations (NGOs). The results indicated that, out of 40 proposed indicators, 37 met the FDM criteria and were accepted for incorporation into the index. This index serves as a tool for relevant stakeholders to assess the current performance of Islamic affairs management, thereby facilitating informed improvements in policymaking and strategic planning. Overall, this study employed the FDM to guide the decision-making process in the selection and validation of the most critical indicators for the Malaysian Islamic Affairs Index. </w:t>
      </w:r>
    </w:p>
    <w:p w14:paraId="222913D0"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CE9CF2F"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Indicators, Islamic Affairs Management Index, expert consensus, Fuzzy Delphi Method, Malaysia</w:t>
      </w:r>
    </w:p>
    <w:p w14:paraId="50BDEF87"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19AE363"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E122288"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28C3A5E2"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4BF86D8"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 as a Muslim-majority country, places significant emphasis on issues related to Islamic affairs and the welfare of its Muslim population. The effective management of these affairs is essential to the development and progress of Islamic affairs in the country. Despite its importance, the management of Islamic affairs poses significant challenges due to the broad scope of religious matters, including the management of mosques and </w:t>
      </w:r>
      <w:proofErr w:type="spellStart"/>
      <w:r>
        <w:rPr>
          <w:rFonts w:ascii="Times New Roman" w:eastAsia="Times New Roman" w:hAnsi="Times New Roman" w:cs="Times New Roman"/>
          <w:sz w:val="24"/>
          <w:szCs w:val="24"/>
        </w:rPr>
        <w:t>surau</w:t>
      </w:r>
      <w:proofErr w:type="spellEnd"/>
      <w:r>
        <w:rPr>
          <w:rFonts w:ascii="Times New Roman" w:eastAsia="Times New Roman" w:hAnsi="Times New Roman" w:cs="Times New Roman"/>
          <w:sz w:val="24"/>
          <w:szCs w:val="24"/>
        </w:rPr>
        <w:t xml:space="preserve">, Islamic education, </w:t>
      </w:r>
      <w:proofErr w:type="spellStart"/>
      <w:r>
        <w:rPr>
          <w:rFonts w:ascii="Times New Roman" w:eastAsia="Times New Roman" w:hAnsi="Times New Roman" w:cs="Times New Roman"/>
          <w:sz w:val="24"/>
          <w:szCs w:val="24"/>
        </w:rPr>
        <w:t>da’wah</w:t>
      </w:r>
      <w:proofErr w:type="spellEnd"/>
      <w:r>
        <w:rPr>
          <w:rFonts w:ascii="Times New Roman" w:eastAsia="Times New Roman" w:hAnsi="Times New Roman" w:cs="Times New Roman"/>
          <w:sz w:val="24"/>
          <w:szCs w:val="24"/>
        </w:rPr>
        <w:t xml:space="preserve">, Islamic family institution, the enforcement of Islamic laws, halal management, as well as the management of </w:t>
      </w:r>
      <w:proofErr w:type="spellStart"/>
      <w:r>
        <w:rPr>
          <w:rFonts w:ascii="Times New Roman" w:eastAsia="Times New Roman" w:hAnsi="Times New Roman" w:cs="Times New Roman"/>
          <w:i/>
          <w:sz w:val="24"/>
          <w:szCs w:val="24"/>
        </w:rPr>
        <w:t>baitulmal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zakat</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waqf</w:t>
      </w:r>
      <w:proofErr w:type="spellEnd"/>
      <w:r>
        <w:rPr>
          <w:rFonts w:ascii="Times New Roman" w:eastAsia="Times New Roman" w:hAnsi="Times New Roman" w:cs="Times New Roman"/>
          <w:sz w:val="24"/>
          <w:szCs w:val="24"/>
        </w:rPr>
        <w:t xml:space="preserve">. The interconnection of these elements needs a structured and comprehensive approach to assess the effectiveness of Islamic affairs management.  </w:t>
      </w:r>
    </w:p>
    <w:p w14:paraId="72A51210" w14:textId="77777777" w:rsidR="00893361" w:rsidRDefault="00252E94" w:rsidP="00B22B7A">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Islamic affairs management refers to a management system that involves planning, implementing, directing, and monitoring agencies or organizations related to Islamic affairs to achieve the goal of </w:t>
      </w:r>
      <w:r>
        <w:rPr>
          <w:rFonts w:ascii="Times New Roman" w:eastAsia="Times New Roman" w:hAnsi="Times New Roman" w:cs="Times New Roman"/>
          <w:i/>
          <w:sz w:val="24"/>
          <w:szCs w:val="24"/>
        </w:rPr>
        <w:t>al-</w:t>
      </w:r>
      <w:proofErr w:type="spellStart"/>
      <w:r>
        <w:rPr>
          <w:rFonts w:ascii="Times New Roman" w:eastAsia="Times New Roman" w:hAnsi="Times New Roman" w:cs="Times New Roman"/>
          <w:i/>
          <w:sz w:val="24"/>
          <w:szCs w:val="24"/>
        </w:rPr>
        <w:t>falah</w:t>
      </w:r>
      <w:proofErr w:type="spellEnd"/>
      <w:r>
        <w:rPr>
          <w:rFonts w:ascii="Times New Roman" w:eastAsia="Times New Roman" w:hAnsi="Times New Roman" w:cs="Times New Roman"/>
          <w:sz w:val="24"/>
          <w:szCs w:val="24"/>
        </w:rPr>
        <w:t xml:space="preserve"> (success, safety, and lasting happiness) (Ghani et al., 2023). In Malaysia, Islamic affairs are managed and supervised by various religious institutions, with the Department of Islamic Development Malaysia (JAKIM) playing a crucial role at the federal level. At the state level, Islamic affairs are managed by the State Islamic Religious Council (MAIN) and the State Islamic Religious Department (JAIN), each of which has distinct functions and policies in handling religious matters. </w:t>
      </w:r>
    </w:p>
    <w:p w14:paraId="41B2EAEB" w14:textId="77777777" w:rsidR="00893361" w:rsidRDefault="00252E94" w:rsidP="00B22B7A">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support the development of Islamic affairs, the government allocates a substantial budget to Islamic institutions every year. For instance, the government has allocated RM 2 billion for the management and development of Islamic affairs in 2025 (BERNAMA, 2024, September 18). This allocation aims to safeguard the well-being of Muslim society, covering various aspects of education, economic development, and Islamic teachings (Ghani et al., 2023). In addition, JAKIM (2023) introduced “Transformation Plan of Religious Affairs Towards Malaysia </w:t>
      </w:r>
      <w:proofErr w:type="spellStart"/>
      <w:r>
        <w:rPr>
          <w:rFonts w:ascii="Times New Roman" w:eastAsia="Times New Roman" w:hAnsi="Times New Roman" w:cs="Times New Roman"/>
          <w:sz w:val="24"/>
          <w:szCs w:val="24"/>
        </w:rPr>
        <w:t>Madani</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Falah</w:t>
      </w:r>
      <w:proofErr w:type="spellEnd"/>
      <w:r>
        <w:rPr>
          <w:rFonts w:ascii="Times New Roman" w:eastAsia="Times New Roman" w:hAnsi="Times New Roman" w:cs="Times New Roman"/>
          <w:sz w:val="24"/>
          <w:szCs w:val="24"/>
        </w:rPr>
        <w:t>) 2023-2027”. This plan is crucial to ensure a holistic and effective alignment of programs relating to Islamic affairs, as well as to maintain their continuity. To achieve this, five strategic axes were formulated: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strong Islamic administration, (ii) human well-being, (iii) the dignity of </w:t>
      </w:r>
      <w:proofErr w:type="spellStart"/>
      <w:r>
        <w:rPr>
          <w:rFonts w:ascii="Times New Roman" w:eastAsia="Times New Roman" w:hAnsi="Times New Roman" w:cs="Times New Roman"/>
          <w:sz w:val="24"/>
          <w:szCs w:val="24"/>
        </w:rPr>
        <w:t>Shariah</w:t>
      </w:r>
      <w:proofErr w:type="spellEnd"/>
      <w:r>
        <w:rPr>
          <w:rFonts w:ascii="Times New Roman" w:eastAsia="Times New Roman" w:hAnsi="Times New Roman" w:cs="Times New Roman"/>
          <w:sz w:val="24"/>
          <w:szCs w:val="24"/>
        </w:rPr>
        <w:t xml:space="preserve">, (iv) empowered leadership, and (iv) institutional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Through this plan, the implemented strategies and programs can be enhanced to ensure the long-term sustainability of Islamic affairs development. </w:t>
      </w:r>
    </w:p>
    <w:p w14:paraId="07EB23FF" w14:textId="77777777" w:rsidR="00893361" w:rsidRDefault="00252E94" w:rsidP="00B22B7A">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ongoing efforts, empirical evidence continues to indicate persistent challenges in Islamic affairs. If these issues are not effectively addressed, they may lead to further complications that could hamper the development of Islamic affairs and negatively impact the well-being of Muslim societies. Previous studies have identified various issues related to Islamic affairs. For example, a study conducted by Suleiman and </w:t>
      </w:r>
      <w:proofErr w:type="spellStart"/>
      <w:r>
        <w:rPr>
          <w:rFonts w:ascii="Times New Roman" w:eastAsia="Times New Roman" w:hAnsi="Times New Roman" w:cs="Times New Roman"/>
          <w:sz w:val="24"/>
          <w:szCs w:val="24"/>
        </w:rPr>
        <w:t>Farid</w:t>
      </w:r>
      <w:proofErr w:type="spellEnd"/>
      <w:r>
        <w:rPr>
          <w:rFonts w:ascii="Times New Roman" w:eastAsia="Times New Roman" w:hAnsi="Times New Roman" w:cs="Times New Roman"/>
          <w:sz w:val="24"/>
          <w:szCs w:val="24"/>
        </w:rPr>
        <w:t xml:space="preserve"> (2023) revealed that the rising divorce rate among Muslim couples are attributed to factors such as negligence of responsibility, infidelity, domestic violence, communication issues, financial problems, and third-party interventions. A qualitative study by </w:t>
      </w:r>
      <w:proofErr w:type="spellStart"/>
      <w:r>
        <w:rPr>
          <w:rFonts w:ascii="Times New Roman" w:eastAsia="Times New Roman" w:hAnsi="Times New Roman" w:cs="Times New Roman"/>
          <w:sz w:val="24"/>
          <w:szCs w:val="24"/>
        </w:rPr>
        <w:t>Remly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Sabaruddin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Adenan</w:t>
      </w:r>
      <w:proofErr w:type="spellEnd"/>
      <w:r>
        <w:rPr>
          <w:rFonts w:ascii="Times New Roman" w:eastAsia="Times New Roman" w:hAnsi="Times New Roman" w:cs="Times New Roman"/>
          <w:sz w:val="24"/>
          <w:szCs w:val="24"/>
        </w:rPr>
        <w:t xml:space="preserve"> (2024) identified two main challenges in revitalizing the mosque institution. The first challenge concerns the personal characteristics of mosque committee members, including lack of productivity, ideological and political differences, conflicts between religious scholars and professionals, lack of teamwork, and irresponsibility.</w:t>
      </w:r>
      <w:r>
        <w:t xml:space="preserve"> </w:t>
      </w:r>
      <w:r>
        <w:rPr>
          <w:rFonts w:ascii="Times New Roman" w:eastAsia="Times New Roman" w:hAnsi="Times New Roman" w:cs="Times New Roman"/>
          <w:sz w:val="24"/>
          <w:szCs w:val="24"/>
        </w:rPr>
        <w:t xml:space="preserve">The second challenge involves social factors, including the inaccessible nature of the mosque committee members, community resistance to changes initiated by the committee, and ideological and political differences within the mosque leadership. Additionally, a study by </w:t>
      </w:r>
      <w:proofErr w:type="spellStart"/>
      <w:r>
        <w:rPr>
          <w:rFonts w:ascii="Times New Roman" w:eastAsia="Times New Roman" w:hAnsi="Times New Roman" w:cs="Times New Roman"/>
          <w:sz w:val="24"/>
          <w:szCs w:val="24"/>
        </w:rPr>
        <w:t>Awang</w:t>
      </w:r>
      <w:proofErr w:type="spellEnd"/>
      <w:r>
        <w:rPr>
          <w:rFonts w:ascii="Times New Roman" w:eastAsia="Times New Roman" w:hAnsi="Times New Roman" w:cs="Times New Roman"/>
          <w:sz w:val="24"/>
          <w:szCs w:val="24"/>
        </w:rPr>
        <w:t>, Mat and Ghani (2022) found that new converts face challenges in building their identity as Muslims. These challenges include a lack of understanding and appreciation of religious teachings, conversion due to marriage, limited moral support from a non-Muslim partner, continued living in a non-Muslim community, a significant gap from the Muslim community, and difficulty in abandoning old habits. Considering these issues, it is crucial to take important steps to monitor and improve the current situation of Islamic affairs.</w:t>
      </w:r>
    </w:p>
    <w:p w14:paraId="62D0B351" w14:textId="77777777" w:rsidR="00893361" w:rsidRDefault="00252E94" w:rsidP="00B22B7A">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development of a comprehensive and reliable index for evaluating Islamic affairs management is undeniably essential. However, it is equally important to assess its individual elements, as they cannot be evaluated in isolation due to their interconnected nature. Several indices have been developed in the past to measure the performance of specific issues within the Islamic sphere. For instance, </w:t>
      </w:r>
      <w:proofErr w:type="spellStart"/>
      <w:r>
        <w:rPr>
          <w:rFonts w:ascii="Times New Roman" w:eastAsia="Times New Roman" w:hAnsi="Times New Roman" w:cs="Times New Roman"/>
          <w:sz w:val="24"/>
          <w:szCs w:val="24"/>
        </w:rPr>
        <w:t>Sulong</w:t>
      </w:r>
      <w:proofErr w:type="spellEnd"/>
      <w:r>
        <w:rPr>
          <w:rFonts w:ascii="Times New Roman" w:eastAsia="Times New Roman" w:hAnsi="Times New Roman" w:cs="Times New Roman"/>
          <w:sz w:val="24"/>
          <w:szCs w:val="24"/>
        </w:rPr>
        <w:t>, Chowdhury, Abdullah and Hall (2024) constructed the Sustainable Halal Tourism Composite Performance Index (SHTCPI)</w:t>
      </w:r>
      <w:r>
        <w:t xml:space="preserve"> </w:t>
      </w:r>
      <w:r>
        <w:rPr>
          <w:rFonts w:ascii="Times New Roman" w:eastAsia="Times New Roman" w:hAnsi="Times New Roman" w:cs="Times New Roman"/>
          <w:sz w:val="24"/>
          <w:szCs w:val="24"/>
        </w:rPr>
        <w:t xml:space="preserve">to assess the progress of </w:t>
      </w:r>
      <w:r>
        <w:rPr>
          <w:rFonts w:ascii="Times New Roman" w:eastAsia="Times New Roman" w:hAnsi="Times New Roman" w:cs="Times New Roman"/>
          <w:sz w:val="24"/>
          <w:szCs w:val="24"/>
        </w:rPr>
        <w:lastRenderedPageBreak/>
        <w:t xml:space="preserve">the global halal tourism industry based on four key dimensions: environment, social, economic, and halal tourism, using 24 indicators. Similarly, </w:t>
      </w:r>
      <w:proofErr w:type="spellStart"/>
      <w:r>
        <w:rPr>
          <w:rFonts w:ascii="Times New Roman" w:eastAsia="Times New Roman" w:hAnsi="Times New Roman" w:cs="Times New Roman"/>
          <w:sz w:val="24"/>
          <w:szCs w:val="24"/>
        </w:rPr>
        <w:t>Widiastuti</w:t>
      </w:r>
      <w:proofErr w:type="spellEnd"/>
      <w:r>
        <w:rPr>
          <w:rFonts w:ascii="Times New Roman" w:eastAsia="Times New Roman" w:hAnsi="Times New Roman" w:cs="Times New Roman"/>
          <w:sz w:val="24"/>
          <w:szCs w:val="24"/>
        </w:rPr>
        <w:t xml:space="preserve"> et al. (2022) developed a sustainability index for the Islamic Social Finance program to evaluate its performance and long-term sustainability. As-</w:t>
      </w:r>
      <w:proofErr w:type="spellStart"/>
      <w:r>
        <w:rPr>
          <w:rFonts w:ascii="Times New Roman" w:eastAsia="Times New Roman" w:hAnsi="Times New Roman" w:cs="Times New Roman"/>
          <w:sz w:val="24"/>
          <w:szCs w:val="24"/>
        </w:rPr>
        <w:t>Salafiyah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Rusydiana</w:t>
      </w:r>
      <w:proofErr w:type="spellEnd"/>
      <w:r>
        <w:rPr>
          <w:rFonts w:ascii="Times New Roman" w:eastAsia="Times New Roman" w:hAnsi="Times New Roman" w:cs="Times New Roman"/>
          <w:sz w:val="24"/>
          <w:szCs w:val="24"/>
        </w:rPr>
        <w:t xml:space="preserve"> and Mustafa (2022) constructed the </w:t>
      </w:r>
      <w:proofErr w:type="spellStart"/>
      <w:r>
        <w:rPr>
          <w:rFonts w:ascii="Times New Roman" w:eastAsia="Times New Roman" w:hAnsi="Times New Roman" w:cs="Times New Roman"/>
          <w:sz w:val="24"/>
          <w:szCs w:val="24"/>
        </w:rPr>
        <w:t>Maqashid</w:t>
      </w:r>
      <w:proofErr w:type="spellEnd"/>
      <w:r>
        <w:rPr>
          <w:rFonts w:ascii="Times New Roman" w:eastAsia="Times New Roman" w:hAnsi="Times New Roman" w:cs="Times New Roman"/>
          <w:sz w:val="24"/>
          <w:szCs w:val="24"/>
        </w:rPr>
        <w:t xml:space="preserve"> Sharia-based Mosque Empowerment Index, which measures mosque empowerment based on six key indicators, including religion, soul, mind, lineage, property, and environment. </w:t>
      </w:r>
      <w:proofErr w:type="spellStart"/>
      <w:r>
        <w:rPr>
          <w:rFonts w:ascii="Times New Roman" w:eastAsia="Times New Roman" w:hAnsi="Times New Roman" w:cs="Times New Roman"/>
          <w:sz w:val="24"/>
          <w:szCs w:val="24"/>
        </w:rPr>
        <w:t>Wiratama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Safitri</w:t>
      </w:r>
      <w:proofErr w:type="spellEnd"/>
      <w:r>
        <w:rPr>
          <w:rFonts w:ascii="Times New Roman" w:eastAsia="Times New Roman" w:hAnsi="Times New Roman" w:cs="Times New Roman"/>
          <w:sz w:val="24"/>
          <w:szCs w:val="24"/>
        </w:rPr>
        <w:t xml:space="preserve"> (2023) created the Islamic Education Development Index (IEDI) to assess the progress of Islamic education development at the provincial level in Indonesia.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Sukiman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(2023) introduced the </w:t>
      </w:r>
      <w:proofErr w:type="spellStart"/>
      <w:r>
        <w:rPr>
          <w:rFonts w:ascii="Times New Roman" w:eastAsia="Times New Roman" w:hAnsi="Times New Roman" w:cs="Times New Roman"/>
          <w:sz w:val="24"/>
          <w:szCs w:val="24"/>
        </w:rPr>
        <w:t>Falah</w:t>
      </w:r>
      <w:proofErr w:type="spellEnd"/>
      <w:r>
        <w:rPr>
          <w:rFonts w:ascii="Times New Roman" w:eastAsia="Times New Roman" w:hAnsi="Times New Roman" w:cs="Times New Roman"/>
          <w:sz w:val="24"/>
          <w:szCs w:val="24"/>
        </w:rPr>
        <w:t xml:space="preserve"> Welfare Index to measure the community well-being in </w:t>
      </w:r>
      <w:proofErr w:type="spellStart"/>
      <w:r>
        <w:rPr>
          <w:rFonts w:ascii="Times New Roman" w:eastAsia="Times New Roman" w:hAnsi="Times New Roman" w:cs="Times New Roman"/>
          <w:sz w:val="24"/>
          <w:szCs w:val="24"/>
        </w:rPr>
        <w:t>Langkat</w:t>
      </w:r>
      <w:proofErr w:type="spellEnd"/>
      <w:r>
        <w:rPr>
          <w:rFonts w:ascii="Times New Roman" w:eastAsia="Times New Roman" w:hAnsi="Times New Roman" w:cs="Times New Roman"/>
          <w:sz w:val="24"/>
          <w:szCs w:val="24"/>
        </w:rPr>
        <w:t xml:space="preserve"> Regency, Indonesia. Finally, Osman et al. (2024) developed the </w:t>
      </w:r>
      <w:proofErr w:type="spellStart"/>
      <w:r>
        <w:rPr>
          <w:rFonts w:ascii="Times New Roman" w:eastAsia="Times New Roman" w:hAnsi="Times New Roman" w:cs="Times New Roman"/>
          <w:sz w:val="24"/>
          <w:szCs w:val="24"/>
        </w:rPr>
        <w:t>Maqasid</w:t>
      </w:r>
      <w:proofErr w:type="spellEnd"/>
      <w:r>
        <w:rPr>
          <w:rFonts w:ascii="Times New Roman" w:eastAsia="Times New Roman" w:hAnsi="Times New Roman" w:cs="Times New Roman"/>
          <w:sz w:val="24"/>
          <w:szCs w:val="24"/>
        </w:rPr>
        <w:t xml:space="preserve"> Al-</w:t>
      </w:r>
      <w:proofErr w:type="spellStart"/>
      <w:r>
        <w:rPr>
          <w:rFonts w:ascii="Times New Roman" w:eastAsia="Times New Roman" w:hAnsi="Times New Roman" w:cs="Times New Roman"/>
          <w:sz w:val="24"/>
          <w:szCs w:val="24"/>
        </w:rPr>
        <w:t>Shari’ah</w:t>
      </w:r>
      <w:proofErr w:type="spellEnd"/>
      <w:r>
        <w:rPr>
          <w:rFonts w:ascii="Times New Roman" w:eastAsia="Times New Roman" w:hAnsi="Times New Roman" w:cs="Times New Roman"/>
          <w:sz w:val="24"/>
          <w:szCs w:val="24"/>
        </w:rPr>
        <w:t xml:space="preserve"> - Society’s Perception Index (MS-SPI) to</w:t>
      </w:r>
      <w:r>
        <w:t xml:space="preserve"> </w:t>
      </w:r>
      <w:r>
        <w:rPr>
          <w:rFonts w:ascii="Times New Roman" w:eastAsia="Times New Roman" w:hAnsi="Times New Roman" w:cs="Times New Roman"/>
          <w:sz w:val="24"/>
          <w:szCs w:val="24"/>
        </w:rPr>
        <w:t xml:space="preserve">evaluate social well-being based on societal perceptions within the context of </w:t>
      </w:r>
      <w:proofErr w:type="spellStart"/>
      <w:r>
        <w:rPr>
          <w:rFonts w:ascii="Times New Roman" w:eastAsia="Times New Roman" w:hAnsi="Times New Roman" w:cs="Times New Roman"/>
          <w:sz w:val="24"/>
          <w:szCs w:val="24"/>
        </w:rPr>
        <w:t>Maqasid</w:t>
      </w:r>
      <w:proofErr w:type="spellEnd"/>
      <w:r>
        <w:rPr>
          <w:rFonts w:ascii="Times New Roman" w:eastAsia="Times New Roman" w:hAnsi="Times New Roman" w:cs="Times New Roman"/>
          <w:sz w:val="24"/>
          <w:szCs w:val="24"/>
        </w:rPr>
        <w:t xml:space="preserve"> al-</w:t>
      </w:r>
      <w:proofErr w:type="spellStart"/>
      <w:r>
        <w:rPr>
          <w:rFonts w:ascii="Times New Roman" w:eastAsia="Times New Roman" w:hAnsi="Times New Roman" w:cs="Times New Roman"/>
          <w:sz w:val="24"/>
          <w:szCs w:val="24"/>
        </w:rPr>
        <w:t>Shari’ah</w:t>
      </w:r>
      <w:proofErr w:type="spellEnd"/>
      <w:r>
        <w:rPr>
          <w:rFonts w:ascii="Times New Roman" w:eastAsia="Times New Roman" w:hAnsi="Times New Roman" w:cs="Times New Roman"/>
          <w:sz w:val="24"/>
          <w:szCs w:val="24"/>
        </w:rPr>
        <w:t>. Although these indices provide valuable insights into particular aspects, they do not offer a comprehensive assessment of Islamic affairs management. Consequently, further study is needed to construct an index capable of tracking the overall performance of Islamic affairs management, which can provide a more holistic understanding of their state and progress.</w:t>
      </w:r>
    </w:p>
    <w:p w14:paraId="7B7C27C7" w14:textId="0779FD67" w:rsidR="00893361" w:rsidRDefault="00252E94" w:rsidP="00B22B7A">
      <w:pPr>
        <w:tabs>
          <w:tab w:val="left" w:pos="3402"/>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these efforts demonstrate the significant gap in the overall assessment of Islamic affairs management and selecting relevant indicators. The lack of a standardized framework for evaluating the management of Islamic affairs can prevent policymakers and other stakeholders from making informed decisions and implementing changes that can improve institutions.  Furthermore, without a constructive and transparent evaluation tool, it becomes difficult to assess the impact of policies or track improvement in the management of Islamic affairs over time. As such, there is an urgent need to develop a set of valid and reliable indicators, specifically adapted to the Malaysian context. Indeed, the strength and weakness of any index largely depend on the quality of the underlying variables (indicators) (OECD, 2008). The selection of these indicators should adhere to the SMART criteria, meaning they must be specific, measurable, achievable, relevant, and time-bound (</w:t>
      </w:r>
      <w:proofErr w:type="spellStart"/>
      <w:r>
        <w:rPr>
          <w:rFonts w:ascii="Times New Roman" w:eastAsia="Times New Roman" w:hAnsi="Times New Roman" w:cs="Times New Roman"/>
          <w:sz w:val="24"/>
          <w:szCs w:val="24"/>
        </w:rPr>
        <w:t>Santeramo</w:t>
      </w:r>
      <w:proofErr w:type="spellEnd"/>
      <w:r>
        <w:rPr>
          <w:rFonts w:ascii="Times New Roman" w:eastAsia="Times New Roman" w:hAnsi="Times New Roman" w:cs="Times New Roman"/>
          <w:sz w:val="24"/>
          <w:szCs w:val="24"/>
        </w:rPr>
        <w:t xml:space="preserve">, 2015). To address this issue, the development of such an index would provide a structured framework to assess the performance of Islamic affairs management in Malaysia. This can provide a better understanding of the strengths and weaknesses of implemented policies and programs, thereby guiding more effective decision-making processes within Islamic institutions. Therefore, this study aims to identify and select the most significant indicators for the Islamic affairs management index using the Fuzzy Delphi Method (FDM). </w:t>
      </w:r>
    </w:p>
    <w:p w14:paraId="650EF913"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A762A71"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246F109"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w:t>
      </w:r>
    </w:p>
    <w:p w14:paraId="2699EB1F"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9DDB9AF"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the Fuzzy Delphi Method (FDM) as the primary approach to identify the most significant indicators for the Islamic Affairs Management Index. The FDM was selected because of its ability to address the ambiguity and subjectivity of expert views while facilitating consensus among experts (</w:t>
      </w:r>
      <w:proofErr w:type="spellStart"/>
      <w:r>
        <w:rPr>
          <w:rFonts w:ascii="Times New Roman" w:eastAsia="Times New Roman" w:hAnsi="Times New Roman" w:cs="Times New Roman"/>
          <w:sz w:val="24"/>
          <w:szCs w:val="24"/>
        </w:rPr>
        <w:t>Jamaludin</w:t>
      </w:r>
      <w:proofErr w:type="spellEnd"/>
      <w:r>
        <w:rPr>
          <w:rFonts w:ascii="Times New Roman" w:eastAsia="Times New Roman" w:hAnsi="Times New Roman" w:cs="Times New Roman"/>
          <w:sz w:val="24"/>
          <w:szCs w:val="24"/>
        </w:rPr>
        <w:t xml:space="preserve"> et al., 2025). As a modified version of the traditional Delphi method, FDM integrates fuzzy set theory to overcome the ambiguities that may arise during expert consensus (Lee et al., 2021). Unlike the traditional Delphi method, which often faces challenges such as low convergence of expert views, high costs, and the risk of eliminating various experts’ views (</w:t>
      </w:r>
      <w:proofErr w:type="spellStart"/>
      <w:r>
        <w:rPr>
          <w:rFonts w:ascii="Times New Roman" w:eastAsia="Times New Roman" w:hAnsi="Times New Roman" w:cs="Times New Roman"/>
          <w:sz w:val="24"/>
          <w:szCs w:val="24"/>
        </w:rPr>
        <w:t>Mabrouk</w:t>
      </w:r>
      <w:proofErr w:type="spellEnd"/>
      <w:r>
        <w:rPr>
          <w:rFonts w:ascii="Times New Roman" w:eastAsia="Times New Roman" w:hAnsi="Times New Roman" w:cs="Times New Roman"/>
          <w:sz w:val="24"/>
          <w:szCs w:val="24"/>
        </w:rPr>
        <w:t>, 2021). The FDM improves decision-making by utilizing triangulation statistics to measure the distance between levels of consensus within the expert panel (</w:t>
      </w:r>
      <w:proofErr w:type="spellStart"/>
      <w:r>
        <w:rPr>
          <w:rFonts w:ascii="Times New Roman" w:eastAsia="Times New Roman" w:hAnsi="Times New Roman" w:cs="Times New Roman"/>
          <w:sz w:val="24"/>
          <w:szCs w:val="24"/>
        </w:rPr>
        <w:t>Ghazali</w:t>
      </w:r>
      <w:proofErr w:type="spellEnd"/>
      <w:r>
        <w:rPr>
          <w:rFonts w:ascii="Times New Roman" w:eastAsia="Times New Roman" w:hAnsi="Times New Roman" w:cs="Times New Roman"/>
          <w:sz w:val="24"/>
          <w:szCs w:val="24"/>
        </w:rPr>
        <w:t xml:space="preserve">, Lim &amp; </w:t>
      </w:r>
      <w:proofErr w:type="spellStart"/>
      <w:r>
        <w:rPr>
          <w:rFonts w:ascii="Times New Roman" w:eastAsia="Times New Roman" w:hAnsi="Times New Roman" w:cs="Times New Roman"/>
          <w:sz w:val="24"/>
          <w:szCs w:val="24"/>
        </w:rPr>
        <w:t>Jamak</w:t>
      </w:r>
      <w:proofErr w:type="spellEnd"/>
      <w:r>
        <w:rPr>
          <w:rFonts w:ascii="Times New Roman" w:eastAsia="Times New Roman" w:hAnsi="Times New Roman" w:cs="Times New Roman"/>
          <w:sz w:val="24"/>
          <w:szCs w:val="24"/>
        </w:rPr>
        <w:t xml:space="preserve">, 2019), thereby reducing ambiguity in interpreting expert feedback (Lin et al., 2020). In </w:t>
      </w:r>
      <w:r>
        <w:rPr>
          <w:rFonts w:ascii="Times New Roman" w:eastAsia="Times New Roman" w:hAnsi="Times New Roman" w:cs="Times New Roman"/>
          <w:sz w:val="24"/>
          <w:szCs w:val="24"/>
        </w:rPr>
        <w:lastRenderedPageBreak/>
        <w:t xml:space="preserve">addition, the robustness of the method allows for the integration of diverse perspectives, thereby improving the comprehensiveness of the index framework. The ability of the FDM in handling both qualitative (Delphi) and quantitative (fuzzy analysis) data ensures a more objective approach in managing uncertainty in data collection, expert judgments, and indicator selection, while accounting for data fuzziness (Padilla-Rivera et al., 2021). </w:t>
      </w:r>
    </w:p>
    <w:p w14:paraId="4A295BF8"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2FBA1A6D" w14:textId="77777777" w:rsidR="00893361" w:rsidRDefault="00252E94">
      <w:pPr>
        <w:keepNext/>
        <w:keepLines/>
        <w:spacing w:after="0"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w:t>
      </w:r>
    </w:p>
    <w:p w14:paraId="11949F91" w14:textId="77777777" w:rsidR="00893361" w:rsidRDefault="00893361">
      <w:pPr>
        <w:spacing w:after="0" w:line="240" w:lineRule="auto"/>
        <w:ind w:left="0" w:hanging="2"/>
      </w:pPr>
    </w:p>
    <w:p w14:paraId="0DBA3A99"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for this study were selected through purposive sampling from a group of twelve (12) expert panels. According to Adler and </w:t>
      </w:r>
      <w:proofErr w:type="spellStart"/>
      <w:r>
        <w:rPr>
          <w:rFonts w:ascii="Times New Roman" w:eastAsia="Times New Roman" w:hAnsi="Times New Roman" w:cs="Times New Roman"/>
          <w:sz w:val="24"/>
          <w:szCs w:val="24"/>
        </w:rPr>
        <w:t>Ziglio</w:t>
      </w:r>
      <w:proofErr w:type="spellEnd"/>
      <w:r>
        <w:rPr>
          <w:rFonts w:ascii="Times New Roman" w:eastAsia="Times New Roman" w:hAnsi="Times New Roman" w:cs="Times New Roman"/>
          <w:sz w:val="24"/>
          <w:szCs w:val="24"/>
        </w:rPr>
        <w:t xml:space="preserve"> (1996), a sample of 10 to 15 experts is considered appropriate for the Delphi technique. In the Delphi method, the selection of experts is crucial because it can influence the quality and reliability of the study’s results (Jacobs, 1996). The experts consisted of policymakers, policy executors, academics, and representatives of non-governmental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(NGOs). The selection of the experts was based on the following criteria:</w:t>
      </w:r>
    </w:p>
    <w:p w14:paraId="3C66A68C"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49100DB8" w14:textId="77777777" w:rsidR="00893361" w:rsidRDefault="00252E94" w:rsidP="00B22B7A">
      <w:pPr>
        <w:numPr>
          <w:ilvl w:val="0"/>
          <w:numId w:val="2"/>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expert must have knowledge of Islamic affairs management. </w:t>
      </w:r>
    </w:p>
    <w:p w14:paraId="07EB22EA" w14:textId="77777777" w:rsidR="00893361" w:rsidRDefault="00252E94" w:rsidP="00B22B7A">
      <w:pPr>
        <w:numPr>
          <w:ilvl w:val="0"/>
          <w:numId w:val="2"/>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expert must have at least five years of experience in their respective field. </w:t>
      </w:r>
    </w:p>
    <w:p w14:paraId="62A72108" w14:textId="77777777" w:rsidR="00893361" w:rsidRDefault="00252E94" w:rsidP="00B22B7A">
      <w:pPr>
        <w:numPr>
          <w:ilvl w:val="0"/>
          <w:numId w:val="2"/>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experts must have at least a bachelor’s degree and a doctorate for academics. </w:t>
      </w:r>
    </w:p>
    <w:p w14:paraId="40AB0852" w14:textId="77777777" w:rsidR="00893361" w:rsidRDefault="00252E94" w:rsidP="00B22B7A">
      <w:pPr>
        <w:numPr>
          <w:ilvl w:val="0"/>
          <w:numId w:val="2"/>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experts who agree to participate must fully commit to the duration of the study. </w:t>
      </w:r>
    </w:p>
    <w:p w14:paraId="7C6B1883" w14:textId="77777777" w:rsidR="00893361" w:rsidRDefault="00252E94" w:rsidP="00B22B7A">
      <w:pPr>
        <w:numPr>
          <w:ilvl w:val="0"/>
          <w:numId w:val="2"/>
        </w:numPr>
        <w:spacing w:after="0" w:line="240" w:lineRule="auto"/>
        <w:ind w:leftChars="0" w:left="365" w:firstLineChars="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expert must have excellent communication skills. </w:t>
      </w:r>
    </w:p>
    <w:p w14:paraId="33985AEB"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76E4B0A0"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displays the profile of the participants (experts) involved in the study.</w:t>
      </w:r>
    </w:p>
    <w:p w14:paraId="3E58E05D"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72A41B89" w14:textId="77777777" w:rsidR="00893361" w:rsidRDefault="00252E94">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Profile of the experts</w:t>
      </w:r>
    </w:p>
    <w:p w14:paraId="1CC1491D" w14:textId="77777777" w:rsidR="00893361" w:rsidRDefault="00893361">
      <w:pPr>
        <w:spacing w:after="0" w:line="240" w:lineRule="auto"/>
        <w:ind w:left="0" w:hanging="2"/>
        <w:jc w:val="center"/>
        <w:rPr>
          <w:rFonts w:ascii="Times New Roman" w:eastAsia="Times New Roman" w:hAnsi="Times New Roman" w:cs="Times New Roman"/>
          <w:sz w:val="24"/>
          <w:szCs w:val="24"/>
        </w:rPr>
      </w:pPr>
    </w:p>
    <w:tbl>
      <w:tblPr>
        <w:tblStyle w:val="a0"/>
        <w:tblW w:w="8080"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603"/>
        <w:gridCol w:w="3502"/>
        <w:gridCol w:w="1498"/>
        <w:gridCol w:w="1477"/>
      </w:tblGrid>
      <w:tr w:rsidR="00893361" w14:paraId="4B897FCD" w14:textId="77777777">
        <w:trPr>
          <w:jc w:val="center"/>
        </w:trPr>
        <w:tc>
          <w:tcPr>
            <w:tcW w:w="1603" w:type="dxa"/>
            <w:tcBorders>
              <w:top w:val="single" w:sz="4" w:space="0" w:color="000000"/>
              <w:bottom w:val="single" w:sz="4" w:space="0" w:color="000000"/>
            </w:tcBorders>
            <w:shd w:val="clear" w:color="auto" w:fill="8DB3E2"/>
          </w:tcPr>
          <w:p w14:paraId="3E1E9834"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Demographic variable</w:t>
            </w:r>
          </w:p>
        </w:tc>
        <w:tc>
          <w:tcPr>
            <w:tcW w:w="3502" w:type="dxa"/>
            <w:tcBorders>
              <w:top w:val="single" w:sz="4" w:space="0" w:color="000000"/>
              <w:bottom w:val="single" w:sz="4" w:space="0" w:color="000000"/>
            </w:tcBorders>
            <w:shd w:val="clear" w:color="auto" w:fill="8DB3E2"/>
          </w:tcPr>
          <w:p w14:paraId="36C1E559"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w:t>
            </w:r>
          </w:p>
        </w:tc>
        <w:tc>
          <w:tcPr>
            <w:tcW w:w="1498" w:type="dxa"/>
            <w:tcBorders>
              <w:top w:val="single" w:sz="4" w:space="0" w:color="000000"/>
              <w:bottom w:val="single" w:sz="4" w:space="0" w:color="000000"/>
            </w:tcBorders>
            <w:shd w:val="clear" w:color="auto" w:fill="8DB3E2"/>
          </w:tcPr>
          <w:p w14:paraId="478854BC"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477" w:type="dxa"/>
            <w:tcBorders>
              <w:top w:val="single" w:sz="4" w:space="0" w:color="000000"/>
              <w:bottom w:val="single" w:sz="4" w:space="0" w:color="000000"/>
            </w:tcBorders>
            <w:shd w:val="clear" w:color="auto" w:fill="8DB3E2"/>
          </w:tcPr>
          <w:p w14:paraId="54277C20"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w:t>
            </w:r>
          </w:p>
          <w:p w14:paraId="09D1AA93"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93361" w14:paraId="4CDBFEA8" w14:textId="77777777">
        <w:trPr>
          <w:jc w:val="center"/>
        </w:trPr>
        <w:tc>
          <w:tcPr>
            <w:tcW w:w="1603" w:type="dxa"/>
            <w:vMerge w:val="restart"/>
            <w:tcBorders>
              <w:top w:val="single" w:sz="4" w:space="0" w:color="000000"/>
            </w:tcBorders>
            <w:shd w:val="clear" w:color="auto" w:fill="auto"/>
          </w:tcPr>
          <w:p w14:paraId="74F8B05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502" w:type="dxa"/>
            <w:tcBorders>
              <w:top w:val="single" w:sz="4" w:space="0" w:color="000000"/>
            </w:tcBorders>
            <w:shd w:val="clear" w:color="auto" w:fill="auto"/>
          </w:tcPr>
          <w:p w14:paraId="0392D846"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498" w:type="dxa"/>
            <w:tcBorders>
              <w:top w:val="single" w:sz="4" w:space="0" w:color="000000"/>
            </w:tcBorders>
            <w:shd w:val="clear" w:color="auto" w:fill="auto"/>
          </w:tcPr>
          <w:p w14:paraId="337FABE7"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77" w:type="dxa"/>
            <w:tcBorders>
              <w:top w:val="single" w:sz="4" w:space="0" w:color="000000"/>
            </w:tcBorders>
            <w:shd w:val="clear" w:color="auto" w:fill="auto"/>
          </w:tcPr>
          <w:p w14:paraId="43F298C8"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75.00</w:t>
            </w:r>
          </w:p>
        </w:tc>
      </w:tr>
      <w:tr w:rsidR="00893361" w14:paraId="4EFBA55C" w14:textId="77777777">
        <w:trPr>
          <w:jc w:val="center"/>
        </w:trPr>
        <w:tc>
          <w:tcPr>
            <w:tcW w:w="1603" w:type="dxa"/>
            <w:vMerge/>
            <w:tcBorders>
              <w:top w:val="single" w:sz="4" w:space="0" w:color="000000"/>
            </w:tcBorders>
            <w:shd w:val="clear" w:color="auto" w:fill="auto"/>
          </w:tcPr>
          <w:p w14:paraId="2EC5503E"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shd w:val="clear" w:color="auto" w:fill="auto"/>
          </w:tcPr>
          <w:p w14:paraId="62A432D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498" w:type="dxa"/>
            <w:shd w:val="clear" w:color="auto" w:fill="auto"/>
          </w:tcPr>
          <w:p w14:paraId="5040280B"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7" w:type="dxa"/>
            <w:shd w:val="clear" w:color="auto" w:fill="auto"/>
          </w:tcPr>
          <w:p w14:paraId="484D0D14"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893361" w14:paraId="139136F6" w14:textId="77777777">
        <w:trPr>
          <w:jc w:val="center"/>
        </w:trPr>
        <w:tc>
          <w:tcPr>
            <w:tcW w:w="1603" w:type="dxa"/>
            <w:vMerge w:val="restart"/>
          </w:tcPr>
          <w:p w14:paraId="2703A63F"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Category of expert</w:t>
            </w:r>
          </w:p>
        </w:tc>
        <w:tc>
          <w:tcPr>
            <w:tcW w:w="3502" w:type="dxa"/>
          </w:tcPr>
          <w:p w14:paraId="520D80F9"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Policy maker</w:t>
            </w:r>
          </w:p>
        </w:tc>
        <w:tc>
          <w:tcPr>
            <w:tcW w:w="1498" w:type="dxa"/>
          </w:tcPr>
          <w:p w14:paraId="6B19B23C"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77" w:type="dxa"/>
          </w:tcPr>
          <w:p w14:paraId="53D7A992"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16.70</w:t>
            </w:r>
          </w:p>
        </w:tc>
      </w:tr>
      <w:tr w:rsidR="00893361" w14:paraId="7516337C" w14:textId="77777777">
        <w:trPr>
          <w:jc w:val="center"/>
        </w:trPr>
        <w:tc>
          <w:tcPr>
            <w:tcW w:w="1603" w:type="dxa"/>
            <w:vMerge/>
          </w:tcPr>
          <w:p w14:paraId="44F62494"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Pr>
          <w:p w14:paraId="31E617DC"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Policy executor</w:t>
            </w:r>
          </w:p>
        </w:tc>
        <w:tc>
          <w:tcPr>
            <w:tcW w:w="1498" w:type="dxa"/>
          </w:tcPr>
          <w:p w14:paraId="632E2172"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77" w:type="dxa"/>
          </w:tcPr>
          <w:p w14:paraId="7BC5FA09"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41.70</w:t>
            </w:r>
          </w:p>
        </w:tc>
      </w:tr>
      <w:tr w:rsidR="00893361" w14:paraId="119F6FD9" w14:textId="77777777">
        <w:trPr>
          <w:jc w:val="center"/>
        </w:trPr>
        <w:tc>
          <w:tcPr>
            <w:tcW w:w="1603" w:type="dxa"/>
            <w:vMerge/>
          </w:tcPr>
          <w:p w14:paraId="6FC224F0"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Pr>
          <w:p w14:paraId="06100600"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Academician</w:t>
            </w:r>
          </w:p>
        </w:tc>
        <w:tc>
          <w:tcPr>
            <w:tcW w:w="1498" w:type="dxa"/>
          </w:tcPr>
          <w:p w14:paraId="2FC2D663"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7" w:type="dxa"/>
          </w:tcPr>
          <w:p w14:paraId="60A76A21"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893361" w14:paraId="4A7159CB" w14:textId="77777777">
        <w:trPr>
          <w:jc w:val="center"/>
        </w:trPr>
        <w:tc>
          <w:tcPr>
            <w:tcW w:w="1603" w:type="dxa"/>
            <w:vMerge/>
          </w:tcPr>
          <w:p w14:paraId="2C9294FA"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Pr>
          <w:p w14:paraId="0E69F6B1"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Non-Governmental </w:t>
            </w:r>
            <w:proofErr w:type="spellStart"/>
            <w:r>
              <w:rPr>
                <w:rFonts w:ascii="Times New Roman" w:eastAsia="Times New Roman" w:hAnsi="Times New Roman" w:cs="Times New Roman"/>
                <w:sz w:val="24"/>
                <w:szCs w:val="24"/>
              </w:rPr>
              <w:t>Organisation</w:t>
            </w:r>
            <w:proofErr w:type="spellEnd"/>
          </w:p>
        </w:tc>
        <w:tc>
          <w:tcPr>
            <w:tcW w:w="1498" w:type="dxa"/>
          </w:tcPr>
          <w:p w14:paraId="12299CC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77" w:type="dxa"/>
          </w:tcPr>
          <w:p w14:paraId="6171164C"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16.70</w:t>
            </w:r>
          </w:p>
        </w:tc>
      </w:tr>
      <w:tr w:rsidR="00893361" w14:paraId="7159FF3A" w14:textId="77777777">
        <w:trPr>
          <w:jc w:val="center"/>
        </w:trPr>
        <w:tc>
          <w:tcPr>
            <w:tcW w:w="1603" w:type="dxa"/>
            <w:vMerge w:val="restart"/>
          </w:tcPr>
          <w:p w14:paraId="798EA812"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qualification</w:t>
            </w:r>
          </w:p>
        </w:tc>
        <w:tc>
          <w:tcPr>
            <w:tcW w:w="3502" w:type="dxa"/>
          </w:tcPr>
          <w:p w14:paraId="70D2A6E2"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 degree</w:t>
            </w:r>
          </w:p>
        </w:tc>
        <w:tc>
          <w:tcPr>
            <w:tcW w:w="1498" w:type="dxa"/>
          </w:tcPr>
          <w:p w14:paraId="5C591F1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77" w:type="dxa"/>
          </w:tcPr>
          <w:p w14:paraId="620B94D8"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33.30</w:t>
            </w:r>
          </w:p>
        </w:tc>
      </w:tr>
      <w:tr w:rsidR="00893361" w14:paraId="7A870FB1" w14:textId="77777777">
        <w:trPr>
          <w:jc w:val="center"/>
        </w:trPr>
        <w:tc>
          <w:tcPr>
            <w:tcW w:w="1603" w:type="dxa"/>
            <w:vMerge/>
          </w:tcPr>
          <w:p w14:paraId="24A14F54"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Pr>
          <w:p w14:paraId="5B6D1BB6"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Master’s degree</w:t>
            </w:r>
          </w:p>
        </w:tc>
        <w:tc>
          <w:tcPr>
            <w:tcW w:w="1498" w:type="dxa"/>
          </w:tcPr>
          <w:p w14:paraId="03CCF8E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7" w:type="dxa"/>
          </w:tcPr>
          <w:p w14:paraId="69764D79"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893361" w14:paraId="216E897B" w14:textId="77777777">
        <w:trPr>
          <w:jc w:val="center"/>
        </w:trPr>
        <w:tc>
          <w:tcPr>
            <w:tcW w:w="1603" w:type="dxa"/>
            <w:vMerge/>
          </w:tcPr>
          <w:p w14:paraId="2A71F95B"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Pr>
          <w:p w14:paraId="7177DBDE"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PhD</w:t>
            </w:r>
          </w:p>
        </w:tc>
        <w:tc>
          <w:tcPr>
            <w:tcW w:w="1498" w:type="dxa"/>
          </w:tcPr>
          <w:p w14:paraId="1E3ABC40"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77" w:type="dxa"/>
          </w:tcPr>
          <w:p w14:paraId="4E54AC9B"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41.70</w:t>
            </w:r>
          </w:p>
        </w:tc>
      </w:tr>
      <w:tr w:rsidR="00893361" w14:paraId="76DA0D82" w14:textId="77777777">
        <w:trPr>
          <w:jc w:val="center"/>
        </w:trPr>
        <w:tc>
          <w:tcPr>
            <w:tcW w:w="1603" w:type="dxa"/>
            <w:vMerge w:val="restart"/>
          </w:tcPr>
          <w:p w14:paraId="289CFEFD"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experience</w:t>
            </w:r>
          </w:p>
        </w:tc>
        <w:tc>
          <w:tcPr>
            <w:tcW w:w="3502" w:type="dxa"/>
          </w:tcPr>
          <w:p w14:paraId="29EEF871"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11 - 20 years</w:t>
            </w:r>
          </w:p>
        </w:tc>
        <w:tc>
          <w:tcPr>
            <w:tcW w:w="1498" w:type="dxa"/>
          </w:tcPr>
          <w:p w14:paraId="4FBDDA4C"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77" w:type="dxa"/>
          </w:tcPr>
          <w:p w14:paraId="416C67E2"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16.70</w:t>
            </w:r>
          </w:p>
        </w:tc>
      </w:tr>
      <w:tr w:rsidR="00893361" w14:paraId="25868AF4" w14:textId="77777777">
        <w:trPr>
          <w:jc w:val="center"/>
        </w:trPr>
        <w:tc>
          <w:tcPr>
            <w:tcW w:w="1603" w:type="dxa"/>
            <w:vMerge/>
          </w:tcPr>
          <w:p w14:paraId="26452E36" w14:textId="77777777" w:rsidR="00893361"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502" w:type="dxa"/>
            <w:tcBorders>
              <w:bottom w:val="single" w:sz="4" w:space="0" w:color="000000"/>
            </w:tcBorders>
          </w:tcPr>
          <w:p w14:paraId="470A9C5E"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years and above</w:t>
            </w:r>
          </w:p>
        </w:tc>
        <w:tc>
          <w:tcPr>
            <w:tcW w:w="1498" w:type="dxa"/>
            <w:tcBorders>
              <w:bottom w:val="single" w:sz="4" w:space="0" w:color="000000"/>
            </w:tcBorders>
          </w:tcPr>
          <w:p w14:paraId="7D1D9850"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77" w:type="dxa"/>
            <w:tcBorders>
              <w:bottom w:val="single" w:sz="4" w:space="0" w:color="000000"/>
            </w:tcBorders>
          </w:tcPr>
          <w:p w14:paraId="736930EB" w14:textId="77777777" w:rsidR="00893361" w:rsidRDefault="00252E94">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83.30</w:t>
            </w:r>
          </w:p>
        </w:tc>
      </w:tr>
      <w:tr w:rsidR="00893361" w14:paraId="13DA33F5" w14:textId="77777777">
        <w:trPr>
          <w:jc w:val="center"/>
        </w:trPr>
        <w:tc>
          <w:tcPr>
            <w:tcW w:w="5105" w:type="dxa"/>
            <w:gridSpan w:val="2"/>
            <w:tcBorders>
              <w:top w:val="single" w:sz="4" w:space="0" w:color="000000"/>
              <w:bottom w:val="single" w:sz="4" w:space="0" w:color="000000"/>
            </w:tcBorders>
          </w:tcPr>
          <w:p w14:paraId="358D758D"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498" w:type="dxa"/>
            <w:tcBorders>
              <w:top w:val="single" w:sz="4" w:space="0" w:color="000000"/>
              <w:bottom w:val="single" w:sz="4" w:space="0" w:color="000000"/>
            </w:tcBorders>
          </w:tcPr>
          <w:p w14:paraId="0EE383EF"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477" w:type="dxa"/>
            <w:tcBorders>
              <w:top w:val="single" w:sz="4" w:space="0" w:color="000000"/>
              <w:bottom w:val="single" w:sz="4" w:space="0" w:color="000000"/>
            </w:tcBorders>
          </w:tcPr>
          <w:p w14:paraId="494915E8" w14:textId="77777777" w:rsidR="00893361" w:rsidRDefault="00252E94">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14:paraId="35080D34" w14:textId="77777777" w:rsidR="00893361" w:rsidRDefault="00893361">
      <w:pPr>
        <w:spacing w:after="0" w:line="259" w:lineRule="auto"/>
        <w:ind w:left="0" w:hanging="2"/>
      </w:pPr>
    </w:p>
    <w:p w14:paraId="10EF5D82" w14:textId="77777777" w:rsidR="00893361" w:rsidRDefault="00252E94">
      <w:pPr>
        <w:keepNext/>
        <w:keepLines/>
        <w:spacing w:after="0"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Instrument </w:t>
      </w:r>
    </w:p>
    <w:p w14:paraId="49E300FE" w14:textId="77777777" w:rsidR="00893361" w:rsidRDefault="00893361">
      <w:pPr>
        <w:spacing w:after="0" w:line="259" w:lineRule="auto"/>
        <w:ind w:left="0" w:hanging="2"/>
      </w:pPr>
    </w:p>
    <w:p w14:paraId="24A9F607"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a survey questionnaire was employed to gather expert views on the key indicators for the Islamic Affairs Management Index. The questionnaire was designed based on insights from previous research and refined through small group discussions using the Nominal Group </w:t>
      </w:r>
      <w:r>
        <w:rPr>
          <w:rFonts w:ascii="Times New Roman" w:eastAsia="Times New Roman" w:hAnsi="Times New Roman" w:cs="Times New Roman"/>
          <w:sz w:val="24"/>
          <w:szCs w:val="24"/>
        </w:rPr>
        <w:lastRenderedPageBreak/>
        <w:t>Technique (NGT) to ensure a well-rounded selection of indicators. It consists of two main sections: (1) Section A, which collects information about the experts’ backgrounds, and (2) Section B, which focuses on their evaluations of the proposed indicators for managing Islamic affairs.</w:t>
      </w:r>
    </w:p>
    <w:p w14:paraId="275037A5"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4B738B42" w14:textId="77777777" w:rsidR="00893361" w:rsidRDefault="00252E94">
      <w:pPr>
        <w:keepNext/>
        <w:keepLines/>
        <w:spacing w:after="0"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Procedure and data analysis</w:t>
      </w:r>
    </w:p>
    <w:p w14:paraId="2AB24668" w14:textId="77777777" w:rsidR="00893361" w:rsidRDefault="00893361">
      <w:pPr>
        <w:spacing w:after="0" w:line="259" w:lineRule="auto"/>
        <w:ind w:left="0" w:hanging="2"/>
      </w:pPr>
    </w:p>
    <w:p w14:paraId="1443DF0C"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procedure for the Fuzzy Delphi Method (FDM) is as follows:</w:t>
      </w:r>
    </w:p>
    <w:p w14:paraId="0AD08BFB"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31431397" w14:textId="77777777" w:rsidR="00B22B7A" w:rsidRDefault="00252E94" w:rsidP="00B22B7A">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sidRPr="00B22B7A">
        <w:rPr>
          <w:rFonts w:ascii="Times New Roman" w:eastAsia="Times New Roman" w:hAnsi="Times New Roman" w:cs="Times New Roman"/>
          <w:sz w:val="24"/>
          <w:szCs w:val="24"/>
        </w:rPr>
        <w:t xml:space="preserve">Selection of Participants (Experts): The selection of experts is described in the previous section. </w:t>
      </w:r>
    </w:p>
    <w:p w14:paraId="1D5BBB90" w14:textId="28A73258" w:rsidR="00893361" w:rsidRPr="00B22B7A" w:rsidRDefault="00252E94" w:rsidP="00B22B7A">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sidRPr="00B22B7A">
        <w:rPr>
          <w:rFonts w:ascii="Times New Roman" w:eastAsia="Times New Roman" w:hAnsi="Times New Roman" w:cs="Times New Roman"/>
          <w:sz w:val="24"/>
          <w:szCs w:val="24"/>
        </w:rPr>
        <w:t xml:space="preserve">Determination of Linguistic Scale: The linguistic scales are similar to Likert scales with the addition of fuzzy numbers incorporated into response scales based on a triangular fuzzy number (Ghazali et al., 2019), as shown in Figure 1. Determining the linguistic scale is essential to resolve the problem of fuzziness between experts’ opinions. Hence, in order to take into account the fuzziness of the experts’ opinions, three levels of fuzzy values were assigned to each response: minimum value (m₁), most plausible value (m₂), and maximum value (m₃) (Abdullah et al., 2021). In this study, a seven-point linguistic scale (ranging from 1 = extremely not important to 7 = extremely important) was used to collect feedback from the participants (experts). </w:t>
      </w:r>
    </w:p>
    <w:p w14:paraId="63373297"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579CBC4C" w14:textId="77777777" w:rsidR="00893361" w:rsidRDefault="00252E94">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en-MY" w:eastAsia="en-MY"/>
        </w:rPr>
        <w:drawing>
          <wp:inline distT="0" distB="0" distL="0" distR="0" wp14:anchorId="4DFF3E62" wp14:editId="540907B9">
            <wp:extent cx="4000500" cy="13620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00500" cy="1362075"/>
                    </a:xfrm>
                    <a:prstGeom prst="rect">
                      <a:avLst/>
                    </a:prstGeom>
                    <a:ln/>
                  </pic:spPr>
                </pic:pic>
              </a:graphicData>
            </a:graphic>
          </wp:inline>
        </w:drawing>
      </w:r>
    </w:p>
    <w:p w14:paraId="32F08999" w14:textId="77777777" w:rsidR="00893361" w:rsidRDefault="00893361">
      <w:pPr>
        <w:spacing w:after="0" w:line="240" w:lineRule="auto"/>
        <w:ind w:left="0" w:hanging="2"/>
        <w:jc w:val="center"/>
        <w:rPr>
          <w:rFonts w:ascii="Times New Roman" w:eastAsia="Times New Roman" w:hAnsi="Times New Roman" w:cs="Times New Roman"/>
          <w:b/>
          <w:sz w:val="24"/>
          <w:szCs w:val="24"/>
        </w:rPr>
      </w:pPr>
    </w:p>
    <w:p w14:paraId="50DB9231" w14:textId="77777777" w:rsidR="00893361" w:rsidRDefault="00252E94">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Triangular fuzzy number</w:t>
      </w:r>
    </w:p>
    <w:p w14:paraId="1903306B" w14:textId="77777777" w:rsidR="00B22B7A" w:rsidRDefault="00B22B7A" w:rsidP="00B22B7A">
      <w:pPr>
        <w:spacing w:after="0" w:line="240" w:lineRule="auto"/>
        <w:ind w:leftChars="0" w:left="0" w:firstLineChars="0" w:firstLine="0"/>
        <w:jc w:val="both"/>
        <w:rPr>
          <w:rFonts w:ascii="Times New Roman" w:eastAsia="Times New Roman" w:hAnsi="Times New Roman" w:cs="Times New Roman"/>
          <w:sz w:val="24"/>
          <w:szCs w:val="24"/>
        </w:rPr>
      </w:pPr>
    </w:p>
    <w:p w14:paraId="74A36340" w14:textId="7553557A" w:rsidR="00893361" w:rsidRPr="00B22B7A" w:rsidRDefault="00252E94" w:rsidP="00B22B7A">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sidRPr="00B22B7A">
        <w:rPr>
          <w:rFonts w:ascii="Times New Roman" w:eastAsia="Times New Roman" w:hAnsi="Times New Roman" w:cs="Times New Roman"/>
          <w:sz w:val="24"/>
          <w:szCs w:val="24"/>
        </w:rPr>
        <w:t>Calculation of the Threshold Value (d): The threshold values (d) are critical in determining the level of consensus among experts. The expert consensus is considered reached if the threshold value is less than or equal to 0.20 (Ahmad Zamzuri et al., 2022; Cheng &amp; Lin, 2002). The threshold value (d) is calculated according to the following formula:</w:t>
      </w:r>
    </w:p>
    <w:p w14:paraId="3B237953"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5AF22E5B" w14:textId="77777777" w:rsidR="00893361" w:rsidRDefault="00252E94">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w:drawing>
          <wp:inline distT="0" distB="0" distL="0" distR="0" wp14:anchorId="797A210A" wp14:editId="5D527EDB">
            <wp:extent cx="2678872" cy="45548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678872" cy="455486"/>
                    </a:xfrm>
                    <a:prstGeom prst="rect">
                      <a:avLst/>
                    </a:prstGeom>
                    <a:ln/>
                  </pic:spPr>
                </pic:pic>
              </a:graphicData>
            </a:graphic>
          </wp:inline>
        </w:drawing>
      </w:r>
    </w:p>
    <w:p w14:paraId="02398C36" w14:textId="77777777" w:rsidR="00B22B7A" w:rsidRDefault="00252E94" w:rsidP="00B22B7A">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sidRPr="00B22B7A">
        <w:rPr>
          <w:rFonts w:ascii="Times New Roman" w:eastAsia="Times New Roman" w:hAnsi="Times New Roman" w:cs="Times New Roman"/>
          <w:sz w:val="24"/>
          <w:szCs w:val="24"/>
        </w:rPr>
        <w:t xml:space="preserve">Determination of the Agreement of Indicators: The determination of the expert consensus on the indicators is important to ensure their reliability for inclusion in the study. The overall expert consensus must exceed 75%. If the expert consensus percentage for each indicator exceeds 75%, it is considered that consensus has been reached for the indicator (Rahman et al., 2021). However, if the expert consensus is less than 75%, a second round of the fuzzy Delphi should be conducted to re-evaluate the indicators ( Zulkefli, Abdullah &amp; Endut, 2022). </w:t>
      </w:r>
    </w:p>
    <w:p w14:paraId="554B598C" w14:textId="4955F8E0" w:rsidR="00893361" w:rsidRPr="00B22B7A" w:rsidRDefault="00252E94" w:rsidP="00B22B7A">
      <w:pPr>
        <w:pStyle w:val="ListParagraph"/>
        <w:numPr>
          <w:ilvl w:val="0"/>
          <w:numId w:val="3"/>
        </w:numPr>
        <w:spacing w:after="0" w:line="240" w:lineRule="auto"/>
        <w:ind w:leftChars="0" w:firstLineChars="0"/>
        <w:jc w:val="both"/>
        <w:rPr>
          <w:rFonts w:ascii="Times New Roman" w:eastAsia="Times New Roman" w:hAnsi="Times New Roman" w:cs="Times New Roman"/>
          <w:sz w:val="24"/>
          <w:szCs w:val="24"/>
        </w:rPr>
      </w:pPr>
      <w:r w:rsidRPr="00B22B7A">
        <w:rPr>
          <w:rFonts w:ascii="Times New Roman" w:eastAsia="Times New Roman" w:hAnsi="Times New Roman" w:cs="Times New Roman"/>
          <w:sz w:val="24"/>
          <w:szCs w:val="24"/>
        </w:rPr>
        <w:lastRenderedPageBreak/>
        <w:t>Calculation of the Defuzzification Value: The defuzzification process is used to determine the ranking (Aₘₐₓ score) of each item, which reflects the level of expert consensus. A higher Aₘₐₓ score implies a higher ranking of the items compared to others. The calculation of the defuzzification value is based on the following formula:</w:t>
      </w:r>
    </w:p>
    <w:p w14:paraId="46B72A4C"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7BDE88A9" w14:textId="77777777" w:rsidR="00893361" w:rsidRDefault="00252E94">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Aₘₐₓ = 1/4 × (a₁ + 2aₘ + a₂)</w:t>
      </w:r>
    </w:p>
    <w:p w14:paraId="232DC08B" w14:textId="77777777" w:rsidR="00893361" w:rsidRDefault="00893361">
      <w:pPr>
        <w:spacing w:after="0" w:line="240" w:lineRule="auto"/>
        <w:ind w:left="0" w:hanging="2"/>
        <w:jc w:val="center"/>
        <w:rPr>
          <w:rFonts w:ascii="Times New Roman" w:eastAsia="Times New Roman" w:hAnsi="Times New Roman" w:cs="Times New Roman"/>
          <w:sz w:val="24"/>
          <w:szCs w:val="24"/>
        </w:rPr>
      </w:pPr>
    </w:p>
    <w:p w14:paraId="2D4065CB" w14:textId="77777777" w:rsidR="00893361" w:rsidRDefault="00A93B26" w:rsidP="00B22B7A">
      <w:pPr>
        <w:spacing w:after="0" w:line="240" w:lineRule="auto"/>
        <w:ind w:leftChars="0" w:left="0" w:firstLineChars="0" w:firstLine="720"/>
        <w:jc w:val="both"/>
        <w:rPr>
          <w:rFonts w:ascii="Times New Roman" w:eastAsia="Times New Roman" w:hAnsi="Times New Roman" w:cs="Times New Roman"/>
          <w:sz w:val="24"/>
          <w:szCs w:val="24"/>
        </w:rPr>
      </w:pPr>
      <w:sdt>
        <w:sdtPr>
          <w:tag w:val="goog_rdk_0"/>
          <w:id w:val="-1428267380"/>
        </w:sdtPr>
        <w:sdtEndPr/>
        <w:sdtContent>
          <w:r w:rsidR="00252E94" w:rsidRPr="00B22B7A">
            <w:rPr>
              <w:rFonts w:ascii="Times New Roman" w:eastAsia="Caudex" w:hAnsi="Times New Roman" w:cs="Times New Roman"/>
              <w:sz w:val="24"/>
              <w:szCs w:val="24"/>
            </w:rPr>
            <w:t xml:space="preserve">In this study, a </w:t>
          </w:r>
          <w:proofErr w:type="spellStart"/>
          <w:r w:rsidR="00252E94" w:rsidRPr="00B22B7A">
            <w:rPr>
              <w:rFonts w:ascii="Times New Roman" w:eastAsia="Caudex" w:hAnsi="Times New Roman" w:cs="Times New Roman"/>
              <w:sz w:val="24"/>
              <w:szCs w:val="24"/>
            </w:rPr>
            <w:t>defuzzification</w:t>
          </w:r>
          <w:proofErr w:type="spellEnd"/>
          <w:r w:rsidR="00252E94" w:rsidRPr="00B22B7A">
            <w:rPr>
              <w:rFonts w:ascii="Times New Roman" w:eastAsia="Caudex" w:hAnsi="Times New Roman" w:cs="Times New Roman"/>
              <w:sz w:val="24"/>
              <w:szCs w:val="24"/>
            </w:rPr>
            <w:t xml:space="preserve"> value (Aₘₐₓ score) ≥ 0.5 (S. A. Abdullah et al., 2021) is applied to select the most important indicators for the index. Indicators with a score ≥ 0.5 are accepted, while those with a score below 0.5 are discarded. Indicators with the highest </w:t>
          </w:r>
          <w:proofErr w:type="spellStart"/>
          <w:r w:rsidR="00252E94" w:rsidRPr="00B22B7A">
            <w:rPr>
              <w:rFonts w:ascii="Times New Roman" w:eastAsia="Caudex" w:hAnsi="Times New Roman" w:cs="Times New Roman"/>
              <w:sz w:val="24"/>
              <w:szCs w:val="24"/>
            </w:rPr>
            <w:t>defuzzification</w:t>
          </w:r>
          <w:proofErr w:type="spellEnd"/>
          <w:r w:rsidR="00252E94" w:rsidRPr="00B22B7A">
            <w:rPr>
              <w:rFonts w:ascii="Times New Roman" w:eastAsia="Caudex" w:hAnsi="Times New Roman" w:cs="Times New Roman"/>
              <w:sz w:val="24"/>
              <w:szCs w:val="24"/>
            </w:rPr>
            <w:t xml:space="preserve"> values ​​are prioritized and considered as the outcome indicators for the development of the Islamic affairs management index.</w:t>
          </w:r>
          <w:r w:rsidR="00252E94">
            <w:rPr>
              <w:rFonts w:ascii="Caudex" w:eastAsia="Caudex" w:hAnsi="Caudex" w:cs="Caudex"/>
              <w:sz w:val="24"/>
              <w:szCs w:val="24"/>
            </w:rPr>
            <w:t xml:space="preserve"> </w:t>
          </w:r>
        </w:sdtContent>
      </w:sdt>
    </w:p>
    <w:p w14:paraId="1A8DF9A9"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53AF84DC" w14:textId="77777777" w:rsidR="00893361" w:rsidRDefault="00893361">
      <w:pPr>
        <w:spacing w:after="0" w:line="240" w:lineRule="auto"/>
        <w:ind w:left="0" w:hanging="2"/>
        <w:jc w:val="both"/>
        <w:rPr>
          <w:rFonts w:ascii="Times New Roman" w:eastAsia="Times New Roman" w:hAnsi="Times New Roman" w:cs="Times New Roman"/>
          <w:sz w:val="24"/>
          <w:szCs w:val="24"/>
        </w:rPr>
      </w:pPr>
    </w:p>
    <w:p w14:paraId="0F88DC2B"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w:t>
      </w:r>
    </w:p>
    <w:p w14:paraId="107314D9"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9F3774A"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illustrated in Table 2, the results present the final list of indicators for the Islamic Affairs Management Index. A total of 40 indicators were proposed to the panel of experts for inclusion in the index, which covers ten clusters, including Mosque Management and Enlivenment, Islamic Family Management, Performance of Islamic Affairs Management, </w:t>
      </w:r>
      <w:proofErr w:type="spellStart"/>
      <w:r>
        <w:rPr>
          <w:rFonts w:ascii="Times New Roman" w:eastAsia="Times New Roman" w:hAnsi="Times New Roman" w:cs="Times New Roman"/>
          <w:color w:val="000000"/>
          <w:sz w:val="24"/>
          <w:szCs w:val="24"/>
        </w:rPr>
        <w:t>Baitulmal</w:t>
      </w:r>
      <w:proofErr w:type="spellEnd"/>
      <w:r>
        <w:rPr>
          <w:rFonts w:ascii="Times New Roman" w:eastAsia="Times New Roman" w:hAnsi="Times New Roman" w:cs="Times New Roman"/>
          <w:color w:val="000000"/>
          <w:sz w:val="24"/>
          <w:szCs w:val="24"/>
        </w:rPr>
        <w:t xml:space="preserve"> Management, Enforcement and Compliance of Laws, Understanding and Appreciation of Islam, Society Well-Being, Islamic Religious Education, Halal Management, and </w:t>
      </w:r>
      <w:proofErr w:type="spellStart"/>
      <w:r>
        <w:rPr>
          <w:rFonts w:ascii="Times New Roman" w:eastAsia="Times New Roman" w:hAnsi="Times New Roman" w:cs="Times New Roman"/>
          <w:color w:val="000000"/>
          <w:sz w:val="24"/>
          <w:szCs w:val="24"/>
        </w:rPr>
        <w:t>Da’wah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Tarbiyah</w:t>
      </w:r>
      <w:proofErr w:type="spellEnd"/>
      <w:r>
        <w:rPr>
          <w:rFonts w:ascii="Times New Roman" w:eastAsia="Times New Roman" w:hAnsi="Times New Roman" w:cs="Times New Roman"/>
          <w:color w:val="000000"/>
          <w:sz w:val="24"/>
          <w:szCs w:val="24"/>
        </w:rPr>
        <w:t>.</w:t>
      </w:r>
    </w:p>
    <w:p w14:paraId="7C341D08" w14:textId="77777777" w:rsidR="00893361" w:rsidRDefault="00A93B26" w:rsidP="00B22B7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sdt>
        <w:sdtPr>
          <w:rPr>
            <w:rFonts w:ascii="Times New Roman" w:hAnsi="Times New Roman" w:cs="Times New Roman"/>
          </w:rPr>
          <w:tag w:val="goog_rdk_1"/>
          <w:id w:val="-2122985543"/>
        </w:sdtPr>
        <w:sdtEndPr>
          <w:rPr>
            <w:rFonts w:ascii="Calibri" w:hAnsi="Calibri" w:cs="Calibri"/>
          </w:rPr>
        </w:sdtEndPr>
        <w:sdtContent>
          <w:r w:rsidR="00252E94" w:rsidRPr="00B22B7A">
            <w:rPr>
              <w:rFonts w:ascii="Times New Roman" w:eastAsia="Gungsuh" w:hAnsi="Times New Roman" w:cs="Times New Roman"/>
              <w:color w:val="000000"/>
              <w:sz w:val="24"/>
              <w:szCs w:val="24"/>
            </w:rPr>
            <w:t xml:space="preserve">Based on the findings, all 40 indicators were accepted for inclusion in the index because they met the first prerequisite of having a threshold value (d) ≤ 0.20. For the second prerequisite, 37 out of the 40 indicators received expert consensus of &gt; 75%. Additionally, for the third prerequisite, all 40 indicators satisfied the criterion of having an average </w:t>
          </w:r>
          <w:proofErr w:type="spellStart"/>
          <w:r w:rsidR="00252E94" w:rsidRPr="00B22B7A">
            <w:rPr>
              <w:rFonts w:ascii="Times New Roman" w:eastAsia="Gungsuh" w:hAnsi="Times New Roman" w:cs="Times New Roman"/>
              <w:color w:val="000000"/>
              <w:sz w:val="24"/>
              <w:szCs w:val="24"/>
            </w:rPr>
            <w:t>defuzzification</w:t>
          </w:r>
          <w:proofErr w:type="spellEnd"/>
          <w:r w:rsidR="00252E94" w:rsidRPr="00B22B7A">
            <w:rPr>
              <w:rFonts w:ascii="Times New Roman" w:eastAsia="Gungsuh" w:hAnsi="Times New Roman" w:cs="Times New Roman"/>
              <w:color w:val="000000"/>
              <w:sz w:val="24"/>
              <w:szCs w:val="24"/>
            </w:rPr>
            <w:t xml:space="preserve"> value (Aₘₐₓ score) ≥ 0.50. As a result, three indicators were omitted: ‘Congregation Attendance’, ‘Cleanliness and Cheerfulness’, and ‘Accredited Preachers’, while the remaining thirty-seven indicators were accepted after meeting all the prerequisites of the FDM.</w:t>
          </w:r>
          <w:r w:rsidR="00252E94">
            <w:rPr>
              <w:rFonts w:ascii="Gungsuh" w:eastAsia="Gungsuh" w:hAnsi="Gungsuh" w:cs="Gungsuh"/>
              <w:color w:val="000000"/>
              <w:sz w:val="24"/>
              <w:szCs w:val="24"/>
            </w:rPr>
            <w:t xml:space="preserve"> </w:t>
          </w:r>
        </w:sdtContent>
      </w:sdt>
    </w:p>
    <w:p w14:paraId="764AC339" w14:textId="77777777" w:rsidR="00893361" w:rsidRDefault="00252E94" w:rsidP="00B22B7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Table 2 also demonstrates the ranking of indicators based on the consensus of the expert panels through the </w:t>
      </w:r>
      <w:proofErr w:type="spellStart"/>
      <w:r>
        <w:rPr>
          <w:rFonts w:ascii="Times New Roman" w:eastAsia="Times New Roman" w:hAnsi="Times New Roman" w:cs="Times New Roman"/>
          <w:color w:val="000000"/>
          <w:sz w:val="24"/>
          <w:szCs w:val="24"/>
        </w:rPr>
        <w:t>defuzzification</w:t>
      </w:r>
      <w:proofErr w:type="spellEnd"/>
      <w:r>
        <w:rPr>
          <w:rFonts w:ascii="Times New Roman" w:eastAsia="Times New Roman" w:hAnsi="Times New Roman" w:cs="Times New Roman"/>
          <w:color w:val="000000"/>
          <w:sz w:val="24"/>
          <w:szCs w:val="24"/>
        </w:rPr>
        <w:t xml:space="preserve"> value (Aₘₐₓ score). The findings revealed that five indicators registered the highest </w:t>
      </w:r>
      <w:proofErr w:type="spellStart"/>
      <w:r>
        <w:rPr>
          <w:rFonts w:ascii="Times New Roman" w:eastAsia="Times New Roman" w:hAnsi="Times New Roman" w:cs="Times New Roman"/>
          <w:color w:val="000000"/>
          <w:sz w:val="24"/>
          <w:szCs w:val="24"/>
        </w:rPr>
        <w:t>defuzzification</w:t>
      </w:r>
      <w:proofErr w:type="spellEnd"/>
      <w:r>
        <w:rPr>
          <w:rFonts w:ascii="Times New Roman" w:eastAsia="Times New Roman" w:hAnsi="Times New Roman" w:cs="Times New Roman"/>
          <w:color w:val="000000"/>
          <w:sz w:val="24"/>
          <w:szCs w:val="24"/>
        </w:rPr>
        <w:t xml:space="preserve"> value, including ‘Professional Skills’ (Aₘₐₓ = 0.967), ‘Trustworthiness and Integrity’ (Aₘₐₓ = 0.967), ‘Collection and Acquisition of </w:t>
      </w:r>
      <w:proofErr w:type="spellStart"/>
      <w:r>
        <w:rPr>
          <w:rFonts w:ascii="Times New Roman" w:eastAsia="Times New Roman" w:hAnsi="Times New Roman" w:cs="Times New Roman"/>
          <w:color w:val="000000"/>
          <w:sz w:val="24"/>
          <w:szCs w:val="24"/>
        </w:rPr>
        <w:t>Baitulmal</w:t>
      </w:r>
      <w:proofErr w:type="spellEnd"/>
      <w:r>
        <w:rPr>
          <w:rFonts w:ascii="Times New Roman" w:eastAsia="Times New Roman" w:hAnsi="Times New Roman" w:cs="Times New Roman"/>
          <w:color w:val="000000"/>
          <w:sz w:val="24"/>
          <w:szCs w:val="24"/>
        </w:rPr>
        <w:t xml:space="preserve"> Revenue’ (Aₘₐₓ = 0.958), ‘Revenue Distribution’ (Aₘₐₓ = 0.958), and ‘Children Management’ (Aₘₐₓ = 0.950). On the other hand, </w:t>
      </w:r>
      <w:r>
        <w:rPr>
          <w:rFonts w:ascii="Times New Roman" w:eastAsia="Times New Roman" w:hAnsi="Times New Roman" w:cs="Times New Roman"/>
          <w:sz w:val="24"/>
          <w:szCs w:val="24"/>
        </w:rPr>
        <w:t xml:space="preserve">an </w:t>
      </w:r>
      <w:r>
        <w:rPr>
          <w:rFonts w:ascii="Times New Roman" w:eastAsia="Times New Roman" w:hAnsi="Times New Roman" w:cs="Times New Roman"/>
          <w:color w:val="000000"/>
          <w:sz w:val="24"/>
          <w:szCs w:val="24"/>
        </w:rPr>
        <w:t xml:space="preserve">indicator such as ‘Tendency to Choose Religious Schools’ (Aₘₐₓ = 0.842) received the lowest </w:t>
      </w:r>
      <w:proofErr w:type="spellStart"/>
      <w:r>
        <w:rPr>
          <w:rFonts w:ascii="Times New Roman" w:eastAsia="Times New Roman" w:hAnsi="Times New Roman" w:cs="Times New Roman"/>
          <w:color w:val="000000"/>
          <w:sz w:val="24"/>
          <w:szCs w:val="24"/>
        </w:rPr>
        <w:t>defuzzification</w:t>
      </w:r>
      <w:proofErr w:type="spellEnd"/>
      <w:r>
        <w:rPr>
          <w:rFonts w:ascii="Times New Roman" w:eastAsia="Times New Roman" w:hAnsi="Times New Roman" w:cs="Times New Roman"/>
          <w:color w:val="000000"/>
          <w:sz w:val="24"/>
          <w:szCs w:val="24"/>
        </w:rPr>
        <w:t xml:space="preserve"> value, thus being listed as the least significant indicator of the Islamic affairs management compared to other indicators.</w:t>
      </w:r>
      <w:r>
        <w:rPr>
          <w:rFonts w:ascii="Times New Roman" w:eastAsia="Times New Roman" w:hAnsi="Times New Roman" w:cs="Times New Roman"/>
          <w:color w:val="000000"/>
          <w:sz w:val="24"/>
          <w:szCs w:val="24"/>
        </w:rPr>
        <w:tab/>
      </w:r>
    </w:p>
    <w:p w14:paraId="2D3063B6" w14:textId="77777777" w:rsidR="00893361" w:rsidRDefault="00893361">
      <w:pPr>
        <w:spacing w:after="0" w:line="240" w:lineRule="auto"/>
        <w:ind w:left="0" w:hanging="2"/>
        <w:rPr>
          <w:rFonts w:ascii="Times New Roman" w:eastAsia="Times New Roman" w:hAnsi="Times New Roman" w:cs="Times New Roman"/>
          <w:b/>
          <w:sz w:val="24"/>
          <w:szCs w:val="24"/>
        </w:rPr>
      </w:pPr>
    </w:p>
    <w:p w14:paraId="346DF64A" w14:textId="77777777" w:rsidR="00893361" w:rsidRDefault="00893361">
      <w:pPr>
        <w:spacing w:after="0" w:line="240" w:lineRule="auto"/>
        <w:ind w:left="0" w:hanging="2"/>
        <w:rPr>
          <w:rFonts w:ascii="Times New Roman" w:eastAsia="Times New Roman" w:hAnsi="Times New Roman" w:cs="Times New Roman"/>
          <w:b/>
          <w:sz w:val="24"/>
          <w:szCs w:val="24"/>
        </w:rPr>
      </w:pPr>
    </w:p>
    <w:p w14:paraId="798E3F0F" w14:textId="77777777" w:rsidR="00893361" w:rsidRDefault="00893361">
      <w:pPr>
        <w:spacing w:after="0" w:line="240" w:lineRule="auto"/>
        <w:ind w:left="0" w:hanging="2"/>
        <w:rPr>
          <w:rFonts w:ascii="Times New Roman" w:eastAsia="Times New Roman" w:hAnsi="Times New Roman" w:cs="Times New Roman"/>
          <w:b/>
          <w:sz w:val="24"/>
          <w:szCs w:val="24"/>
        </w:rPr>
      </w:pPr>
    </w:p>
    <w:p w14:paraId="61161BE8" w14:textId="77777777" w:rsidR="00893361" w:rsidRDefault="00893361">
      <w:pPr>
        <w:spacing w:after="0" w:line="240" w:lineRule="auto"/>
        <w:ind w:left="0" w:hanging="2"/>
        <w:rPr>
          <w:rFonts w:ascii="Times New Roman" w:eastAsia="Times New Roman" w:hAnsi="Times New Roman" w:cs="Times New Roman"/>
          <w:b/>
          <w:sz w:val="24"/>
          <w:szCs w:val="24"/>
        </w:rPr>
      </w:pPr>
    </w:p>
    <w:p w14:paraId="28397E0E" w14:textId="77777777" w:rsidR="00893361" w:rsidRDefault="00893361">
      <w:pPr>
        <w:spacing w:after="0" w:line="240" w:lineRule="auto"/>
        <w:ind w:left="0" w:hanging="2"/>
        <w:rPr>
          <w:rFonts w:ascii="Times New Roman" w:eastAsia="Times New Roman" w:hAnsi="Times New Roman" w:cs="Times New Roman"/>
          <w:b/>
          <w:sz w:val="24"/>
          <w:szCs w:val="24"/>
        </w:rPr>
      </w:pPr>
    </w:p>
    <w:p w14:paraId="40A5B2B5" w14:textId="77777777" w:rsidR="00893361" w:rsidRDefault="00893361">
      <w:pPr>
        <w:spacing w:after="0" w:line="240" w:lineRule="auto"/>
        <w:ind w:left="0" w:hanging="2"/>
        <w:rPr>
          <w:rFonts w:ascii="Times New Roman" w:eastAsia="Times New Roman" w:hAnsi="Times New Roman" w:cs="Times New Roman"/>
          <w:b/>
          <w:sz w:val="24"/>
          <w:szCs w:val="24"/>
        </w:rPr>
      </w:pPr>
    </w:p>
    <w:p w14:paraId="2FC59881" w14:textId="77777777" w:rsidR="00893361" w:rsidRDefault="00893361">
      <w:pPr>
        <w:spacing w:after="0" w:line="240" w:lineRule="auto"/>
        <w:ind w:left="0" w:hanging="2"/>
        <w:rPr>
          <w:rFonts w:ascii="Times New Roman" w:eastAsia="Times New Roman" w:hAnsi="Times New Roman" w:cs="Times New Roman"/>
          <w:b/>
          <w:sz w:val="24"/>
          <w:szCs w:val="24"/>
        </w:rPr>
      </w:pPr>
    </w:p>
    <w:p w14:paraId="4A786308" w14:textId="77777777" w:rsidR="00893361" w:rsidRDefault="00893361">
      <w:pPr>
        <w:spacing w:after="0" w:line="240" w:lineRule="auto"/>
        <w:ind w:left="0" w:hanging="2"/>
        <w:rPr>
          <w:rFonts w:ascii="Times New Roman" w:eastAsia="Times New Roman" w:hAnsi="Times New Roman" w:cs="Times New Roman"/>
          <w:b/>
          <w:sz w:val="24"/>
          <w:szCs w:val="24"/>
        </w:rPr>
      </w:pPr>
    </w:p>
    <w:p w14:paraId="077BFF67" w14:textId="77777777" w:rsidR="00893361" w:rsidRDefault="00893361">
      <w:pPr>
        <w:spacing w:after="0" w:line="240" w:lineRule="auto"/>
        <w:ind w:left="0" w:hanging="2"/>
        <w:rPr>
          <w:rFonts w:ascii="Times New Roman" w:eastAsia="Times New Roman" w:hAnsi="Times New Roman" w:cs="Times New Roman"/>
          <w:b/>
          <w:sz w:val="24"/>
          <w:szCs w:val="24"/>
        </w:rPr>
      </w:pPr>
    </w:p>
    <w:p w14:paraId="3B01CF8F" w14:textId="77777777" w:rsidR="00893361" w:rsidRDefault="00252E94">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2.</w:t>
      </w:r>
      <w:r>
        <w:rPr>
          <w:rFonts w:ascii="Times New Roman" w:eastAsia="Times New Roman" w:hAnsi="Times New Roman" w:cs="Times New Roman"/>
          <w:sz w:val="24"/>
          <w:szCs w:val="24"/>
        </w:rPr>
        <w:t xml:space="preserve"> Expert consensus on Islamic Affairs Management Index indicators</w:t>
      </w:r>
    </w:p>
    <w:p w14:paraId="4F84832E" w14:textId="77777777" w:rsidR="00893361" w:rsidRDefault="00893361">
      <w:pPr>
        <w:spacing w:after="0" w:line="240" w:lineRule="auto"/>
        <w:ind w:left="0" w:hanging="2"/>
        <w:rPr>
          <w:rFonts w:ascii="Times New Roman" w:eastAsia="Times New Roman" w:hAnsi="Times New Roman" w:cs="Times New Roman"/>
          <w:sz w:val="24"/>
          <w:szCs w:val="24"/>
        </w:rPr>
      </w:pPr>
    </w:p>
    <w:tbl>
      <w:tblPr>
        <w:tblStyle w:val="a1"/>
        <w:tblW w:w="9214" w:type="dxa"/>
        <w:jc w:val="center"/>
        <w:tblBorders>
          <w:top w:val="nil"/>
          <w:left w:val="nil"/>
          <w:bottom w:val="nil"/>
          <w:right w:val="nil"/>
          <w:insideH w:val="nil"/>
          <w:insideV w:val="nil"/>
        </w:tblBorders>
        <w:tblLayout w:type="fixed"/>
        <w:tblLook w:val="0400" w:firstRow="0" w:lastRow="0" w:firstColumn="0" w:lastColumn="0" w:noHBand="0" w:noVBand="1"/>
      </w:tblPr>
      <w:tblGrid>
        <w:gridCol w:w="1418"/>
        <w:gridCol w:w="2693"/>
        <w:gridCol w:w="1134"/>
        <w:gridCol w:w="1276"/>
        <w:gridCol w:w="992"/>
        <w:gridCol w:w="992"/>
        <w:gridCol w:w="709"/>
      </w:tblGrid>
      <w:tr w:rsidR="00893361" w:rsidRPr="00B22B7A" w14:paraId="15F8C3AD" w14:textId="77777777">
        <w:trPr>
          <w:jc w:val="center"/>
        </w:trPr>
        <w:tc>
          <w:tcPr>
            <w:tcW w:w="1418" w:type="dxa"/>
            <w:tcBorders>
              <w:top w:val="single" w:sz="4" w:space="0" w:color="000000"/>
              <w:bottom w:val="single" w:sz="4" w:space="0" w:color="000000"/>
            </w:tcBorders>
            <w:shd w:val="clear" w:color="auto" w:fill="8DB3E2"/>
          </w:tcPr>
          <w:p w14:paraId="29A95A92"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Clusters</w:t>
            </w:r>
          </w:p>
        </w:tc>
        <w:tc>
          <w:tcPr>
            <w:tcW w:w="2693" w:type="dxa"/>
            <w:tcBorders>
              <w:top w:val="single" w:sz="4" w:space="0" w:color="000000"/>
              <w:bottom w:val="single" w:sz="4" w:space="0" w:color="000000"/>
            </w:tcBorders>
            <w:shd w:val="clear" w:color="auto" w:fill="8DB3E2"/>
          </w:tcPr>
          <w:p w14:paraId="61046B3A"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Indicators</w:t>
            </w:r>
          </w:p>
        </w:tc>
        <w:tc>
          <w:tcPr>
            <w:tcW w:w="1134" w:type="dxa"/>
            <w:tcBorders>
              <w:top w:val="single" w:sz="4" w:space="0" w:color="000000"/>
              <w:bottom w:val="single" w:sz="4" w:space="0" w:color="000000"/>
            </w:tcBorders>
            <w:shd w:val="clear" w:color="auto" w:fill="8DB3E2"/>
          </w:tcPr>
          <w:p w14:paraId="01928842"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 xml:space="preserve">Threshold value </w:t>
            </w:r>
          </w:p>
          <w:p w14:paraId="6D820CF0"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(d)</w:t>
            </w:r>
          </w:p>
        </w:tc>
        <w:tc>
          <w:tcPr>
            <w:tcW w:w="1276" w:type="dxa"/>
            <w:tcBorders>
              <w:top w:val="single" w:sz="4" w:space="0" w:color="000000"/>
              <w:bottom w:val="single" w:sz="4" w:space="0" w:color="000000"/>
            </w:tcBorders>
            <w:shd w:val="clear" w:color="auto" w:fill="8DB3E2"/>
          </w:tcPr>
          <w:p w14:paraId="31373F89"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Expert agreement (%)</w:t>
            </w:r>
          </w:p>
        </w:tc>
        <w:tc>
          <w:tcPr>
            <w:tcW w:w="992" w:type="dxa"/>
            <w:tcBorders>
              <w:top w:val="single" w:sz="4" w:space="0" w:color="000000"/>
              <w:bottom w:val="single" w:sz="4" w:space="0" w:color="000000"/>
            </w:tcBorders>
            <w:shd w:val="clear" w:color="auto" w:fill="8DB3E2"/>
          </w:tcPr>
          <w:p w14:paraId="2F8D42D0" w14:textId="77777777" w:rsidR="00893361" w:rsidRPr="00B22B7A" w:rsidRDefault="00252E94">
            <w:pPr>
              <w:ind w:left="0" w:hanging="2"/>
              <w:jc w:val="center"/>
              <w:rPr>
                <w:rFonts w:ascii="Times New Roman" w:eastAsia="Times New Roman" w:hAnsi="Times New Roman" w:cs="Times New Roman"/>
                <w:b/>
                <w:sz w:val="20"/>
                <w:szCs w:val="20"/>
              </w:rPr>
            </w:pPr>
            <w:proofErr w:type="spellStart"/>
            <w:r w:rsidRPr="00B22B7A">
              <w:rPr>
                <w:rFonts w:ascii="Times New Roman" w:eastAsia="Times New Roman" w:hAnsi="Times New Roman" w:cs="Times New Roman"/>
                <w:b/>
                <w:sz w:val="20"/>
                <w:szCs w:val="20"/>
              </w:rPr>
              <w:t>Df</w:t>
            </w:r>
            <w:proofErr w:type="spellEnd"/>
          </w:p>
          <w:p w14:paraId="5948E972"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value</w:t>
            </w:r>
          </w:p>
          <w:p w14:paraId="5D30A9FB"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(Aₘₐₓ)</w:t>
            </w:r>
          </w:p>
        </w:tc>
        <w:tc>
          <w:tcPr>
            <w:tcW w:w="992" w:type="dxa"/>
            <w:tcBorders>
              <w:top w:val="single" w:sz="4" w:space="0" w:color="000000"/>
              <w:bottom w:val="single" w:sz="4" w:space="0" w:color="000000"/>
            </w:tcBorders>
            <w:shd w:val="clear" w:color="auto" w:fill="8DB3E2"/>
          </w:tcPr>
          <w:p w14:paraId="2EF5EDC8"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Result</w:t>
            </w:r>
          </w:p>
        </w:tc>
        <w:tc>
          <w:tcPr>
            <w:tcW w:w="709" w:type="dxa"/>
            <w:tcBorders>
              <w:top w:val="single" w:sz="4" w:space="0" w:color="000000"/>
              <w:bottom w:val="single" w:sz="4" w:space="0" w:color="000000"/>
            </w:tcBorders>
            <w:shd w:val="clear" w:color="auto" w:fill="8DB3E2"/>
          </w:tcPr>
          <w:p w14:paraId="2BAFE534" w14:textId="77777777" w:rsidR="00893361" w:rsidRPr="00B22B7A" w:rsidRDefault="00252E94">
            <w:pPr>
              <w:ind w:left="0" w:hanging="2"/>
              <w:jc w:val="center"/>
              <w:rPr>
                <w:rFonts w:ascii="Times New Roman" w:eastAsia="Times New Roman" w:hAnsi="Times New Roman" w:cs="Times New Roman"/>
                <w:b/>
                <w:sz w:val="20"/>
                <w:szCs w:val="20"/>
              </w:rPr>
            </w:pPr>
            <w:r w:rsidRPr="00B22B7A">
              <w:rPr>
                <w:rFonts w:ascii="Times New Roman" w:eastAsia="Times New Roman" w:hAnsi="Times New Roman" w:cs="Times New Roman"/>
                <w:b/>
                <w:sz w:val="20"/>
                <w:szCs w:val="20"/>
              </w:rPr>
              <w:t>Rank</w:t>
            </w:r>
          </w:p>
        </w:tc>
      </w:tr>
      <w:tr w:rsidR="00893361" w:rsidRPr="00B22B7A" w14:paraId="3E064229" w14:textId="77777777">
        <w:trPr>
          <w:jc w:val="center"/>
        </w:trPr>
        <w:tc>
          <w:tcPr>
            <w:tcW w:w="1418" w:type="dxa"/>
            <w:vMerge w:val="restart"/>
            <w:tcBorders>
              <w:top w:val="single" w:sz="4" w:space="0" w:color="000000"/>
            </w:tcBorders>
          </w:tcPr>
          <w:p w14:paraId="037777C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Mosque Management and Enlivenment</w:t>
            </w:r>
          </w:p>
        </w:tc>
        <w:tc>
          <w:tcPr>
            <w:tcW w:w="2693" w:type="dxa"/>
            <w:tcBorders>
              <w:top w:val="single" w:sz="4" w:space="0" w:color="000000"/>
            </w:tcBorders>
          </w:tcPr>
          <w:p w14:paraId="193ABC0D"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Professional management</w:t>
            </w:r>
          </w:p>
        </w:tc>
        <w:tc>
          <w:tcPr>
            <w:tcW w:w="1134" w:type="dxa"/>
            <w:tcBorders>
              <w:top w:val="single" w:sz="4" w:space="0" w:color="000000"/>
            </w:tcBorders>
          </w:tcPr>
          <w:p w14:paraId="7D4CFF6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0.057</w:t>
            </w:r>
          </w:p>
        </w:tc>
        <w:tc>
          <w:tcPr>
            <w:tcW w:w="1276" w:type="dxa"/>
            <w:tcBorders>
              <w:top w:val="single" w:sz="4" w:space="0" w:color="000000"/>
            </w:tcBorders>
          </w:tcPr>
          <w:p w14:paraId="0DEE497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tcPr>
          <w:p w14:paraId="09842AD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0.942</w:t>
            </w:r>
          </w:p>
        </w:tc>
        <w:tc>
          <w:tcPr>
            <w:tcW w:w="992" w:type="dxa"/>
            <w:tcBorders>
              <w:top w:val="single" w:sz="4" w:space="0" w:color="000000"/>
            </w:tcBorders>
          </w:tcPr>
          <w:p w14:paraId="2E6BB20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tcPr>
          <w:p w14:paraId="7499740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7</w:t>
            </w:r>
          </w:p>
        </w:tc>
      </w:tr>
      <w:tr w:rsidR="00893361" w:rsidRPr="00B22B7A" w14:paraId="27FE18D3" w14:textId="77777777">
        <w:trPr>
          <w:jc w:val="center"/>
        </w:trPr>
        <w:tc>
          <w:tcPr>
            <w:tcW w:w="1418" w:type="dxa"/>
            <w:vMerge/>
            <w:tcBorders>
              <w:top w:val="single" w:sz="4" w:space="0" w:color="000000"/>
            </w:tcBorders>
          </w:tcPr>
          <w:p w14:paraId="1124E927"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501130DE"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Congregation attendance</w:t>
            </w:r>
          </w:p>
        </w:tc>
        <w:tc>
          <w:tcPr>
            <w:tcW w:w="1134" w:type="dxa"/>
          </w:tcPr>
          <w:p w14:paraId="3E8C9B3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0.142</w:t>
            </w:r>
          </w:p>
        </w:tc>
        <w:tc>
          <w:tcPr>
            <w:tcW w:w="1276" w:type="dxa"/>
          </w:tcPr>
          <w:p w14:paraId="332BCD1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70%</w:t>
            </w:r>
          </w:p>
        </w:tc>
        <w:tc>
          <w:tcPr>
            <w:tcW w:w="992" w:type="dxa"/>
          </w:tcPr>
          <w:p w14:paraId="3268076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0.867</w:t>
            </w:r>
          </w:p>
        </w:tc>
        <w:tc>
          <w:tcPr>
            <w:tcW w:w="992" w:type="dxa"/>
          </w:tcPr>
          <w:p w14:paraId="5BF1EE8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Rejected</w:t>
            </w:r>
          </w:p>
        </w:tc>
        <w:tc>
          <w:tcPr>
            <w:tcW w:w="709" w:type="dxa"/>
          </w:tcPr>
          <w:p w14:paraId="6B57F27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37</w:t>
            </w:r>
          </w:p>
        </w:tc>
      </w:tr>
      <w:tr w:rsidR="00893361" w:rsidRPr="00B22B7A" w14:paraId="3C4B6D48" w14:textId="77777777">
        <w:trPr>
          <w:jc w:val="center"/>
        </w:trPr>
        <w:tc>
          <w:tcPr>
            <w:tcW w:w="1418" w:type="dxa"/>
            <w:vMerge/>
            <w:tcBorders>
              <w:top w:val="single" w:sz="4" w:space="0" w:color="000000"/>
            </w:tcBorders>
          </w:tcPr>
          <w:p w14:paraId="5A0B1CB6"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77594596"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Mosque activities and services</w:t>
            </w:r>
          </w:p>
        </w:tc>
        <w:tc>
          <w:tcPr>
            <w:tcW w:w="1134" w:type="dxa"/>
          </w:tcPr>
          <w:p w14:paraId="36CF72A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0.071</w:t>
            </w:r>
          </w:p>
        </w:tc>
        <w:tc>
          <w:tcPr>
            <w:tcW w:w="1276" w:type="dxa"/>
          </w:tcPr>
          <w:p w14:paraId="4F6EE89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Pr>
          <w:p w14:paraId="6CDE5E0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0.933</w:t>
            </w:r>
          </w:p>
        </w:tc>
        <w:tc>
          <w:tcPr>
            <w:tcW w:w="992" w:type="dxa"/>
          </w:tcPr>
          <w:p w14:paraId="29C9CC3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3DAD4C0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13</w:t>
            </w:r>
          </w:p>
        </w:tc>
      </w:tr>
      <w:tr w:rsidR="00893361" w:rsidRPr="00B22B7A" w14:paraId="429DAB41" w14:textId="77777777">
        <w:trPr>
          <w:jc w:val="center"/>
        </w:trPr>
        <w:tc>
          <w:tcPr>
            <w:tcW w:w="1418" w:type="dxa"/>
            <w:vMerge/>
            <w:tcBorders>
              <w:top w:val="single" w:sz="4" w:space="0" w:color="000000"/>
            </w:tcBorders>
          </w:tcPr>
          <w:p w14:paraId="34AC45D6"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5000050C"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Infrastructure facilities</w:t>
            </w:r>
          </w:p>
        </w:tc>
        <w:tc>
          <w:tcPr>
            <w:tcW w:w="1134" w:type="dxa"/>
          </w:tcPr>
          <w:p w14:paraId="2BCE833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0.094</w:t>
            </w:r>
          </w:p>
        </w:tc>
        <w:tc>
          <w:tcPr>
            <w:tcW w:w="1276" w:type="dxa"/>
          </w:tcPr>
          <w:p w14:paraId="2C8B9C8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80%</w:t>
            </w:r>
          </w:p>
        </w:tc>
        <w:tc>
          <w:tcPr>
            <w:tcW w:w="992" w:type="dxa"/>
          </w:tcPr>
          <w:p w14:paraId="02FFF96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0.872</w:t>
            </w:r>
          </w:p>
        </w:tc>
        <w:tc>
          <w:tcPr>
            <w:tcW w:w="992" w:type="dxa"/>
          </w:tcPr>
          <w:p w14:paraId="3110880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623FBF6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35</w:t>
            </w:r>
          </w:p>
        </w:tc>
      </w:tr>
      <w:tr w:rsidR="00893361" w:rsidRPr="00B22B7A" w14:paraId="2CBC2B96" w14:textId="77777777">
        <w:trPr>
          <w:jc w:val="center"/>
        </w:trPr>
        <w:tc>
          <w:tcPr>
            <w:tcW w:w="1418" w:type="dxa"/>
            <w:vMerge/>
            <w:tcBorders>
              <w:top w:val="single" w:sz="4" w:space="0" w:color="000000"/>
            </w:tcBorders>
          </w:tcPr>
          <w:p w14:paraId="35BFAD3D"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1565C1B9"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Financial management</w:t>
            </w:r>
          </w:p>
        </w:tc>
        <w:tc>
          <w:tcPr>
            <w:tcW w:w="1134" w:type="dxa"/>
          </w:tcPr>
          <w:p w14:paraId="7BC5916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0.061</w:t>
            </w:r>
          </w:p>
        </w:tc>
        <w:tc>
          <w:tcPr>
            <w:tcW w:w="1276" w:type="dxa"/>
          </w:tcPr>
          <w:p w14:paraId="6567E2E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Pr>
          <w:p w14:paraId="5D79751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0.942</w:t>
            </w:r>
          </w:p>
        </w:tc>
        <w:tc>
          <w:tcPr>
            <w:tcW w:w="992" w:type="dxa"/>
          </w:tcPr>
          <w:p w14:paraId="178DC8C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355C307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8</w:t>
            </w:r>
          </w:p>
        </w:tc>
      </w:tr>
      <w:tr w:rsidR="00893361" w:rsidRPr="00B22B7A" w14:paraId="2A6D66FC" w14:textId="77777777">
        <w:trPr>
          <w:jc w:val="center"/>
        </w:trPr>
        <w:tc>
          <w:tcPr>
            <w:tcW w:w="1418" w:type="dxa"/>
            <w:vMerge/>
            <w:tcBorders>
              <w:top w:val="single" w:sz="4" w:space="0" w:color="000000"/>
            </w:tcBorders>
          </w:tcPr>
          <w:p w14:paraId="49E0D19D"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50D64FBF"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Cleanliness and cheerfulness</w:t>
            </w:r>
          </w:p>
        </w:tc>
        <w:tc>
          <w:tcPr>
            <w:tcW w:w="1134" w:type="dxa"/>
          </w:tcPr>
          <w:p w14:paraId="48BE38D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0.151</w:t>
            </w:r>
          </w:p>
        </w:tc>
        <w:tc>
          <w:tcPr>
            <w:tcW w:w="1276" w:type="dxa"/>
          </w:tcPr>
          <w:p w14:paraId="4496690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70%</w:t>
            </w:r>
          </w:p>
        </w:tc>
        <w:tc>
          <w:tcPr>
            <w:tcW w:w="992" w:type="dxa"/>
          </w:tcPr>
          <w:p w14:paraId="5947960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0.883</w:t>
            </w:r>
          </w:p>
        </w:tc>
        <w:tc>
          <w:tcPr>
            <w:tcW w:w="992" w:type="dxa"/>
          </w:tcPr>
          <w:p w14:paraId="2A540AC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Rejected</w:t>
            </w:r>
          </w:p>
        </w:tc>
        <w:tc>
          <w:tcPr>
            <w:tcW w:w="709" w:type="dxa"/>
          </w:tcPr>
          <w:p w14:paraId="752F160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33</w:t>
            </w:r>
          </w:p>
        </w:tc>
      </w:tr>
      <w:tr w:rsidR="00893361" w:rsidRPr="00B22B7A" w14:paraId="37EB0985" w14:textId="77777777">
        <w:trPr>
          <w:jc w:val="center"/>
        </w:trPr>
        <w:tc>
          <w:tcPr>
            <w:tcW w:w="1418" w:type="dxa"/>
            <w:vMerge/>
            <w:tcBorders>
              <w:top w:val="single" w:sz="4" w:space="0" w:color="000000"/>
            </w:tcBorders>
          </w:tcPr>
          <w:p w14:paraId="42149402"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2A7EEEFD"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Support from </w:t>
            </w:r>
            <w:proofErr w:type="spellStart"/>
            <w:r w:rsidRPr="00B22B7A">
              <w:rPr>
                <w:rFonts w:ascii="Times New Roman" w:eastAsia="Times New Roman" w:hAnsi="Times New Roman" w:cs="Times New Roman"/>
                <w:sz w:val="20"/>
                <w:szCs w:val="20"/>
              </w:rPr>
              <w:t>qaryah</w:t>
            </w:r>
            <w:proofErr w:type="spellEnd"/>
            <w:r w:rsidRPr="00B22B7A">
              <w:rPr>
                <w:rFonts w:ascii="Times New Roman" w:eastAsia="Times New Roman" w:hAnsi="Times New Roman" w:cs="Times New Roman"/>
                <w:sz w:val="20"/>
                <w:szCs w:val="20"/>
              </w:rPr>
              <w:t xml:space="preserve"> (community) members</w:t>
            </w:r>
          </w:p>
        </w:tc>
        <w:tc>
          <w:tcPr>
            <w:tcW w:w="1134" w:type="dxa"/>
            <w:tcBorders>
              <w:bottom w:val="single" w:sz="4" w:space="0" w:color="000000"/>
            </w:tcBorders>
          </w:tcPr>
          <w:p w14:paraId="62A326B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0.071</w:t>
            </w:r>
          </w:p>
        </w:tc>
        <w:tc>
          <w:tcPr>
            <w:tcW w:w="1276" w:type="dxa"/>
            <w:tcBorders>
              <w:bottom w:val="single" w:sz="4" w:space="0" w:color="000000"/>
            </w:tcBorders>
          </w:tcPr>
          <w:p w14:paraId="28112D4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tcPr>
          <w:p w14:paraId="3602946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0.933</w:t>
            </w:r>
          </w:p>
        </w:tc>
        <w:tc>
          <w:tcPr>
            <w:tcW w:w="992" w:type="dxa"/>
            <w:tcBorders>
              <w:bottom w:val="single" w:sz="4" w:space="0" w:color="000000"/>
            </w:tcBorders>
          </w:tcPr>
          <w:p w14:paraId="1C03C8D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583D04B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14</w:t>
            </w:r>
          </w:p>
        </w:tc>
      </w:tr>
      <w:tr w:rsidR="00893361" w:rsidRPr="00B22B7A" w14:paraId="7892C9AA" w14:textId="77777777">
        <w:trPr>
          <w:jc w:val="center"/>
        </w:trPr>
        <w:tc>
          <w:tcPr>
            <w:tcW w:w="1418" w:type="dxa"/>
            <w:vMerge w:val="restart"/>
            <w:tcBorders>
              <w:top w:val="single" w:sz="4" w:space="0" w:color="000000"/>
            </w:tcBorders>
          </w:tcPr>
          <w:p w14:paraId="4ED904C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Islamic Family Management</w:t>
            </w:r>
          </w:p>
        </w:tc>
        <w:tc>
          <w:tcPr>
            <w:tcW w:w="2693" w:type="dxa"/>
            <w:tcBorders>
              <w:top w:val="single" w:sz="4" w:space="0" w:color="000000"/>
            </w:tcBorders>
          </w:tcPr>
          <w:p w14:paraId="769897AF"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Marriage rate according to regulations</w:t>
            </w:r>
          </w:p>
        </w:tc>
        <w:tc>
          <w:tcPr>
            <w:tcW w:w="1134" w:type="dxa"/>
            <w:tcBorders>
              <w:top w:val="single" w:sz="4" w:space="0" w:color="000000"/>
            </w:tcBorders>
          </w:tcPr>
          <w:p w14:paraId="5700158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0.102</w:t>
            </w:r>
          </w:p>
        </w:tc>
        <w:tc>
          <w:tcPr>
            <w:tcW w:w="1276" w:type="dxa"/>
            <w:tcBorders>
              <w:top w:val="single" w:sz="4" w:space="0" w:color="000000"/>
            </w:tcBorders>
          </w:tcPr>
          <w:p w14:paraId="3946A6B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top w:val="single" w:sz="4" w:space="0" w:color="000000"/>
            </w:tcBorders>
          </w:tcPr>
          <w:p w14:paraId="6677CAE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0.911</w:t>
            </w:r>
          </w:p>
        </w:tc>
        <w:tc>
          <w:tcPr>
            <w:tcW w:w="992" w:type="dxa"/>
            <w:tcBorders>
              <w:top w:val="single" w:sz="4" w:space="0" w:color="000000"/>
            </w:tcBorders>
          </w:tcPr>
          <w:p w14:paraId="1CAFA76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tcPr>
          <w:p w14:paraId="19B6100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25</w:t>
            </w:r>
          </w:p>
        </w:tc>
      </w:tr>
      <w:tr w:rsidR="00893361" w:rsidRPr="00B22B7A" w14:paraId="1EDD1D48" w14:textId="77777777">
        <w:trPr>
          <w:jc w:val="center"/>
        </w:trPr>
        <w:tc>
          <w:tcPr>
            <w:tcW w:w="1418" w:type="dxa"/>
            <w:vMerge/>
            <w:tcBorders>
              <w:top w:val="single" w:sz="4" w:space="0" w:color="000000"/>
            </w:tcBorders>
          </w:tcPr>
          <w:p w14:paraId="324F8422"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2F8CCC1E"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Increase in marriage rate</w:t>
            </w:r>
          </w:p>
        </w:tc>
        <w:tc>
          <w:tcPr>
            <w:tcW w:w="1134" w:type="dxa"/>
            <w:shd w:val="clear" w:color="auto" w:fill="auto"/>
          </w:tcPr>
          <w:p w14:paraId="477F647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0.083</w:t>
            </w:r>
          </w:p>
        </w:tc>
        <w:tc>
          <w:tcPr>
            <w:tcW w:w="1276" w:type="dxa"/>
            <w:shd w:val="clear" w:color="auto" w:fill="auto"/>
          </w:tcPr>
          <w:p w14:paraId="7D3E846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shd w:val="clear" w:color="auto" w:fill="auto"/>
          </w:tcPr>
          <w:p w14:paraId="6269FBF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0.864</w:t>
            </w:r>
          </w:p>
        </w:tc>
        <w:tc>
          <w:tcPr>
            <w:tcW w:w="992" w:type="dxa"/>
            <w:shd w:val="clear" w:color="auto" w:fill="auto"/>
          </w:tcPr>
          <w:p w14:paraId="16F52F4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572418E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38</w:t>
            </w:r>
          </w:p>
        </w:tc>
      </w:tr>
      <w:tr w:rsidR="00893361" w:rsidRPr="00B22B7A" w14:paraId="6598088C" w14:textId="77777777">
        <w:trPr>
          <w:jc w:val="center"/>
        </w:trPr>
        <w:tc>
          <w:tcPr>
            <w:tcW w:w="1418" w:type="dxa"/>
            <w:vMerge/>
            <w:tcBorders>
              <w:top w:val="single" w:sz="4" w:space="0" w:color="000000"/>
            </w:tcBorders>
          </w:tcPr>
          <w:p w14:paraId="23B91D30"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0FA17F99"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Children management</w:t>
            </w:r>
          </w:p>
        </w:tc>
        <w:tc>
          <w:tcPr>
            <w:tcW w:w="1134" w:type="dxa"/>
            <w:shd w:val="clear" w:color="auto" w:fill="auto"/>
          </w:tcPr>
          <w:p w14:paraId="41A8DD2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0.046</w:t>
            </w:r>
          </w:p>
        </w:tc>
        <w:tc>
          <w:tcPr>
            <w:tcW w:w="1276" w:type="dxa"/>
            <w:shd w:val="clear" w:color="auto" w:fill="auto"/>
          </w:tcPr>
          <w:p w14:paraId="063939C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shd w:val="clear" w:color="auto" w:fill="auto"/>
          </w:tcPr>
          <w:p w14:paraId="5C6B210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0.950</w:t>
            </w:r>
          </w:p>
        </w:tc>
        <w:tc>
          <w:tcPr>
            <w:tcW w:w="992" w:type="dxa"/>
            <w:shd w:val="clear" w:color="auto" w:fill="auto"/>
          </w:tcPr>
          <w:p w14:paraId="14DEBBD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3FD83C8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5</w:t>
            </w:r>
          </w:p>
        </w:tc>
      </w:tr>
      <w:tr w:rsidR="00893361" w:rsidRPr="00B22B7A" w14:paraId="44C0BF79" w14:textId="77777777">
        <w:trPr>
          <w:jc w:val="center"/>
        </w:trPr>
        <w:tc>
          <w:tcPr>
            <w:tcW w:w="1418" w:type="dxa"/>
            <w:vMerge/>
            <w:tcBorders>
              <w:top w:val="single" w:sz="4" w:space="0" w:color="000000"/>
            </w:tcBorders>
          </w:tcPr>
          <w:p w14:paraId="148CD175"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794C2CDF"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Management of special needs families</w:t>
            </w:r>
          </w:p>
        </w:tc>
        <w:tc>
          <w:tcPr>
            <w:tcW w:w="1134" w:type="dxa"/>
          </w:tcPr>
          <w:p w14:paraId="7A62702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0.084</w:t>
            </w:r>
          </w:p>
        </w:tc>
        <w:tc>
          <w:tcPr>
            <w:tcW w:w="1276" w:type="dxa"/>
          </w:tcPr>
          <w:p w14:paraId="2D748B6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Pr>
          <w:p w14:paraId="6B152AD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0.886</w:t>
            </w:r>
          </w:p>
        </w:tc>
        <w:tc>
          <w:tcPr>
            <w:tcW w:w="992" w:type="dxa"/>
          </w:tcPr>
          <w:p w14:paraId="261A337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5634DAF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32</w:t>
            </w:r>
          </w:p>
        </w:tc>
      </w:tr>
      <w:tr w:rsidR="00893361" w:rsidRPr="00B22B7A" w14:paraId="6C6F295D" w14:textId="77777777">
        <w:trPr>
          <w:jc w:val="center"/>
        </w:trPr>
        <w:tc>
          <w:tcPr>
            <w:tcW w:w="1418" w:type="dxa"/>
            <w:vMerge/>
            <w:tcBorders>
              <w:top w:val="single" w:sz="4" w:space="0" w:color="000000"/>
            </w:tcBorders>
          </w:tcPr>
          <w:p w14:paraId="317E4FF6"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55CE6363"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Intervention for troubled families</w:t>
            </w:r>
          </w:p>
        </w:tc>
        <w:tc>
          <w:tcPr>
            <w:tcW w:w="1134" w:type="dxa"/>
            <w:tcBorders>
              <w:bottom w:val="single" w:sz="4" w:space="0" w:color="000000"/>
            </w:tcBorders>
          </w:tcPr>
          <w:p w14:paraId="69C7B0B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0.093</w:t>
            </w:r>
          </w:p>
        </w:tc>
        <w:tc>
          <w:tcPr>
            <w:tcW w:w="1276" w:type="dxa"/>
            <w:tcBorders>
              <w:bottom w:val="single" w:sz="4" w:space="0" w:color="000000"/>
            </w:tcBorders>
          </w:tcPr>
          <w:p w14:paraId="2CD26D7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bottom w:val="single" w:sz="4" w:space="0" w:color="000000"/>
            </w:tcBorders>
          </w:tcPr>
          <w:p w14:paraId="1FBD343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0.928</w:t>
            </w:r>
          </w:p>
        </w:tc>
        <w:tc>
          <w:tcPr>
            <w:tcW w:w="992" w:type="dxa"/>
            <w:tcBorders>
              <w:bottom w:val="single" w:sz="4" w:space="0" w:color="000000"/>
            </w:tcBorders>
          </w:tcPr>
          <w:p w14:paraId="3887C86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4C1F6B9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18</w:t>
            </w:r>
          </w:p>
        </w:tc>
      </w:tr>
      <w:tr w:rsidR="00893361" w:rsidRPr="00B22B7A" w14:paraId="2054CEB9" w14:textId="77777777">
        <w:trPr>
          <w:jc w:val="center"/>
        </w:trPr>
        <w:tc>
          <w:tcPr>
            <w:tcW w:w="1418" w:type="dxa"/>
            <w:vMerge w:val="restart"/>
            <w:tcBorders>
              <w:top w:val="single" w:sz="4" w:space="0" w:color="000000"/>
            </w:tcBorders>
            <w:shd w:val="clear" w:color="auto" w:fill="auto"/>
          </w:tcPr>
          <w:p w14:paraId="7F92C6B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Performance of Islamic Affairs Management</w:t>
            </w:r>
          </w:p>
        </w:tc>
        <w:tc>
          <w:tcPr>
            <w:tcW w:w="2693" w:type="dxa"/>
            <w:tcBorders>
              <w:top w:val="single" w:sz="4" w:space="0" w:color="000000"/>
            </w:tcBorders>
            <w:shd w:val="clear" w:color="auto" w:fill="auto"/>
          </w:tcPr>
          <w:p w14:paraId="3CDF983B"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Professional skills</w:t>
            </w:r>
          </w:p>
        </w:tc>
        <w:tc>
          <w:tcPr>
            <w:tcW w:w="1134" w:type="dxa"/>
            <w:tcBorders>
              <w:top w:val="single" w:sz="4" w:space="0" w:color="000000"/>
            </w:tcBorders>
            <w:shd w:val="clear" w:color="auto" w:fill="auto"/>
          </w:tcPr>
          <w:p w14:paraId="68DFD93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0.000</w:t>
            </w:r>
          </w:p>
        </w:tc>
        <w:tc>
          <w:tcPr>
            <w:tcW w:w="1276" w:type="dxa"/>
            <w:tcBorders>
              <w:top w:val="single" w:sz="4" w:space="0" w:color="000000"/>
            </w:tcBorders>
            <w:shd w:val="clear" w:color="auto" w:fill="auto"/>
          </w:tcPr>
          <w:p w14:paraId="6E9DCFC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shd w:val="clear" w:color="auto" w:fill="auto"/>
          </w:tcPr>
          <w:p w14:paraId="3738DE3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0.967</w:t>
            </w:r>
          </w:p>
        </w:tc>
        <w:tc>
          <w:tcPr>
            <w:tcW w:w="992" w:type="dxa"/>
            <w:tcBorders>
              <w:top w:val="single" w:sz="4" w:space="0" w:color="000000"/>
            </w:tcBorders>
            <w:shd w:val="clear" w:color="auto" w:fill="auto"/>
          </w:tcPr>
          <w:p w14:paraId="1BB26EA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shd w:val="clear" w:color="auto" w:fill="auto"/>
          </w:tcPr>
          <w:p w14:paraId="274BC1C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w:t>
            </w:r>
          </w:p>
        </w:tc>
      </w:tr>
      <w:tr w:rsidR="00893361" w:rsidRPr="00B22B7A" w14:paraId="6C2B455E" w14:textId="77777777">
        <w:trPr>
          <w:jc w:val="center"/>
        </w:trPr>
        <w:tc>
          <w:tcPr>
            <w:tcW w:w="1418" w:type="dxa"/>
            <w:vMerge/>
            <w:tcBorders>
              <w:top w:val="single" w:sz="4" w:space="0" w:color="000000"/>
            </w:tcBorders>
            <w:shd w:val="clear" w:color="auto" w:fill="auto"/>
          </w:tcPr>
          <w:p w14:paraId="708B5F3A"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2DD133F9"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Delivery system</w:t>
            </w:r>
          </w:p>
        </w:tc>
        <w:tc>
          <w:tcPr>
            <w:tcW w:w="1134" w:type="dxa"/>
          </w:tcPr>
          <w:p w14:paraId="4DC3B3B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0.071</w:t>
            </w:r>
          </w:p>
        </w:tc>
        <w:tc>
          <w:tcPr>
            <w:tcW w:w="1276" w:type="dxa"/>
          </w:tcPr>
          <w:p w14:paraId="67D17E2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Pr>
          <w:p w14:paraId="6AE11A0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0.933</w:t>
            </w:r>
          </w:p>
        </w:tc>
        <w:tc>
          <w:tcPr>
            <w:tcW w:w="992" w:type="dxa"/>
          </w:tcPr>
          <w:p w14:paraId="58B1189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1D088D8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15</w:t>
            </w:r>
          </w:p>
        </w:tc>
      </w:tr>
      <w:tr w:rsidR="00893361" w:rsidRPr="00B22B7A" w14:paraId="699C1DF0" w14:textId="77777777">
        <w:trPr>
          <w:jc w:val="center"/>
        </w:trPr>
        <w:tc>
          <w:tcPr>
            <w:tcW w:w="1418" w:type="dxa"/>
            <w:vMerge/>
            <w:tcBorders>
              <w:top w:val="single" w:sz="4" w:space="0" w:color="000000"/>
            </w:tcBorders>
            <w:shd w:val="clear" w:color="auto" w:fill="auto"/>
          </w:tcPr>
          <w:p w14:paraId="53111D9C"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52A9CA41"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Programs effectiveness</w:t>
            </w:r>
          </w:p>
        </w:tc>
        <w:tc>
          <w:tcPr>
            <w:tcW w:w="1134" w:type="dxa"/>
          </w:tcPr>
          <w:p w14:paraId="56C0FE9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0.095</w:t>
            </w:r>
          </w:p>
        </w:tc>
        <w:tc>
          <w:tcPr>
            <w:tcW w:w="1276" w:type="dxa"/>
          </w:tcPr>
          <w:p w14:paraId="44F4FFE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Pr>
          <w:p w14:paraId="0609976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0.894</w:t>
            </w:r>
          </w:p>
        </w:tc>
        <w:tc>
          <w:tcPr>
            <w:tcW w:w="992" w:type="dxa"/>
          </w:tcPr>
          <w:p w14:paraId="390258D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2A17AED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30</w:t>
            </w:r>
          </w:p>
        </w:tc>
      </w:tr>
      <w:tr w:rsidR="00893361" w:rsidRPr="00B22B7A" w14:paraId="5779B626" w14:textId="77777777">
        <w:trPr>
          <w:jc w:val="center"/>
        </w:trPr>
        <w:tc>
          <w:tcPr>
            <w:tcW w:w="1418" w:type="dxa"/>
            <w:vMerge/>
            <w:tcBorders>
              <w:top w:val="single" w:sz="4" w:space="0" w:color="000000"/>
            </w:tcBorders>
            <w:shd w:val="clear" w:color="auto" w:fill="auto"/>
          </w:tcPr>
          <w:p w14:paraId="25356F3C"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0DF90B9E"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Current technology usage</w:t>
            </w:r>
          </w:p>
        </w:tc>
        <w:tc>
          <w:tcPr>
            <w:tcW w:w="1134" w:type="dxa"/>
            <w:tcBorders>
              <w:bottom w:val="single" w:sz="4" w:space="0" w:color="000000"/>
            </w:tcBorders>
          </w:tcPr>
          <w:p w14:paraId="263F766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0.093</w:t>
            </w:r>
          </w:p>
        </w:tc>
        <w:tc>
          <w:tcPr>
            <w:tcW w:w="1276" w:type="dxa"/>
            <w:tcBorders>
              <w:bottom w:val="single" w:sz="4" w:space="0" w:color="000000"/>
            </w:tcBorders>
          </w:tcPr>
          <w:p w14:paraId="6BAF1F1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bottom w:val="single" w:sz="4" w:space="0" w:color="000000"/>
            </w:tcBorders>
          </w:tcPr>
          <w:p w14:paraId="3849B4D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0.928</w:t>
            </w:r>
          </w:p>
        </w:tc>
        <w:tc>
          <w:tcPr>
            <w:tcW w:w="992" w:type="dxa"/>
            <w:tcBorders>
              <w:bottom w:val="single" w:sz="4" w:space="0" w:color="000000"/>
            </w:tcBorders>
          </w:tcPr>
          <w:p w14:paraId="7EAB682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10C7AE6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19</w:t>
            </w:r>
          </w:p>
        </w:tc>
      </w:tr>
      <w:tr w:rsidR="00893361" w:rsidRPr="00B22B7A" w14:paraId="63D93635" w14:textId="77777777">
        <w:trPr>
          <w:jc w:val="center"/>
        </w:trPr>
        <w:tc>
          <w:tcPr>
            <w:tcW w:w="1418" w:type="dxa"/>
            <w:vMerge w:val="restart"/>
            <w:tcBorders>
              <w:top w:val="single" w:sz="4" w:space="0" w:color="000000"/>
            </w:tcBorders>
            <w:shd w:val="clear" w:color="auto" w:fill="auto"/>
          </w:tcPr>
          <w:p w14:paraId="734DB3C2" w14:textId="77777777" w:rsidR="00893361" w:rsidRPr="00B22B7A" w:rsidRDefault="00252E94">
            <w:pPr>
              <w:ind w:left="0" w:hanging="2"/>
              <w:jc w:val="center"/>
              <w:rPr>
                <w:rFonts w:ascii="Times New Roman" w:eastAsia="Times New Roman" w:hAnsi="Times New Roman" w:cs="Times New Roman"/>
                <w:sz w:val="20"/>
                <w:szCs w:val="20"/>
              </w:rPr>
            </w:pPr>
            <w:proofErr w:type="spellStart"/>
            <w:r w:rsidRPr="00B22B7A">
              <w:rPr>
                <w:rFonts w:ascii="Times New Roman" w:eastAsia="Times New Roman" w:hAnsi="Times New Roman" w:cs="Times New Roman"/>
                <w:sz w:val="20"/>
                <w:szCs w:val="20"/>
              </w:rPr>
              <w:t>Baitulmal</w:t>
            </w:r>
            <w:proofErr w:type="spellEnd"/>
            <w:r w:rsidRPr="00B22B7A">
              <w:rPr>
                <w:rFonts w:ascii="Times New Roman" w:eastAsia="Times New Roman" w:hAnsi="Times New Roman" w:cs="Times New Roman"/>
                <w:sz w:val="20"/>
                <w:szCs w:val="20"/>
              </w:rPr>
              <w:t xml:space="preserve"> Management</w:t>
            </w:r>
          </w:p>
        </w:tc>
        <w:tc>
          <w:tcPr>
            <w:tcW w:w="2693" w:type="dxa"/>
            <w:tcBorders>
              <w:top w:val="single" w:sz="4" w:space="0" w:color="000000"/>
            </w:tcBorders>
            <w:shd w:val="clear" w:color="auto" w:fill="auto"/>
          </w:tcPr>
          <w:p w14:paraId="06F5FF28"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Collection and acquisition of </w:t>
            </w:r>
            <w:proofErr w:type="spellStart"/>
            <w:r w:rsidRPr="00B22B7A">
              <w:rPr>
                <w:rFonts w:ascii="Times New Roman" w:eastAsia="Times New Roman" w:hAnsi="Times New Roman" w:cs="Times New Roman"/>
                <w:sz w:val="20"/>
                <w:szCs w:val="20"/>
              </w:rPr>
              <w:t>baitulmal</w:t>
            </w:r>
            <w:proofErr w:type="spellEnd"/>
            <w:r w:rsidRPr="00B22B7A">
              <w:rPr>
                <w:rFonts w:ascii="Times New Roman" w:eastAsia="Times New Roman" w:hAnsi="Times New Roman" w:cs="Times New Roman"/>
                <w:sz w:val="20"/>
                <w:szCs w:val="20"/>
              </w:rPr>
              <w:t xml:space="preserve"> revenue</w:t>
            </w:r>
          </w:p>
        </w:tc>
        <w:tc>
          <w:tcPr>
            <w:tcW w:w="1134" w:type="dxa"/>
            <w:tcBorders>
              <w:top w:val="single" w:sz="4" w:space="0" w:color="000000"/>
            </w:tcBorders>
            <w:shd w:val="clear" w:color="auto" w:fill="auto"/>
          </w:tcPr>
          <w:p w14:paraId="264A67B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0.025</w:t>
            </w:r>
          </w:p>
        </w:tc>
        <w:tc>
          <w:tcPr>
            <w:tcW w:w="1276" w:type="dxa"/>
            <w:tcBorders>
              <w:top w:val="single" w:sz="4" w:space="0" w:color="000000"/>
            </w:tcBorders>
            <w:shd w:val="clear" w:color="auto" w:fill="auto"/>
          </w:tcPr>
          <w:p w14:paraId="0F7A9F1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shd w:val="clear" w:color="auto" w:fill="auto"/>
          </w:tcPr>
          <w:p w14:paraId="6E352E1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0.958</w:t>
            </w:r>
          </w:p>
        </w:tc>
        <w:tc>
          <w:tcPr>
            <w:tcW w:w="992" w:type="dxa"/>
            <w:tcBorders>
              <w:top w:val="single" w:sz="4" w:space="0" w:color="000000"/>
            </w:tcBorders>
            <w:shd w:val="clear" w:color="auto" w:fill="auto"/>
          </w:tcPr>
          <w:p w14:paraId="0936C75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shd w:val="clear" w:color="auto" w:fill="auto"/>
          </w:tcPr>
          <w:p w14:paraId="1589D5B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w:t>
            </w:r>
          </w:p>
        </w:tc>
      </w:tr>
      <w:tr w:rsidR="00893361" w:rsidRPr="00B22B7A" w14:paraId="0A456959" w14:textId="77777777">
        <w:trPr>
          <w:jc w:val="center"/>
        </w:trPr>
        <w:tc>
          <w:tcPr>
            <w:tcW w:w="1418" w:type="dxa"/>
            <w:vMerge/>
            <w:tcBorders>
              <w:top w:val="single" w:sz="4" w:space="0" w:color="000000"/>
            </w:tcBorders>
            <w:shd w:val="clear" w:color="auto" w:fill="auto"/>
          </w:tcPr>
          <w:p w14:paraId="1F016FD7"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152C43C1"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Revenue distribution</w:t>
            </w:r>
          </w:p>
        </w:tc>
        <w:tc>
          <w:tcPr>
            <w:tcW w:w="1134" w:type="dxa"/>
            <w:shd w:val="clear" w:color="auto" w:fill="auto"/>
          </w:tcPr>
          <w:p w14:paraId="5E3002E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0.025</w:t>
            </w:r>
          </w:p>
        </w:tc>
        <w:tc>
          <w:tcPr>
            <w:tcW w:w="1276" w:type="dxa"/>
            <w:shd w:val="clear" w:color="auto" w:fill="auto"/>
          </w:tcPr>
          <w:p w14:paraId="72EB3B5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shd w:val="clear" w:color="auto" w:fill="auto"/>
          </w:tcPr>
          <w:p w14:paraId="454F7A8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0.958</w:t>
            </w:r>
          </w:p>
        </w:tc>
        <w:tc>
          <w:tcPr>
            <w:tcW w:w="992" w:type="dxa"/>
            <w:shd w:val="clear" w:color="auto" w:fill="auto"/>
          </w:tcPr>
          <w:p w14:paraId="151B65E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5720395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4</w:t>
            </w:r>
          </w:p>
        </w:tc>
      </w:tr>
      <w:tr w:rsidR="00893361" w:rsidRPr="00B22B7A" w14:paraId="65277877" w14:textId="77777777">
        <w:trPr>
          <w:jc w:val="center"/>
        </w:trPr>
        <w:tc>
          <w:tcPr>
            <w:tcW w:w="1418" w:type="dxa"/>
            <w:vMerge/>
            <w:tcBorders>
              <w:top w:val="single" w:sz="4" w:space="0" w:color="000000"/>
            </w:tcBorders>
            <w:shd w:val="clear" w:color="auto" w:fill="auto"/>
          </w:tcPr>
          <w:p w14:paraId="23E73687"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78239F8C"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Development and </w:t>
            </w:r>
            <w:proofErr w:type="spellStart"/>
            <w:r w:rsidRPr="00B22B7A">
              <w:rPr>
                <w:rFonts w:ascii="Times New Roman" w:eastAsia="Times New Roman" w:hAnsi="Times New Roman" w:cs="Times New Roman"/>
                <w:sz w:val="20"/>
                <w:szCs w:val="20"/>
              </w:rPr>
              <w:t>utilisation</w:t>
            </w:r>
            <w:proofErr w:type="spellEnd"/>
            <w:r w:rsidRPr="00B22B7A">
              <w:rPr>
                <w:rFonts w:ascii="Times New Roman" w:eastAsia="Times New Roman" w:hAnsi="Times New Roman" w:cs="Times New Roman"/>
                <w:sz w:val="20"/>
                <w:szCs w:val="20"/>
              </w:rPr>
              <w:t xml:space="preserve"> of revenue</w:t>
            </w:r>
          </w:p>
        </w:tc>
        <w:tc>
          <w:tcPr>
            <w:tcW w:w="1134" w:type="dxa"/>
            <w:tcBorders>
              <w:bottom w:val="single" w:sz="4" w:space="0" w:color="000000"/>
            </w:tcBorders>
          </w:tcPr>
          <w:p w14:paraId="09ACBB2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0.098</w:t>
            </w:r>
          </w:p>
        </w:tc>
        <w:tc>
          <w:tcPr>
            <w:tcW w:w="1276" w:type="dxa"/>
            <w:tcBorders>
              <w:bottom w:val="single" w:sz="4" w:space="0" w:color="000000"/>
            </w:tcBorders>
          </w:tcPr>
          <w:p w14:paraId="4294228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bottom w:val="single" w:sz="4" w:space="0" w:color="000000"/>
            </w:tcBorders>
          </w:tcPr>
          <w:p w14:paraId="47FD75B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0.903</w:t>
            </w:r>
          </w:p>
        </w:tc>
        <w:tc>
          <w:tcPr>
            <w:tcW w:w="992" w:type="dxa"/>
            <w:tcBorders>
              <w:bottom w:val="single" w:sz="4" w:space="0" w:color="000000"/>
            </w:tcBorders>
          </w:tcPr>
          <w:p w14:paraId="61993A0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4E531A5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27</w:t>
            </w:r>
          </w:p>
        </w:tc>
      </w:tr>
      <w:tr w:rsidR="00893361" w:rsidRPr="00B22B7A" w14:paraId="074F27E4" w14:textId="77777777">
        <w:trPr>
          <w:jc w:val="center"/>
        </w:trPr>
        <w:tc>
          <w:tcPr>
            <w:tcW w:w="1418" w:type="dxa"/>
            <w:vMerge w:val="restart"/>
            <w:tcBorders>
              <w:top w:val="single" w:sz="4" w:space="0" w:color="000000"/>
            </w:tcBorders>
          </w:tcPr>
          <w:p w14:paraId="364551C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color w:val="000000"/>
                <w:sz w:val="20"/>
                <w:szCs w:val="20"/>
              </w:rPr>
              <w:t>Enforcement and Compliance of Laws</w:t>
            </w:r>
          </w:p>
        </w:tc>
        <w:tc>
          <w:tcPr>
            <w:tcW w:w="2693" w:type="dxa"/>
            <w:tcBorders>
              <w:top w:val="single" w:sz="4" w:space="0" w:color="000000"/>
            </w:tcBorders>
          </w:tcPr>
          <w:p w14:paraId="1C5F5CB8" w14:textId="77777777" w:rsidR="00893361" w:rsidRPr="00B22B7A" w:rsidRDefault="00252E94">
            <w:pPr>
              <w:ind w:left="0" w:hanging="2"/>
              <w:jc w:val="both"/>
              <w:rPr>
                <w:rFonts w:ascii="Times New Roman" w:eastAsia="Times New Roman" w:hAnsi="Times New Roman" w:cs="Times New Roman"/>
                <w:color w:val="000000"/>
                <w:sz w:val="20"/>
                <w:szCs w:val="20"/>
              </w:rPr>
            </w:pPr>
            <w:proofErr w:type="spellStart"/>
            <w:r w:rsidRPr="00B22B7A">
              <w:rPr>
                <w:rFonts w:ascii="Times New Roman" w:eastAsia="Times New Roman" w:hAnsi="Times New Roman" w:cs="Times New Roman"/>
                <w:color w:val="000000"/>
                <w:sz w:val="20"/>
                <w:szCs w:val="20"/>
              </w:rPr>
              <w:t>Shariah</w:t>
            </w:r>
            <w:proofErr w:type="spellEnd"/>
            <w:r w:rsidRPr="00B22B7A">
              <w:rPr>
                <w:rFonts w:ascii="Times New Roman" w:eastAsia="Times New Roman" w:hAnsi="Times New Roman" w:cs="Times New Roman"/>
                <w:color w:val="000000"/>
                <w:sz w:val="20"/>
                <w:szCs w:val="20"/>
              </w:rPr>
              <w:t xml:space="preserve"> criminal offense rate</w:t>
            </w:r>
          </w:p>
        </w:tc>
        <w:tc>
          <w:tcPr>
            <w:tcW w:w="1134" w:type="dxa"/>
            <w:tcBorders>
              <w:top w:val="single" w:sz="4" w:space="0" w:color="000000"/>
            </w:tcBorders>
          </w:tcPr>
          <w:p w14:paraId="1174CA6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0.106</w:t>
            </w:r>
          </w:p>
        </w:tc>
        <w:tc>
          <w:tcPr>
            <w:tcW w:w="1276" w:type="dxa"/>
            <w:tcBorders>
              <w:top w:val="single" w:sz="4" w:space="0" w:color="000000"/>
            </w:tcBorders>
          </w:tcPr>
          <w:p w14:paraId="48847BF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80%</w:t>
            </w:r>
          </w:p>
        </w:tc>
        <w:tc>
          <w:tcPr>
            <w:tcW w:w="992" w:type="dxa"/>
            <w:tcBorders>
              <w:top w:val="single" w:sz="4" w:space="0" w:color="000000"/>
            </w:tcBorders>
          </w:tcPr>
          <w:p w14:paraId="1D93E02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0.872</w:t>
            </w:r>
          </w:p>
        </w:tc>
        <w:tc>
          <w:tcPr>
            <w:tcW w:w="992" w:type="dxa"/>
            <w:tcBorders>
              <w:top w:val="single" w:sz="4" w:space="0" w:color="000000"/>
            </w:tcBorders>
          </w:tcPr>
          <w:p w14:paraId="4D0B584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tcPr>
          <w:p w14:paraId="4746EF1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36</w:t>
            </w:r>
          </w:p>
        </w:tc>
      </w:tr>
      <w:tr w:rsidR="00893361" w:rsidRPr="00B22B7A" w14:paraId="2C7BF9B3" w14:textId="77777777">
        <w:trPr>
          <w:jc w:val="center"/>
        </w:trPr>
        <w:tc>
          <w:tcPr>
            <w:tcW w:w="1418" w:type="dxa"/>
            <w:vMerge/>
            <w:tcBorders>
              <w:top w:val="single" w:sz="4" w:space="0" w:color="000000"/>
            </w:tcBorders>
          </w:tcPr>
          <w:p w14:paraId="02BA03D7"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3531F073" w14:textId="77777777" w:rsidR="00893361" w:rsidRPr="00B22B7A" w:rsidRDefault="00252E94">
            <w:pPr>
              <w:ind w:left="0" w:hanging="2"/>
              <w:jc w:val="both"/>
              <w:rPr>
                <w:rFonts w:ascii="Times New Roman" w:eastAsia="Times New Roman" w:hAnsi="Times New Roman" w:cs="Times New Roman"/>
                <w:color w:val="000000"/>
                <w:sz w:val="20"/>
                <w:szCs w:val="20"/>
              </w:rPr>
            </w:pPr>
            <w:r w:rsidRPr="00B22B7A">
              <w:rPr>
                <w:rFonts w:ascii="Times New Roman" w:eastAsia="Times New Roman" w:hAnsi="Times New Roman" w:cs="Times New Roman"/>
                <w:color w:val="000000"/>
                <w:sz w:val="20"/>
                <w:szCs w:val="20"/>
              </w:rPr>
              <w:t>Regulatory compliance and monitoring</w:t>
            </w:r>
          </w:p>
        </w:tc>
        <w:tc>
          <w:tcPr>
            <w:tcW w:w="1134" w:type="dxa"/>
          </w:tcPr>
          <w:p w14:paraId="57E23F1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0.071</w:t>
            </w:r>
          </w:p>
        </w:tc>
        <w:tc>
          <w:tcPr>
            <w:tcW w:w="1276" w:type="dxa"/>
          </w:tcPr>
          <w:p w14:paraId="1D9B925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Pr>
          <w:p w14:paraId="744957B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0.933</w:t>
            </w:r>
          </w:p>
        </w:tc>
        <w:tc>
          <w:tcPr>
            <w:tcW w:w="992" w:type="dxa"/>
          </w:tcPr>
          <w:p w14:paraId="3CB7C27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70ACB3D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16</w:t>
            </w:r>
          </w:p>
        </w:tc>
      </w:tr>
      <w:tr w:rsidR="00893361" w:rsidRPr="00B22B7A" w14:paraId="7E11ACC5" w14:textId="77777777">
        <w:trPr>
          <w:jc w:val="center"/>
        </w:trPr>
        <w:tc>
          <w:tcPr>
            <w:tcW w:w="1418" w:type="dxa"/>
            <w:vMerge/>
            <w:tcBorders>
              <w:top w:val="single" w:sz="4" w:space="0" w:color="000000"/>
            </w:tcBorders>
          </w:tcPr>
          <w:p w14:paraId="2B2723AB"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17901038" w14:textId="77777777" w:rsidR="00893361" w:rsidRPr="00B22B7A" w:rsidRDefault="00252E94">
            <w:pPr>
              <w:ind w:left="0" w:hanging="2"/>
              <w:jc w:val="both"/>
              <w:rPr>
                <w:rFonts w:ascii="Times New Roman" w:eastAsia="Times New Roman" w:hAnsi="Times New Roman" w:cs="Times New Roman"/>
                <w:color w:val="000000"/>
                <w:sz w:val="20"/>
                <w:szCs w:val="20"/>
              </w:rPr>
            </w:pPr>
            <w:r w:rsidRPr="00B22B7A">
              <w:rPr>
                <w:rFonts w:ascii="Times New Roman" w:eastAsia="Times New Roman" w:hAnsi="Times New Roman" w:cs="Times New Roman"/>
                <w:color w:val="000000"/>
                <w:sz w:val="20"/>
                <w:szCs w:val="20"/>
              </w:rPr>
              <w:t>Case management and resolution</w:t>
            </w:r>
          </w:p>
        </w:tc>
        <w:tc>
          <w:tcPr>
            <w:tcW w:w="1134" w:type="dxa"/>
          </w:tcPr>
          <w:p w14:paraId="0CCAF78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0.095</w:t>
            </w:r>
          </w:p>
        </w:tc>
        <w:tc>
          <w:tcPr>
            <w:tcW w:w="1276" w:type="dxa"/>
          </w:tcPr>
          <w:p w14:paraId="6187D9C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Pr>
          <w:p w14:paraId="33BB77C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0.894</w:t>
            </w:r>
          </w:p>
        </w:tc>
        <w:tc>
          <w:tcPr>
            <w:tcW w:w="992" w:type="dxa"/>
          </w:tcPr>
          <w:p w14:paraId="39EF9D4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3871BAA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31</w:t>
            </w:r>
          </w:p>
        </w:tc>
      </w:tr>
      <w:tr w:rsidR="00893361" w:rsidRPr="00B22B7A" w14:paraId="2AE453DE" w14:textId="77777777">
        <w:trPr>
          <w:jc w:val="center"/>
        </w:trPr>
        <w:tc>
          <w:tcPr>
            <w:tcW w:w="1418" w:type="dxa"/>
            <w:vMerge/>
            <w:tcBorders>
              <w:top w:val="single" w:sz="4" w:space="0" w:color="000000"/>
            </w:tcBorders>
          </w:tcPr>
          <w:p w14:paraId="071DEC31"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21FAD990" w14:textId="77777777" w:rsidR="00893361" w:rsidRPr="00B22B7A" w:rsidRDefault="00252E94">
            <w:pPr>
              <w:ind w:left="0" w:hanging="2"/>
              <w:jc w:val="both"/>
              <w:rPr>
                <w:rFonts w:ascii="Times New Roman" w:eastAsia="Times New Roman" w:hAnsi="Times New Roman" w:cs="Times New Roman"/>
                <w:color w:val="000000"/>
                <w:sz w:val="20"/>
                <w:szCs w:val="20"/>
              </w:rPr>
            </w:pPr>
            <w:r w:rsidRPr="00B22B7A">
              <w:rPr>
                <w:rFonts w:ascii="Times New Roman" w:eastAsia="Times New Roman" w:hAnsi="Times New Roman" w:cs="Times New Roman"/>
                <w:color w:val="000000"/>
                <w:sz w:val="20"/>
                <w:szCs w:val="20"/>
              </w:rPr>
              <w:t>Law codification</w:t>
            </w:r>
          </w:p>
        </w:tc>
        <w:tc>
          <w:tcPr>
            <w:tcW w:w="1134" w:type="dxa"/>
            <w:tcBorders>
              <w:bottom w:val="single" w:sz="4" w:space="0" w:color="000000"/>
            </w:tcBorders>
          </w:tcPr>
          <w:p w14:paraId="2F7920E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0.100</w:t>
            </w:r>
          </w:p>
        </w:tc>
        <w:tc>
          <w:tcPr>
            <w:tcW w:w="1276" w:type="dxa"/>
            <w:tcBorders>
              <w:bottom w:val="single" w:sz="4" w:space="0" w:color="000000"/>
            </w:tcBorders>
          </w:tcPr>
          <w:p w14:paraId="54F05BF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bottom w:val="single" w:sz="4" w:space="0" w:color="000000"/>
            </w:tcBorders>
          </w:tcPr>
          <w:p w14:paraId="2404097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0.919</w:t>
            </w:r>
          </w:p>
        </w:tc>
        <w:tc>
          <w:tcPr>
            <w:tcW w:w="992" w:type="dxa"/>
            <w:tcBorders>
              <w:bottom w:val="single" w:sz="4" w:space="0" w:color="000000"/>
            </w:tcBorders>
          </w:tcPr>
          <w:p w14:paraId="49EBD6B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77985AE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21</w:t>
            </w:r>
          </w:p>
        </w:tc>
      </w:tr>
      <w:tr w:rsidR="00893361" w:rsidRPr="00B22B7A" w14:paraId="3AD7B61B" w14:textId="77777777">
        <w:trPr>
          <w:jc w:val="center"/>
        </w:trPr>
        <w:tc>
          <w:tcPr>
            <w:tcW w:w="1418" w:type="dxa"/>
            <w:vMerge w:val="restart"/>
            <w:tcBorders>
              <w:top w:val="single" w:sz="4" w:space="0" w:color="000000"/>
            </w:tcBorders>
          </w:tcPr>
          <w:p w14:paraId="1472408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Understand-</w:t>
            </w:r>
            <w:proofErr w:type="spellStart"/>
            <w:r w:rsidRPr="00B22B7A">
              <w:rPr>
                <w:rFonts w:ascii="Times New Roman" w:eastAsia="Times New Roman" w:hAnsi="Times New Roman" w:cs="Times New Roman"/>
                <w:sz w:val="20"/>
                <w:szCs w:val="20"/>
              </w:rPr>
              <w:t>ing</w:t>
            </w:r>
            <w:proofErr w:type="spellEnd"/>
            <w:r w:rsidRPr="00B22B7A">
              <w:rPr>
                <w:rFonts w:ascii="Times New Roman" w:eastAsia="Times New Roman" w:hAnsi="Times New Roman" w:cs="Times New Roman"/>
                <w:sz w:val="20"/>
                <w:szCs w:val="20"/>
              </w:rPr>
              <w:t xml:space="preserve"> and Appreciation of Islam</w:t>
            </w:r>
          </w:p>
        </w:tc>
        <w:tc>
          <w:tcPr>
            <w:tcW w:w="2693" w:type="dxa"/>
            <w:tcBorders>
              <w:top w:val="single" w:sz="4" w:space="0" w:color="000000"/>
            </w:tcBorders>
          </w:tcPr>
          <w:p w14:paraId="7E22E69D"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Lifelong learning</w:t>
            </w:r>
          </w:p>
        </w:tc>
        <w:tc>
          <w:tcPr>
            <w:tcW w:w="1134" w:type="dxa"/>
            <w:tcBorders>
              <w:top w:val="single" w:sz="4" w:space="0" w:color="000000"/>
            </w:tcBorders>
          </w:tcPr>
          <w:p w14:paraId="1BF6183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0.076</w:t>
            </w:r>
          </w:p>
        </w:tc>
        <w:tc>
          <w:tcPr>
            <w:tcW w:w="1276" w:type="dxa"/>
            <w:tcBorders>
              <w:top w:val="single" w:sz="4" w:space="0" w:color="000000"/>
            </w:tcBorders>
          </w:tcPr>
          <w:p w14:paraId="4B0C91B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tcPr>
          <w:p w14:paraId="3C3FAE4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0.917</w:t>
            </w:r>
          </w:p>
        </w:tc>
        <w:tc>
          <w:tcPr>
            <w:tcW w:w="992" w:type="dxa"/>
            <w:tcBorders>
              <w:top w:val="single" w:sz="4" w:space="0" w:color="000000"/>
            </w:tcBorders>
          </w:tcPr>
          <w:p w14:paraId="720D3FC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tcPr>
          <w:p w14:paraId="0155277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23</w:t>
            </w:r>
          </w:p>
        </w:tc>
      </w:tr>
      <w:tr w:rsidR="00893361" w:rsidRPr="00B22B7A" w14:paraId="0E1ED466" w14:textId="77777777">
        <w:trPr>
          <w:jc w:val="center"/>
        </w:trPr>
        <w:tc>
          <w:tcPr>
            <w:tcW w:w="1418" w:type="dxa"/>
            <w:vMerge/>
            <w:tcBorders>
              <w:top w:val="single" w:sz="4" w:space="0" w:color="000000"/>
            </w:tcBorders>
          </w:tcPr>
          <w:p w14:paraId="0071F44B"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Pr>
          <w:p w14:paraId="2EB58EF4"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Adherence to the Ahli Sunnah </w:t>
            </w:r>
            <w:proofErr w:type="spellStart"/>
            <w:r w:rsidRPr="00B22B7A">
              <w:rPr>
                <w:rFonts w:ascii="Times New Roman" w:eastAsia="Times New Roman" w:hAnsi="Times New Roman" w:cs="Times New Roman"/>
                <w:sz w:val="20"/>
                <w:szCs w:val="20"/>
              </w:rPr>
              <w:t>Wal</w:t>
            </w:r>
            <w:proofErr w:type="spellEnd"/>
            <w:r w:rsidRPr="00B22B7A">
              <w:rPr>
                <w:rFonts w:ascii="Times New Roman" w:eastAsia="Times New Roman" w:hAnsi="Times New Roman" w:cs="Times New Roman"/>
                <w:sz w:val="20"/>
                <w:szCs w:val="20"/>
              </w:rPr>
              <w:t xml:space="preserve"> </w:t>
            </w:r>
            <w:proofErr w:type="spellStart"/>
            <w:r w:rsidRPr="00B22B7A">
              <w:rPr>
                <w:rFonts w:ascii="Times New Roman" w:eastAsia="Times New Roman" w:hAnsi="Times New Roman" w:cs="Times New Roman"/>
                <w:sz w:val="20"/>
                <w:szCs w:val="20"/>
              </w:rPr>
              <w:t>Jama’ah</w:t>
            </w:r>
            <w:proofErr w:type="spellEnd"/>
          </w:p>
        </w:tc>
        <w:tc>
          <w:tcPr>
            <w:tcW w:w="1134" w:type="dxa"/>
          </w:tcPr>
          <w:p w14:paraId="0639F8D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0.098</w:t>
            </w:r>
          </w:p>
        </w:tc>
        <w:tc>
          <w:tcPr>
            <w:tcW w:w="1276" w:type="dxa"/>
          </w:tcPr>
          <w:p w14:paraId="790C190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Pr>
          <w:p w14:paraId="6029C7B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0.919</w:t>
            </w:r>
          </w:p>
        </w:tc>
        <w:tc>
          <w:tcPr>
            <w:tcW w:w="992" w:type="dxa"/>
          </w:tcPr>
          <w:p w14:paraId="3DE0DFA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Pr>
          <w:p w14:paraId="76F0C76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22</w:t>
            </w:r>
          </w:p>
        </w:tc>
      </w:tr>
      <w:tr w:rsidR="00893361" w:rsidRPr="00B22B7A" w14:paraId="55462BB0" w14:textId="77777777">
        <w:trPr>
          <w:jc w:val="center"/>
        </w:trPr>
        <w:tc>
          <w:tcPr>
            <w:tcW w:w="1418" w:type="dxa"/>
            <w:vMerge/>
            <w:tcBorders>
              <w:top w:val="single" w:sz="4" w:space="0" w:color="000000"/>
            </w:tcBorders>
          </w:tcPr>
          <w:p w14:paraId="4FC70B05"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21FEA0FA"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Life according to </w:t>
            </w:r>
            <w:proofErr w:type="spellStart"/>
            <w:r w:rsidRPr="00B22B7A">
              <w:rPr>
                <w:rFonts w:ascii="Times New Roman" w:eastAsia="Times New Roman" w:hAnsi="Times New Roman" w:cs="Times New Roman"/>
                <w:sz w:val="20"/>
                <w:szCs w:val="20"/>
              </w:rPr>
              <w:t>Shariah</w:t>
            </w:r>
            <w:proofErr w:type="spellEnd"/>
          </w:p>
        </w:tc>
        <w:tc>
          <w:tcPr>
            <w:tcW w:w="1134" w:type="dxa"/>
            <w:tcBorders>
              <w:bottom w:val="single" w:sz="4" w:space="0" w:color="000000"/>
            </w:tcBorders>
          </w:tcPr>
          <w:p w14:paraId="4072485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0.061</w:t>
            </w:r>
          </w:p>
        </w:tc>
        <w:tc>
          <w:tcPr>
            <w:tcW w:w="1276" w:type="dxa"/>
            <w:tcBorders>
              <w:bottom w:val="single" w:sz="4" w:space="0" w:color="000000"/>
            </w:tcBorders>
          </w:tcPr>
          <w:p w14:paraId="7B4E5AA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tcPr>
          <w:p w14:paraId="07F83D6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0.942</w:t>
            </w:r>
          </w:p>
        </w:tc>
        <w:tc>
          <w:tcPr>
            <w:tcW w:w="992" w:type="dxa"/>
            <w:tcBorders>
              <w:bottom w:val="single" w:sz="4" w:space="0" w:color="000000"/>
            </w:tcBorders>
          </w:tcPr>
          <w:p w14:paraId="5957E9E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1CB48B0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w:t>
            </w:r>
          </w:p>
        </w:tc>
      </w:tr>
      <w:tr w:rsidR="00893361" w:rsidRPr="00B22B7A" w14:paraId="00DB23E4" w14:textId="77777777">
        <w:trPr>
          <w:jc w:val="center"/>
        </w:trPr>
        <w:tc>
          <w:tcPr>
            <w:tcW w:w="1418" w:type="dxa"/>
            <w:vMerge w:val="restart"/>
            <w:tcBorders>
              <w:top w:val="single" w:sz="4" w:space="0" w:color="000000"/>
            </w:tcBorders>
          </w:tcPr>
          <w:p w14:paraId="0006D5D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Society Well-Being</w:t>
            </w:r>
          </w:p>
        </w:tc>
        <w:tc>
          <w:tcPr>
            <w:tcW w:w="2693" w:type="dxa"/>
            <w:tcBorders>
              <w:top w:val="single" w:sz="4" w:space="0" w:color="000000"/>
            </w:tcBorders>
          </w:tcPr>
          <w:p w14:paraId="21470103"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Trustworthiness and integrity</w:t>
            </w:r>
          </w:p>
        </w:tc>
        <w:tc>
          <w:tcPr>
            <w:tcW w:w="1134" w:type="dxa"/>
            <w:tcBorders>
              <w:top w:val="single" w:sz="4" w:space="0" w:color="000000"/>
            </w:tcBorders>
          </w:tcPr>
          <w:p w14:paraId="3BFE8A6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0.000</w:t>
            </w:r>
          </w:p>
        </w:tc>
        <w:tc>
          <w:tcPr>
            <w:tcW w:w="1276" w:type="dxa"/>
            <w:tcBorders>
              <w:top w:val="single" w:sz="4" w:space="0" w:color="000000"/>
            </w:tcBorders>
          </w:tcPr>
          <w:p w14:paraId="2F0FC53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tcPr>
          <w:p w14:paraId="0B0DB33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0.967</w:t>
            </w:r>
          </w:p>
        </w:tc>
        <w:tc>
          <w:tcPr>
            <w:tcW w:w="992" w:type="dxa"/>
            <w:tcBorders>
              <w:top w:val="single" w:sz="4" w:space="0" w:color="000000"/>
            </w:tcBorders>
          </w:tcPr>
          <w:p w14:paraId="27A1DFF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tcPr>
          <w:p w14:paraId="081AA29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w:t>
            </w:r>
          </w:p>
        </w:tc>
      </w:tr>
      <w:tr w:rsidR="00893361" w:rsidRPr="00B22B7A" w14:paraId="0A470854" w14:textId="77777777">
        <w:trPr>
          <w:jc w:val="center"/>
        </w:trPr>
        <w:tc>
          <w:tcPr>
            <w:tcW w:w="1418" w:type="dxa"/>
            <w:vMerge/>
            <w:tcBorders>
              <w:top w:val="single" w:sz="4" w:space="0" w:color="000000"/>
            </w:tcBorders>
          </w:tcPr>
          <w:p w14:paraId="71FC906E"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013DCB6B"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Diversity management</w:t>
            </w:r>
          </w:p>
        </w:tc>
        <w:tc>
          <w:tcPr>
            <w:tcW w:w="1134" w:type="dxa"/>
            <w:shd w:val="clear" w:color="auto" w:fill="auto"/>
          </w:tcPr>
          <w:p w14:paraId="3AB185D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0.101</w:t>
            </w:r>
          </w:p>
        </w:tc>
        <w:tc>
          <w:tcPr>
            <w:tcW w:w="1276" w:type="dxa"/>
            <w:shd w:val="clear" w:color="auto" w:fill="auto"/>
          </w:tcPr>
          <w:p w14:paraId="476844E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shd w:val="clear" w:color="auto" w:fill="auto"/>
          </w:tcPr>
          <w:p w14:paraId="06280EE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0.911</w:t>
            </w:r>
          </w:p>
        </w:tc>
        <w:tc>
          <w:tcPr>
            <w:tcW w:w="992" w:type="dxa"/>
            <w:shd w:val="clear" w:color="auto" w:fill="auto"/>
          </w:tcPr>
          <w:p w14:paraId="49D0D4F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6B85E24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26</w:t>
            </w:r>
          </w:p>
        </w:tc>
      </w:tr>
      <w:tr w:rsidR="00893361" w:rsidRPr="00B22B7A" w14:paraId="36888E2A" w14:textId="77777777">
        <w:trPr>
          <w:jc w:val="center"/>
        </w:trPr>
        <w:tc>
          <w:tcPr>
            <w:tcW w:w="1418" w:type="dxa"/>
            <w:vMerge/>
            <w:tcBorders>
              <w:top w:val="single" w:sz="4" w:space="0" w:color="000000"/>
            </w:tcBorders>
          </w:tcPr>
          <w:p w14:paraId="62173117"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shd w:val="clear" w:color="auto" w:fill="auto"/>
          </w:tcPr>
          <w:p w14:paraId="2EC33080"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Individual well-being</w:t>
            </w:r>
          </w:p>
        </w:tc>
        <w:tc>
          <w:tcPr>
            <w:tcW w:w="1134" w:type="dxa"/>
            <w:tcBorders>
              <w:bottom w:val="single" w:sz="4" w:space="0" w:color="000000"/>
            </w:tcBorders>
            <w:shd w:val="clear" w:color="auto" w:fill="auto"/>
          </w:tcPr>
          <w:p w14:paraId="11285C9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0.061</w:t>
            </w:r>
          </w:p>
        </w:tc>
        <w:tc>
          <w:tcPr>
            <w:tcW w:w="1276" w:type="dxa"/>
            <w:tcBorders>
              <w:bottom w:val="single" w:sz="4" w:space="0" w:color="000000"/>
            </w:tcBorders>
            <w:shd w:val="clear" w:color="auto" w:fill="auto"/>
          </w:tcPr>
          <w:p w14:paraId="5475E32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shd w:val="clear" w:color="auto" w:fill="auto"/>
          </w:tcPr>
          <w:p w14:paraId="499738A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0.942</w:t>
            </w:r>
          </w:p>
        </w:tc>
        <w:tc>
          <w:tcPr>
            <w:tcW w:w="992" w:type="dxa"/>
            <w:tcBorders>
              <w:bottom w:val="single" w:sz="4" w:space="0" w:color="000000"/>
            </w:tcBorders>
            <w:shd w:val="clear" w:color="auto" w:fill="auto"/>
          </w:tcPr>
          <w:p w14:paraId="4964A24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shd w:val="clear" w:color="auto" w:fill="auto"/>
          </w:tcPr>
          <w:p w14:paraId="34B2483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w:t>
            </w:r>
          </w:p>
        </w:tc>
      </w:tr>
      <w:tr w:rsidR="00893361" w:rsidRPr="00B22B7A" w14:paraId="01D2C4D9" w14:textId="77777777">
        <w:trPr>
          <w:jc w:val="center"/>
        </w:trPr>
        <w:tc>
          <w:tcPr>
            <w:tcW w:w="1418" w:type="dxa"/>
            <w:vMerge w:val="restart"/>
            <w:tcBorders>
              <w:top w:val="single" w:sz="4" w:space="0" w:color="000000"/>
            </w:tcBorders>
            <w:shd w:val="clear" w:color="auto" w:fill="auto"/>
          </w:tcPr>
          <w:p w14:paraId="2FC2BF9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Islamic Religious Education</w:t>
            </w:r>
          </w:p>
        </w:tc>
        <w:tc>
          <w:tcPr>
            <w:tcW w:w="2693" w:type="dxa"/>
            <w:tcBorders>
              <w:top w:val="single" w:sz="4" w:space="0" w:color="000000"/>
            </w:tcBorders>
            <w:shd w:val="clear" w:color="auto" w:fill="auto"/>
          </w:tcPr>
          <w:p w14:paraId="5D3CF7FE"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Tendency to choose religious schools</w:t>
            </w:r>
          </w:p>
        </w:tc>
        <w:tc>
          <w:tcPr>
            <w:tcW w:w="1134" w:type="dxa"/>
            <w:tcBorders>
              <w:top w:val="single" w:sz="4" w:space="0" w:color="000000"/>
            </w:tcBorders>
            <w:shd w:val="clear" w:color="auto" w:fill="auto"/>
          </w:tcPr>
          <w:p w14:paraId="0702B9F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0.107</w:t>
            </w:r>
          </w:p>
        </w:tc>
        <w:tc>
          <w:tcPr>
            <w:tcW w:w="1276" w:type="dxa"/>
            <w:tcBorders>
              <w:top w:val="single" w:sz="4" w:space="0" w:color="000000"/>
            </w:tcBorders>
            <w:shd w:val="clear" w:color="auto" w:fill="auto"/>
          </w:tcPr>
          <w:p w14:paraId="0EA4374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top w:val="single" w:sz="4" w:space="0" w:color="000000"/>
            </w:tcBorders>
            <w:shd w:val="clear" w:color="auto" w:fill="auto"/>
          </w:tcPr>
          <w:p w14:paraId="4CE8973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0.842</w:t>
            </w:r>
          </w:p>
        </w:tc>
        <w:tc>
          <w:tcPr>
            <w:tcW w:w="992" w:type="dxa"/>
            <w:tcBorders>
              <w:top w:val="single" w:sz="4" w:space="0" w:color="000000"/>
            </w:tcBorders>
            <w:shd w:val="clear" w:color="auto" w:fill="auto"/>
          </w:tcPr>
          <w:p w14:paraId="11FF358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shd w:val="clear" w:color="auto" w:fill="auto"/>
          </w:tcPr>
          <w:p w14:paraId="06B5A6F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40</w:t>
            </w:r>
          </w:p>
        </w:tc>
      </w:tr>
      <w:tr w:rsidR="00893361" w:rsidRPr="00B22B7A" w14:paraId="70CA3AE6" w14:textId="77777777">
        <w:trPr>
          <w:jc w:val="center"/>
        </w:trPr>
        <w:tc>
          <w:tcPr>
            <w:tcW w:w="1418" w:type="dxa"/>
            <w:vMerge/>
            <w:tcBorders>
              <w:top w:val="single" w:sz="4" w:space="0" w:color="000000"/>
            </w:tcBorders>
            <w:shd w:val="clear" w:color="auto" w:fill="auto"/>
          </w:tcPr>
          <w:p w14:paraId="0DD66305"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74A17468"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Performance of religious school students</w:t>
            </w:r>
          </w:p>
        </w:tc>
        <w:tc>
          <w:tcPr>
            <w:tcW w:w="1134" w:type="dxa"/>
            <w:shd w:val="clear" w:color="auto" w:fill="auto"/>
          </w:tcPr>
          <w:p w14:paraId="70FBB676"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0.126</w:t>
            </w:r>
          </w:p>
        </w:tc>
        <w:tc>
          <w:tcPr>
            <w:tcW w:w="1276" w:type="dxa"/>
            <w:shd w:val="clear" w:color="auto" w:fill="auto"/>
          </w:tcPr>
          <w:p w14:paraId="0393B04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80%</w:t>
            </w:r>
          </w:p>
        </w:tc>
        <w:tc>
          <w:tcPr>
            <w:tcW w:w="992" w:type="dxa"/>
            <w:shd w:val="clear" w:color="auto" w:fill="auto"/>
          </w:tcPr>
          <w:p w14:paraId="53DF2EF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0.897</w:t>
            </w:r>
          </w:p>
        </w:tc>
        <w:tc>
          <w:tcPr>
            <w:tcW w:w="992" w:type="dxa"/>
            <w:shd w:val="clear" w:color="auto" w:fill="auto"/>
          </w:tcPr>
          <w:p w14:paraId="3418E3D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39EA68F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29</w:t>
            </w:r>
          </w:p>
        </w:tc>
      </w:tr>
      <w:tr w:rsidR="00893361" w:rsidRPr="00B22B7A" w14:paraId="649ED878" w14:textId="77777777">
        <w:trPr>
          <w:jc w:val="center"/>
        </w:trPr>
        <w:tc>
          <w:tcPr>
            <w:tcW w:w="1418" w:type="dxa"/>
            <w:vMerge/>
            <w:tcBorders>
              <w:top w:val="single" w:sz="4" w:space="0" w:color="000000"/>
            </w:tcBorders>
            <w:shd w:val="clear" w:color="auto" w:fill="auto"/>
          </w:tcPr>
          <w:p w14:paraId="194281F8"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shd w:val="clear" w:color="auto" w:fill="auto"/>
          </w:tcPr>
          <w:p w14:paraId="2780B6AD"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Quality of religious schools</w:t>
            </w:r>
          </w:p>
        </w:tc>
        <w:tc>
          <w:tcPr>
            <w:tcW w:w="1134" w:type="dxa"/>
            <w:tcBorders>
              <w:bottom w:val="single" w:sz="4" w:space="0" w:color="000000"/>
            </w:tcBorders>
            <w:shd w:val="clear" w:color="auto" w:fill="auto"/>
          </w:tcPr>
          <w:p w14:paraId="0FECCB7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0.071</w:t>
            </w:r>
          </w:p>
        </w:tc>
        <w:tc>
          <w:tcPr>
            <w:tcW w:w="1276" w:type="dxa"/>
            <w:tcBorders>
              <w:bottom w:val="single" w:sz="4" w:space="0" w:color="000000"/>
            </w:tcBorders>
            <w:shd w:val="clear" w:color="auto" w:fill="auto"/>
          </w:tcPr>
          <w:p w14:paraId="0A45513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shd w:val="clear" w:color="auto" w:fill="auto"/>
          </w:tcPr>
          <w:p w14:paraId="2048A5E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0.933</w:t>
            </w:r>
          </w:p>
        </w:tc>
        <w:tc>
          <w:tcPr>
            <w:tcW w:w="992" w:type="dxa"/>
            <w:tcBorders>
              <w:bottom w:val="single" w:sz="4" w:space="0" w:color="000000"/>
            </w:tcBorders>
            <w:shd w:val="clear" w:color="auto" w:fill="auto"/>
          </w:tcPr>
          <w:p w14:paraId="1E119EB5"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shd w:val="clear" w:color="auto" w:fill="auto"/>
          </w:tcPr>
          <w:p w14:paraId="25024F0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17</w:t>
            </w:r>
          </w:p>
        </w:tc>
      </w:tr>
      <w:tr w:rsidR="00893361" w:rsidRPr="00B22B7A" w14:paraId="43A03F59" w14:textId="77777777">
        <w:trPr>
          <w:jc w:val="center"/>
        </w:trPr>
        <w:tc>
          <w:tcPr>
            <w:tcW w:w="1418" w:type="dxa"/>
            <w:vMerge w:val="restart"/>
            <w:tcBorders>
              <w:top w:val="single" w:sz="4" w:space="0" w:color="000000"/>
            </w:tcBorders>
            <w:shd w:val="clear" w:color="auto" w:fill="auto"/>
          </w:tcPr>
          <w:p w14:paraId="3CE3696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Halal Management</w:t>
            </w:r>
          </w:p>
        </w:tc>
        <w:tc>
          <w:tcPr>
            <w:tcW w:w="2693" w:type="dxa"/>
            <w:tcBorders>
              <w:top w:val="single" w:sz="4" w:space="0" w:color="000000"/>
            </w:tcBorders>
            <w:shd w:val="clear" w:color="auto" w:fill="auto"/>
          </w:tcPr>
          <w:p w14:paraId="7B4E9CC1"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Halal certification</w:t>
            </w:r>
          </w:p>
        </w:tc>
        <w:tc>
          <w:tcPr>
            <w:tcW w:w="1134" w:type="dxa"/>
            <w:tcBorders>
              <w:top w:val="single" w:sz="4" w:space="0" w:color="000000"/>
            </w:tcBorders>
            <w:shd w:val="clear" w:color="auto" w:fill="auto"/>
          </w:tcPr>
          <w:p w14:paraId="11E0953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0.101</w:t>
            </w:r>
          </w:p>
        </w:tc>
        <w:tc>
          <w:tcPr>
            <w:tcW w:w="1276" w:type="dxa"/>
            <w:tcBorders>
              <w:top w:val="single" w:sz="4" w:space="0" w:color="000000"/>
            </w:tcBorders>
            <w:shd w:val="clear" w:color="auto" w:fill="auto"/>
          </w:tcPr>
          <w:p w14:paraId="6FCA528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top w:val="single" w:sz="4" w:space="0" w:color="000000"/>
            </w:tcBorders>
            <w:shd w:val="clear" w:color="auto" w:fill="auto"/>
          </w:tcPr>
          <w:p w14:paraId="3FCDBBB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0.903</w:t>
            </w:r>
          </w:p>
        </w:tc>
        <w:tc>
          <w:tcPr>
            <w:tcW w:w="992" w:type="dxa"/>
            <w:tcBorders>
              <w:top w:val="single" w:sz="4" w:space="0" w:color="000000"/>
            </w:tcBorders>
            <w:shd w:val="clear" w:color="auto" w:fill="auto"/>
          </w:tcPr>
          <w:p w14:paraId="52A678C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shd w:val="clear" w:color="auto" w:fill="auto"/>
          </w:tcPr>
          <w:p w14:paraId="577521D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28</w:t>
            </w:r>
          </w:p>
        </w:tc>
      </w:tr>
      <w:tr w:rsidR="00893361" w:rsidRPr="00B22B7A" w14:paraId="338AE8D1" w14:textId="77777777">
        <w:trPr>
          <w:jc w:val="center"/>
        </w:trPr>
        <w:tc>
          <w:tcPr>
            <w:tcW w:w="1418" w:type="dxa"/>
            <w:vMerge/>
            <w:tcBorders>
              <w:top w:val="single" w:sz="4" w:space="0" w:color="000000"/>
            </w:tcBorders>
            <w:shd w:val="clear" w:color="auto" w:fill="auto"/>
          </w:tcPr>
          <w:p w14:paraId="75AB180A"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3FC62840"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Community awareness of halal certification</w:t>
            </w:r>
          </w:p>
        </w:tc>
        <w:tc>
          <w:tcPr>
            <w:tcW w:w="1134" w:type="dxa"/>
            <w:shd w:val="clear" w:color="auto" w:fill="auto"/>
          </w:tcPr>
          <w:p w14:paraId="3002F96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0.065</w:t>
            </w:r>
          </w:p>
        </w:tc>
        <w:tc>
          <w:tcPr>
            <w:tcW w:w="1276" w:type="dxa"/>
            <w:shd w:val="clear" w:color="auto" w:fill="auto"/>
          </w:tcPr>
          <w:p w14:paraId="7D26388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shd w:val="clear" w:color="auto" w:fill="auto"/>
          </w:tcPr>
          <w:p w14:paraId="3E52C27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0.936</w:t>
            </w:r>
          </w:p>
        </w:tc>
        <w:tc>
          <w:tcPr>
            <w:tcW w:w="992" w:type="dxa"/>
            <w:shd w:val="clear" w:color="auto" w:fill="auto"/>
          </w:tcPr>
          <w:p w14:paraId="07FC51F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75E028D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12</w:t>
            </w:r>
          </w:p>
        </w:tc>
      </w:tr>
      <w:tr w:rsidR="00893361" w:rsidRPr="00B22B7A" w14:paraId="57DF054A" w14:textId="77777777">
        <w:trPr>
          <w:jc w:val="center"/>
        </w:trPr>
        <w:tc>
          <w:tcPr>
            <w:tcW w:w="1418" w:type="dxa"/>
            <w:vMerge/>
            <w:tcBorders>
              <w:top w:val="single" w:sz="4" w:space="0" w:color="000000"/>
            </w:tcBorders>
            <w:shd w:val="clear" w:color="auto" w:fill="auto"/>
          </w:tcPr>
          <w:p w14:paraId="73125C62"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shd w:val="clear" w:color="auto" w:fill="auto"/>
          </w:tcPr>
          <w:p w14:paraId="226F203A"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Enforcement and monitoring of halal certificates</w:t>
            </w:r>
          </w:p>
        </w:tc>
        <w:tc>
          <w:tcPr>
            <w:tcW w:w="1134" w:type="dxa"/>
            <w:tcBorders>
              <w:bottom w:val="single" w:sz="4" w:space="0" w:color="000000"/>
            </w:tcBorders>
            <w:shd w:val="clear" w:color="auto" w:fill="auto"/>
          </w:tcPr>
          <w:p w14:paraId="1C34180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0.076</w:t>
            </w:r>
          </w:p>
        </w:tc>
        <w:tc>
          <w:tcPr>
            <w:tcW w:w="1276" w:type="dxa"/>
            <w:tcBorders>
              <w:bottom w:val="single" w:sz="4" w:space="0" w:color="000000"/>
            </w:tcBorders>
            <w:shd w:val="clear" w:color="auto" w:fill="auto"/>
          </w:tcPr>
          <w:p w14:paraId="158A9EE9"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shd w:val="clear" w:color="auto" w:fill="auto"/>
          </w:tcPr>
          <w:p w14:paraId="01FF065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0.925</w:t>
            </w:r>
          </w:p>
        </w:tc>
        <w:tc>
          <w:tcPr>
            <w:tcW w:w="992" w:type="dxa"/>
            <w:tcBorders>
              <w:bottom w:val="single" w:sz="4" w:space="0" w:color="000000"/>
            </w:tcBorders>
            <w:shd w:val="clear" w:color="auto" w:fill="auto"/>
          </w:tcPr>
          <w:p w14:paraId="2FA4270E"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shd w:val="clear" w:color="auto" w:fill="auto"/>
          </w:tcPr>
          <w:p w14:paraId="477B14F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20</w:t>
            </w:r>
          </w:p>
        </w:tc>
      </w:tr>
      <w:tr w:rsidR="00893361" w:rsidRPr="00B22B7A" w14:paraId="174F6449" w14:textId="77777777">
        <w:trPr>
          <w:jc w:val="center"/>
        </w:trPr>
        <w:tc>
          <w:tcPr>
            <w:tcW w:w="1418" w:type="dxa"/>
            <w:vMerge w:val="restart"/>
            <w:tcBorders>
              <w:top w:val="single" w:sz="4" w:space="0" w:color="000000"/>
            </w:tcBorders>
            <w:shd w:val="clear" w:color="auto" w:fill="auto"/>
          </w:tcPr>
          <w:p w14:paraId="21DADA60" w14:textId="77777777" w:rsidR="00893361" w:rsidRPr="00B22B7A" w:rsidRDefault="00252E94">
            <w:pPr>
              <w:ind w:left="0" w:hanging="2"/>
              <w:jc w:val="center"/>
              <w:rPr>
                <w:rFonts w:ascii="Times New Roman" w:eastAsia="Times New Roman" w:hAnsi="Times New Roman" w:cs="Times New Roman"/>
                <w:sz w:val="20"/>
                <w:szCs w:val="20"/>
              </w:rPr>
            </w:pPr>
            <w:proofErr w:type="spellStart"/>
            <w:r w:rsidRPr="00B22B7A">
              <w:rPr>
                <w:rFonts w:ascii="Times New Roman" w:eastAsia="Times New Roman" w:hAnsi="Times New Roman" w:cs="Times New Roman"/>
                <w:sz w:val="20"/>
                <w:szCs w:val="20"/>
              </w:rPr>
              <w:t>Da’wah</w:t>
            </w:r>
            <w:proofErr w:type="spellEnd"/>
            <w:r w:rsidRPr="00B22B7A">
              <w:rPr>
                <w:rFonts w:ascii="Times New Roman" w:eastAsia="Times New Roman" w:hAnsi="Times New Roman" w:cs="Times New Roman"/>
                <w:sz w:val="20"/>
                <w:szCs w:val="20"/>
              </w:rPr>
              <w:t xml:space="preserve"> and </w:t>
            </w:r>
            <w:proofErr w:type="spellStart"/>
            <w:r w:rsidRPr="00B22B7A">
              <w:rPr>
                <w:rFonts w:ascii="Times New Roman" w:eastAsia="Times New Roman" w:hAnsi="Times New Roman" w:cs="Times New Roman"/>
                <w:sz w:val="20"/>
                <w:szCs w:val="20"/>
              </w:rPr>
              <w:t>Tarbiyah</w:t>
            </w:r>
            <w:proofErr w:type="spellEnd"/>
          </w:p>
        </w:tc>
        <w:tc>
          <w:tcPr>
            <w:tcW w:w="2693" w:type="dxa"/>
            <w:tcBorders>
              <w:top w:val="single" w:sz="4" w:space="0" w:color="000000"/>
            </w:tcBorders>
            <w:shd w:val="clear" w:color="auto" w:fill="auto"/>
          </w:tcPr>
          <w:p w14:paraId="63F85D54"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Number of new converts</w:t>
            </w:r>
          </w:p>
        </w:tc>
        <w:tc>
          <w:tcPr>
            <w:tcW w:w="1134" w:type="dxa"/>
            <w:tcBorders>
              <w:top w:val="single" w:sz="4" w:space="0" w:color="000000"/>
            </w:tcBorders>
            <w:shd w:val="clear" w:color="auto" w:fill="auto"/>
          </w:tcPr>
          <w:p w14:paraId="4A21522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0.131</w:t>
            </w:r>
          </w:p>
        </w:tc>
        <w:tc>
          <w:tcPr>
            <w:tcW w:w="1276" w:type="dxa"/>
            <w:tcBorders>
              <w:top w:val="single" w:sz="4" w:space="0" w:color="000000"/>
            </w:tcBorders>
            <w:shd w:val="clear" w:color="auto" w:fill="auto"/>
          </w:tcPr>
          <w:p w14:paraId="7B599EE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90%</w:t>
            </w:r>
          </w:p>
        </w:tc>
        <w:tc>
          <w:tcPr>
            <w:tcW w:w="992" w:type="dxa"/>
            <w:tcBorders>
              <w:top w:val="single" w:sz="4" w:space="0" w:color="000000"/>
            </w:tcBorders>
            <w:shd w:val="clear" w:color="auto" w:fill="auto"/>
          </w:tcPr>
          <w:p w14:paraId="3832AE2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0.856</w:t>
            </w:r>
          </w:p>
        </w:tc>
        <w:tc>
          <w:tcPr>
            <w:tcW w:w="992" w:type="dxa"/>
            <w:tcBorders>
              <w:top w:val="single" w:sz="4" w:space="0" w:color="000000"/>
            </w:tcBorders>
            <w:shd w:val="clear" w:color="auto" w:fill="auto"/>
          </w:tcPr>
          <w:p w14:paraId="0B4F257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top w:val="single" w:sz="4" w:space="0" w:color="000000"/>
            </w:tcBorders>
            <w:shd w:val="clear" w:color="auto" w:fill="auto"/>
          </w:tcPr>
          <w:p w14:paraId="765E362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39</w:t>
            </w:r>
          </w:p>
        </w:tc>
      </w:tr>
      <w:tr w:rsidR="00893361" w:rsidRPr="00B22B7A" w14:paraId="591D9A35" w14:textId="77777777">
        <w:trPr>
          <w:jc w:val="center"/>
        </w:trPr>
        <w:tc>
          <w:tcPr>
            <w:tcW w:w="1418" w:type="dxa"/>
            <w:vMerge/>
            <w:tcBorders>
              <w:top w:val="single" w:sz="4" w:space="0" w:color="000000"/>
            </w:tcBorders>
            <w:shd w:val="clear" w:color="auto" w:fill="auto"/>
          </w:tcPr>
          <w:p w14:paraId="5BC70555"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7D246C49"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Accredited preachers</w:t>
            </w:r>
          </w:p>
        </w:tc>
        <w:tc>
          <w:tcPr>
            <w:tcW w:w="1134" w:type="dxa"/>
            <w:shd w:val="clear" w:color="auto" w:fill="auto"/>
          </w:tcPr>
          <w:p w14:paraId="795B27A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0.152</w:t>
            </w:r>
          </w:p>
        </w:tc>
        <w:tc>
          <w:tcPr>
            <w:tcW w:w="1276" w:type="dxa"/>
            <w:shd w:val="clear" w:color="auto" w:fill="auto"/>
          </w:tcPr>
          <w:p w14:paraId="390C0FC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70%</w:t>
            </w:r>
          </w:p>
        </w:tc>
        <w:tc>
          <w:tcPr>
            <w:tcW w:w="992" w:type="dxa"/>
            <w:shd w:val="clear" w:color="auto" w:fill="auto"/>
          </w:tcPr>
          <w:p w14:paraId="1EC4FE8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0.875</w:t>
            </w:r>
          </w:p>
        </w:tc>
        <w:tc>
          <w:tcPr>
            <w:tcW w:w="992" w:type="dxa"/>
            <w:shd w:val="clear" w:color="auto" w:fill="auto"/>
          </w:tcPr>
          <w:p w14:paraId="06649F31"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Rejected</w:t>
            </w:r>
          </w:p>
        </w:tc>
        <w:tc>
          <w:tcPr>
            <w:tcW w:w="709" w:type="dxa"/>
            <w:shd w:val="clear" w:color="auto" w:fill="auto"/>
          </w:tcPr>
          <w:p w14:paraId="5D3BC5BC"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34</w:t>
            </w:r>
          </w:p>
        </w:tc>
      </w:tr>
      <w:tr w:rsidR="00893361" w:rsidRPr="00B22B7A" w14:paraId="20382726" w14:textId="77777777">
        <w:trPr>
          <w:jc w:val="center"/>
        </w:trPr>
        <w:tc>
          <w:tcPr>
            <w:tcW w:w="1418" w:type="dxa"/>
            <w:vMerge/>
            <w:tcBorders>
              <w:top w:val="single" w:sz="4" w:space="0" w:color="000000"/>
            </w:tcBorders>
            <w:shd w:val="clear" w:color="auto" w:fill="auto"/>
          </w:tcPr>
          <w:p w14:paraId="5FB1C615"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420903DF"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Methods of conveying </w:t>
            </w:r>
            <w:proofErr w:type="spellStart"/>
            <w:r w:rsidRPr="00B22B7A">
              <w:rPr>
                <w:rFonts w:ascii="Times New Roman" w:eastAsia="Times New Roman" w:hAnsi="Times New Roman" w:cs="Times New Roman"/>
                <w:sz w:val="20"/>
                <w:szCs w:val="20"/>
              </w:rPr>
              <w:t>da’wah</w:t>
            </w:r>
            <w:proofErr w:type="spellEnd"/>
          </w:p>
        </w:tc>
        <w:tc>
          <w:tcPr>
            <w:tcW w:w="1134" w:type="dxa"/>
            <w:shd w:val="clear" w:color="auto" w:fill="auto"/>
          </w:tcPr>
          <w:p w14:paraId="6EE65F98"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0.046</w:t>
            </w:r>
          </w:p>
        </w:tc>
        <w:tc>
          <w:tcPr>
            <w:tcW w:w="1276" w:type="dxa"/>
            <w:shd w:val="clear" w:color="auto" w:fill="auto"/>
          </w:tcPr>
          <w:p w14:paraId="16EE4567"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shd w:val="clear" w:color="auto" w:fill="auto"/>
          </w:tcPr>
          <w:p w14:paraId="4DE94B9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0.950</w:t>
            </w:r>
          </w:p>
        </w:tc>
        <w:tc>
          <w:tcPr>
            <w:tcW w:w="992" w:type="dxa"/>
            <w:shd w:val="clear" w:color="auto" w:fill="auto"/>
          </w:tcPr>
          <w:p w14:paraId="0A05010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7D04121F"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6</w:t>
            </w:r>
          </w:p>
        </w:tc>
      </w:tr>
      <w:tr w:rsidR="00893361" w:rsidRPr="00B22B7A" w14:paraId="60CACC98" w14:textId="77777777">
        <w:trPr>
          <w:jc w:val="center"/>
        </w:trPr>
        <w:tc>
          <w:tcPr>
            <w:tcW w:w="1418" w:type="dxa"/>
            <w:vMerge/>
            <w:tcBorders>
              <w:top w:val="single" w:sz="4" w:space="0" w:color="000000"/>
            </w:tcBorders>
            <w:shd w:val="clear" w:color="auto" w:fill="auto"/>
          </w:tcPr>
          <w:p w14:paraId="2542A842"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shd w:val="clear" w:color="auto" w:fill="auto"/>
          </w:tcPr>
          <w:p w14:paraId="093DC273"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Content of </w:t>
            </w:r>
            <w:proofErr w:type="spellStart"/>
            <w:r w:rsidRPr="00B22B7A">
              <w:rPr>
                <w:rFonts w:ascii="Times New Roman" w:eastAsia="Times New Roman" w:hAnsi="Times New Roman" w:cs="Times New Roman"/>
                <w:sz w:val="20"/>
                <w:szCs w:val="20"/>
              </w:rPr>
              <w:t>da’wah</w:t>
            </w:r>
            <w:proofErr w:type="spellEnd"/>
          </w:p>
        </w:tc>
        <w:tc>
          <w:tcPr>
            <w:tcW w:w="1134" w:type="dxa"/>
            <w:shd w:val="clear" w:color="auto" w:fill="auto"/>
          </w:tcPr>
          <w:p w14:paraId="21595A6B"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0.061</w:t>
            </w:r>
          </w:p>
        </w:tc>
        <w:tc>
          <w:tcPr>
            <w:tcW w:w="1276" w:type="dxa"/>
            <w:shd w:val="clear" w:color="auto" w:fill="auto"/>
          </w:tcPr>
          <w:p w14:paraId="7BEE8DE3"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shd w:val="clear" w:color="auto" w:fill="auto"/>
          </w:tcPr>
          <w:p w14:paraId="09C6479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0.942</w:t>
            </w:r>
          </w:p>
        </w:tc>
        <w:tc>
          <w:tcPr>
            <w:tcW w:w="992" w:type="dxa"/>
            <w:shd w:val="clear" w:color="auto" w:fill="auto"/>
          </w:tcPr>
          <w:p w14:paraId="16B409C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shd w:val="clear" w:color="auto" w:fill="auto"/>
          </w:tcPr>
          <w:p w14:paraId="13E8B09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11</w:t>
            </w:r>
          </w:p>
        </w:tc>
      </w:tr>
      <w:tr w:rsidR="00893361" w:rsidRPr="00B22B7A" w14:paraId="483304F3" w14:textId="77777777">
        <w:trPr>
          <w:jc w:val="center"/>
        </w:trPr>
        <w:tc>
          <w:tcPr>
            <w:tcW w:w="1418" w:type="dxa"/>
            <w:vMerge/>
            <w:tcBorders>
              <w:top w:val="single" w:sz="4" w:space="0" w:color="000000"/>
            </w:tcBorders>
            <w:shd w:val="clear" w:color="auto" w:fill="auto"/>
          </w:tcPr>
          <w:p w14:paraId="5F17D136" w14:textId="77777777" w:rsidR="00893361" w:rsidRPr="00B22B7A" w:rsidRDefault="00893361">
            <w:pPr>
              <w:widowControl w:val="0"/>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693" w:type="dxa"/>
            <w:tcBorders>
              <w:bottom w:val="single" w:sz="4" w:space="0" w:color="000000"/>
            </w:tcBorders>
          </w:tcPr>
          <w:p w14:paraId="2FC1F755" w14:textId="77777777" w:rsidR="00893361" w:rsidRPr="00B22B7A" w:rsidRDefault="00252E94">
            <w:pPr>
              <w:ind w:left="0" w:hanging="2"/>
              <w:jc w:val="both"/>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 xml:space="preserve">Assessment and monitoring of </w:t>
            </w:r>
            <w:proofErr w:type="spellStart"/>
            <w:r w:rsidRPr="00B22B7A">
              <w:rPr>
                <w:rFonts w:ascii="Times New Roman" w:eastAsia="Times New Roman" w:hAnsi="Times New Roman" w:cs="Times New Roman"/>
                <w:sz w:val="20"/>
                <w:szCs w:val="20"/>
              </w:rPr>
              <w:t>da’wah</w:t>
            </w:r>
            <w:proofErr w:type="spellEnd"/>
          </w:p>
        </w:tc>
        <w:tc>
          <w:tcPr>
            <w:tcW w:w="1134" w:type="dxa"/>
            <w:tcBorders>
              <w:bottom w:val="single" w:sz="4" w:space="0" w:color="000000"/>
            </w:tcBorders>
          </w:tcPr>
          <w:p w14:paraId="3F3A553D"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0.076</w:t>
            </w:r>
          </w:p>
        </w:tc>
        <w:tc>
          <w:tcPr>
            <w:tcW w:w="1276" w:type="dxa"/>
            <w:tcBorders>
              <w:bottom w:val="single" w:sz="4" w:space="0" w:color="000000"/>
            </w:tcBorders>
          </w:tcPr>
          <w:p w14:paraId="3BE4EB70"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100%</w:t>
            </w:r>
          </w:p>
        </w:tc>
        <w:tc>
          <w:tcPr>
            <w:tcW w:w="992" w:type="dxa"/>
            <w:tcBorders>
              <w:bottom w:val="single" w:sz="4" w:space="0" w:color="000000"/>
            </w:tcBorders>
          </w:tcPr>
          <w:p w14:paraId="5828FF34"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0.917</w:t>
            </w:r>
          </w:p>
        </w:tc>
        <w:tc>
          <w:tcPr>
            <w:tcW w:w="992" w:type="dxa"/>
            <w:tcBorders>
              <w:bottom w:val="single" w:sz="4" w:space="0" w:color="000000"/>
            </w:tcBorders>
          </w:tcPr>
          <w:p w14:paraId="37D34DBA"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Accepted</w:t>
            </w:r>
          </w:p>
        </w:tc>
        <w:tc>
          <w:tcPr>
            <w:tcW w:w="709" w:type="dxa"/>
            <w:tcBorders>
              <w:bottom w:val="single" w:sz="4" w:space="0" w:color="000000"/>
            </w:tcBorders>
          </w:tcPr>
          <w:p w14:paraId="40599842" w14:textId="77777777" w:rsidR="00893361" w:rsidRPr="00B22B7A" w:rsidRDefault="00252E94">
            <w:pPr>
              <w:ind w:left="0" w:hanging="2"/>
              <w:jc w:val="center"/>
              <w:rPr>
                <w:rFonts w:ascii="Times New Roman" w:eastAsia="Times New Roman" w:hAnsi="Times New Roman" w:cs="Times New Roman"/>
                <w:sz w:val="20"/>
                <w:szCs w:val="20"/>
              </w:rPr>
            </w:pPr>
            <w:r w:rsidRPr="00B22B7A">
              <w:rPr>
                <w:rFonts w:ascii="Times New Roman" w:eastAsia="Times New Roman" w:hAnsi="Times New Roman" w:cs="Times New Roman"/>
                <w:sz w:val="20"/>
                <w:szCs w:val="20"/>
              </w:rPr>
              <w:t>24</w:t>
            </w:r>
          </w:p>
        </w:tc>
      </w:tr>
    </w:tbl>
    <w:p w14:paraId="6851CA79" w14:textId="77777777" w:rsidR="00893361" w:rsidRPr="00B22B7A"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B22B7A">
        <w:rPr>
          <w:rFonts w:ascii="Times New Roman" w:eastAsia="Times New Roman" w:hAnsi="Times New Roman" w:cs="Times New Roman"/>
          <w:color w:val="000000"/>
          <w:sz w:val="24"/>
          <w:szCs w:val="24"/>
        </w:rPr>
        <w:t>Pre-requisites:</w:t>
      </w:r>
    </w:p>
    <w:p w14:paraId="24D168E3" w14:textId="77777777" w:rsidR="00893361" w:rsidRPr="00B22B7A" w:rsidRDefault="00A93B2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sdt>
        <w:sdtPr>
          <w:rPr>
            <w:rFonts w:ascii="Times New Roman" w:hAnsi="Times New Roman" w:cs="Times New Roman"/>
          </w:rPr>
          <w:tag w:val="goog_rdk_2"/>
          <w:id w:val="1719705547"/>
        </w:sdtPr>
        <w:sdtEndPr/>
        <w:sdtContent>
          <w:r w:rsidR="00252E94" w:rsidRPr="00B22B7A">
            <w:rPr>
              <w:rFonts w:ascii="Times New Roman" w:eastAsia="Gungsuh" w:hAnsi="Times New Roman" w:cs="Times New Roman"/>
              <w:color w:val="000000"/>
              <w:sz w:val="24"/>
              <w:szCs w:val="24"/>
            </w:rPr>
            <w:t xml:space="preserve">1) Threshold value (d) ≤ 0.20 </w:t>
          </w:r>
        </w:sdtContent>
      </w:sdt>
    </w:p>
    <w:p w14:paraId="10B199A5" w14:textId="77777777" w:rsidR="00893361" w:rsidRPr="00B22B7A"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B22B7A">
        <w:rPr>
          <w:rFonts w:ascii="Times New Roman" w:eastAsia="Times New Roman" w:hAnsi="Times New Roman" w:cs="Times New Roman"/>
          <w:color w:val="000000"/>
          <w:sz w:val="24"/>
          <w:szCs w:val="24"/>
        </w:rPr>
        <w:t>2) Percentage of expert agreement &gt; 75%</w:t>
      </w:r>
    </w:p>
    <w:p w14:paraId="086005DE" w14:textId="77777777" w:rsidR="00893361" w:rsidRPr="00B22B7A" w:rsidRDefault="00A93B2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sdt>
        <w:sdtPr>
          <w:rPr>
            <w:rFonts w:ascii="Times New Roman" w:hAnsi="Times New Roman" w:cs="Times New Roman"/>
          </w:rPr>
          <w:tag w:val="goog_rdk_3"/>
          <w:id w:val="-1964487855"/>
        </w:sdtPr>
        <w:sdtEndPr/>
        <w:sdtContent>
          <w:r w:rsidR="00252E94" w:rsidRPr="00B22B7A">
            <w:rPr>
              <w:rFonts w:ascii="Times New Roman" w:eastAsia="Caudex" w:hAnsi="Times New Roman" w:cs="Times New Roman"/>
              <w:color w:val="000000"/>
              <w:sz w:val="24"/>
              <w:szCs w:val="24"/>
            </w:rPr>
            <w:t xml:space="preserve">3) </w:t>
          </w:r>
          <w:proofErr w:type="spellStart"/>
          <w:r w:rsidR="00252E94" w:rsidRPr="00B22B7A">
            <w:rPr>
              <w:rFonts w:ascii="Times New Roman" w:eastAsia="Caudex" w:hAnsi="Times New Roman" w:cs="Times New Roman"/>
              <w:color w:val="000000"/>
              <w:sz w:val="24"/>
              <w:szCs w:val="24"/>
            </w:rPr>
            <w:t>Defuzzification</w:t>
          </w:r>
          <w:proofErr w:type="spellEnd"/>
          <w:r w:rsidR="00252E94" w:rsidRPr="00B22B7A">
            <w:rPr>
              <w:rFonts w:ascii="Times New Roman" w:eastAsia="Caudex" w:hAnsi="Times New Roman" w:cs="Times New Roman"/>
              <w:color w:val="000000"/>
              <w:sz w:val="24"/>
              <w:szCs w:val="24"/>
            </w:rPr>
            <w:t xml:space="preserve"> value (Aₘₐₓ score) ≥ 0.50</w:t>
          </w:r>
        </w:sdtContent>
      </w:sdt>
    </w:p>
    <w:p w14:paraId="66CDCE98"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7B78DC"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BD84905" w14:textId="77777777" w:rsidR="00893361" w:rsidRDefault="00252E9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53760807" w14:textId="77777777" w:rsidR="00893361" w:rsidRDefault="0089336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21ED742" w14:textId="77777777" w:rsidR="00893361" w:rsidRDefault="00252E94">
      <w:pPr>
        <w:shd w:val="clear" w:color="auto" w:fill="FFFFFF"/>
        <w:tabs>
          <w:tab w:val="left" w:pos="37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previously stated, the experts identified five critical indicators for the Islamic Affairs Management Index: ‘Professional Skills,’ ‘Trustworthiness and Integrity,’ ‘Collection and Acquisition of </w:t>
      </w:r>
      <w:proofErr w:type="spellStart"/>
      <w:r>
        <w:rPr>
          <w:rFonts w:ascii="Times New Roman" w:eastAsia="Times New Roman" w:hAnsi="Times New Roman" w:cs="Times New Roman"/>
          <w:sz w:val="24"/>
          <w:szCs w:val="24"/>
        </w:rPr>
        <w:t>Baitulmal</w:t>
      </w:r>
      <w:proofErr w:type="spellEnd"/>
      <w:r>
        <w:rPr>
          <w:rFonts w:ascii="Times New Roman" w:eastAsia="Times New Roman" w:hAnsi="Times New Roman" w:cs="Times New Roman"/>
          <w:sz w:val="24"/>
          <w:szCs w:val="24"/>
        </w:rPr>
        <w:t xml:space="preserve"> Revenue,’ ‘Revenue Distribution,’ and ‘Children Management.’ Among these, ‘Professional Skills’ were found to be the most critical indicator, which is consistent with Tan and </w:t>
      </w:r>
      <w:proofErr w:type="spellStart"/>
      <w:r>
        <w:rPr>
          <w:rFonts w:ascii="Times New Roman" w:eastAsia="Times New Roman" w:hAnsi="Times New Roman" w:cs="Times New Roman"/>
          <w:sz w:val="24"/>
          <w:szCs w:val="24"/>
        </w:rPr>
        <w:t>Laswad</w:t>
      </w:r>
      <w:proofErr w:type="spellEnd"/>
      <w:r>
        <w:rPr>
          <w:rFonts w:ascii="Times New Roman" w:eastAsia="Times New Roman" w:hAnsi="Times New Roman" w:cs="Times New Roman"/>
          <w:sz w:val="24"/>
          <w:szCs w:val="24"/>
        </w:rPr>
        <w:t xml:space="preserve"> (2018) assertion that employees must possess intellectual, interpersonal, personal, and organizational skills to perform their tasks effectively. </w:t>
      </w:r>
      <w:proofErr w:type="spellStart"/>
      <w:r>
        <w:rPr>
          <w:rFonts w:ascii="Times New Roman" w:eastAsia="Times New Roman" w:hAnsi="Times New Roman" w:cs="Times New Roman"/>
          <w:sz w:val="24"/>
          <w:szCs w:val="24"/>
        </w:rPr>
        <w:t>Basir</w:t>
      </w:r>
      <w:proofErr w:type="spellEnd"/>
      <w:r>
        <w:rPr>
          <w:rFonts w:ascii="Times New Roman" w:eastAsia="Times New Roman" w:hAnsi="Times New Roman" w:cs="Times New Roman"/>
          <w:sz w:val="24"/>
          <w:szCs w:val="24"/>
        </w:rPr>
        <w:t xml:space="preserve"> and Mohamed (2019), in their study conducted at the Department of Islamic Development Malaysia (JAKIM), highlighted the importance of human capital development programs, such as training, education and knowledge, human resource management, quality, and work experiences, to enhance professional skills. These initiatives ensure that employees remain competent and adaptable to organizational settings. Additionally, the experts agreed that ‘Trustworthiness and Integrity’ were vital indicators, reflecting moral values needed in the workplace and society. Trust is fundamental for establishing social exchange relationships in the workplace Chen and </w:t>
      </w:r>
      <w:proofErr w:type="spellStart"/>
      <w:r>
        <w:rPr>
          <w:rFonts w:ascii="Times New Roman" w:eastAsia="Times New Roman" w:hAnsi="Times New Roman" w:cs="Times New Roman"/>
          <w:sz w:val="24"/>
          <w:szCs w:val="24"/>
        </w:rPr>
        <w:t>Sriphon</w:t>
      </w:r>
      <w:proofErr w:type="spellEnd"/>
      <w:r>
        <w:rPr>
          <w:rFonts w:ascii="Times New Roman" w:eastAsia="Times New Roman" w:hAnsi="Times New Roman" w:cs="Times New Roman"/>
          <w:sz w:val="24"/>
          <w:szCs w:val="24"/>
        </w:rPr>
        <w:t xml:space="preserve">, 2022), which can enhance the credibility of Islamic institutions. </w:t>
      </w:r>
    </w:p>
    <w:p w14:paraId="2434F7EA" w14:textId="1A68A14A" w:rsidR="00893361" w:rsidRDefault="00252E94" w:rsidP="00B22B7A">
      <w:pPr>
        <w:shd w:val="clear" w:color="auto" w:fill="FFFFFF"/>
        <w:tabs>
          <w:tab w:val="left" w:pos="3720"/>
        </w:tabs>
        <w:spacing w:after="0" w:line="240" w:lineRule="auto"/>
        <w:ind w:left="-2" w:firstLineChars="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Baitulmal</w:t>
      </w:r>
      <w:proofErr w:type="spellEnd"/>
      <w:r>
        <w:rPr>
          <w:rFonts w:ascii="Times New Roman" w:eastAsia="Times New Roman" w:hAnsi="Times New Roman" w:cs="Times New Roman"/>
          <w:sz w:val="24"/>
          <w:szCs w:val="24"/>
        </w:rPr>
        <w:t xml:space="preserve"> management, particularly ‘Collection and Acquisition of </w:t>
      </w:r>
      <w:proofErr w:type="spellStart"/>
      <w:r>
        <w:rPr>
          <w:rFonts w:ascii="Times New Roman" w:eastAsia="Times New Roman" w:hAnsi="Times New Roman" w:cs="Times New Roman"/>
          <w:sz w:val="24"/>
          <w:szCs w:val="24"/>
        </w:rPr>
        <w:t>Baitulmal</w:t>
      </w:r>
      <w:proofErr w:type="spellEnd"/>
      <w:r>
        <w:rPr>
          <w:rFonts w:ascii="Times New Roman" w:eastAsia="Times New Roman" w:hAnsi="Times New Roman" w:cs="Times New Roman"/>
          <w:sz w:val="24"/>
          <w:szCs w:val="24"/>
        </w:rPr>
        <w:t xml:space="preserve"> Revenue’ and ‘Revenue Distribution’, emerged as another two critical indicators in evaluating Islamic affairs management. The collection of zakat and </w:t>
      </w:r>
      <w:proofErr w:type="spellStart"/>
      <w:r>
        <w:rPr>
          <w:rFonts w:ascii="Times New Roman" w:eastAsia="Times New Roman" w:hAnsi="Times New Roman" w:cs="Times New Roman"/>
          <w:sz w:val="24"/>
          <w:szCs w:val="24"/>
        </w:rPr>
        <w:t>waqf</w:t>
      </w:r>
      <w:proofErr w:type="spellEnd"/>
      <w:r>
        <w:rPr>
          <w:rFonts w:ascii="Times New Roman" w:eastAsia="Times New Roman" w:hAnsi="Times New Roman" w:cs="Times New Roman"/>
          <w:sz w:val="24"/>
          <w:szCs w:val="24"/>
        </w:rPr>
        <w:t xml:space="preserve"> is vital for supporting vulnerable groups in society, including the elderly, the poor, and orphans, through initiatives such as education, training, and business activities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xml:space="preserve">, 2020). However, issues in the distribution of these funds remain unresolved. </w:t>
      </w:r>
      <w:proofErr w:type="spellStart"/>
      <w:r>
        <w:rPr>
          <w:rFonts w:ascii="Times New Roman" w:eastAsia="Times New Roman" w:hAnsi="Times New Roman" w:cs="Times New Roman"/>
          <w:sz w:val="24"/>
          <w:szCs w:val="24"/>
        </w:rPr>
        <w:t>Thaker</w:t>
      </w:r>
      <w:proofErr w:type="spellEnd"/>
      <w:r>
        <w:rPr>
          <w:rFonts w:ascii="Times New Roman" w:eastAsia="Times New Roman" w:hAnsi="Times New Roman" w:cs="Times New Roman"/>
          <w:sz w:val="24"/>
          <w:szCs w:val="24"/>
        </w:rPr>
        <w:t xml:space="preserve"> et al. (2019) found that despite the success in zakat collection, the performance of Islamic institutions in zakat disbursement remains subpar, with an average of 26% of zakat revenue left undistributed each year. Further research highlighted gaps in zakat assistance, particularly in areas such as medical insurance, education, and religious savings (</w:t>
      </w:r>
      <w:proofErr w:type="spellStart"/>
      <w:r>
        <w:rPr>
          <w:rFonts w:ascii="Times New Roman" w:eastAsia="Times New Roman" w:hAnsi="Times New Roman" w:cs="Times New Roman"/>
          <w:sz w:val="24"/>
          <w:szCs w:val="24"/>
        </w:rPr>
        <w:t>Zulkifli</w:t>
      </w:r>
      <w:proofErr w:type="spellEnd"/>
      <w:r>
        <w:rPr>
          <w:rFonts w:ascii="Times New Roman" w:eastAsia="Times New Roman" w:hAnsi="Times New Roman" w:cs="Times New Roman"/>
          <w:sz w:val="24"/>
          <w:szCs w:val="24"/>
        </w:rPr>
        <w:t xml:space="preserve"> et al., 2021). Addressing these issues and ensuring the proper allocation of resources is essential to maintaining the trust of the Muslim community and preventing leakage of funds.</w:t>
      </w:r>
    </w:p>
    <w:p w14:paraId="1F178614" w14:textId="77777777" w:rsidR="00893361" w:rsidRDefault="00252E94" w:rsidP="00B22B7A">
      <w:pPr>
        <w:shd w:val="clear" w:color="auto" w:fill="FFFFFF"/>
        <w:tabs>
          <w:tab w:val="left" w:pos="37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management of children also emerged as a key indicator in measuring the performance of Islamic affairs management, highlighting the role of families in promoting the positive development of children. The family is generally considered an important social institution in all societies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Endut</w:t>
      </w:r>
      <w:proofErr w:type="spellEnd"/>
      <w:r>
        <w:rPr>
          <w:rFonts w:ascii="Times New Roman" w:eastAsia="Times New Roman" w:hAnsi="Times New Roman" w:cs="Times New Roman"/>
          <w:sz w:val="24"/>
          <w:szCs w:val="24"/>
        </w:rPr>
        <w:t xml:space="preserve"> &amp; Abdullah, 2024). Previous studies emphasized that early experiences and family environment play a crucial role in children's development, highlighting the importance of parental involvement. Encouraging parents’ active participation in children’s learning, as well as in school and community activities such as parent-teacher conferences and workshops (</w:t>
      </w:r>
      <w:proofErr w:type="spellStart"/>
      <w:r>
        <w:rPr>
          <w:rFonts w:ascii="Times New Roman" w:eastAsia="Times New Roman" w:hAnsi="Times New Roman" w:cs="Times New Roman"/>
          <w:sz w:val="24"/>
          <w:szCs w:val="24"/>
        </w:rPr>
        <w:t>Đurišić</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Bunijevac</w:t>
      </w:r>
      <w:proofErr w:type="spellEnd"/>
      <w:r>
        <w:rPr>
          <w:rFonts w:ascii="Times New Roman" w:eastAsia="Times New Roman" w:hAnsi="Times New Roman" w:cs="Times New Roman"/>
          <w:sz w:val="24"/>
          <w:szCs w:val="24"/>
        </w:rPr>
        <w:t xml:space="preserve">, 2017), has a lasting impact on the child’s emotional, physical, and mental well-being. </w:t>
      </w:r>
    </w:p>
    <w:p w14:paraId="647F7E56" w14:textId="77777777" w:rsidR="00893361" w:rsidRDefault="00252E94" w:rsidP="00B22B7A">
      <w:pPr>
        <w:shd w:val="clear" w:color="auto" w:fill="FFFFFF"/>
        <w:tabs>
          <w:tab w:val="left" w:pos="3720"/>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Unexpectedly, some remarkable indicators, such as ‘Congregation attendance’, ‘Cleanliness and Cheerfulness’, and ‘Accredited Preachers’, were considered essential for understanding the current state of Islamic affairs management. However, based on the experts’ consensus, these three indicators were not included in the index framework. Concerning the congregation attendance, while the presence of Muslims at the mosque can serve as a benchmark for assessing the strength of their religious beliefs, it was excluded from the framework. This exclusion was due to its limited relevance for performance measurement and its redundancy with other indicators within Mosque Management and Enlivenment. The number of worshipers can be influenced by various factors, including the location of the mosque, the facilities provided, special and seasonal events, particularly during important dates such as Ramadan and festive periods such as </w:t>
      </w:r>
      <w:proofErr w:type="spellStart"/>
      <w:r>
        <w:rPr>
          <w:rFonts w:ascii="Times New Roman" w:eastAsia="Times New Roman" w:hAnsi="Times New Roman" w:cs="Times New Roman"/>
          <w:sz w:val="24"/>
          <w:szCs w:val="24"/>
        </w:rPr>
        <w:t>Eid</w:t>
      </w:r>
      <w:proofErr w:type="spellEnd"/>
      <w:r>
        <w:rPr>
          <w:rFonts w:ascii="Times New Roman" w:eastAsia="Times New Roman" w:hAnsi="Times New Roman" w:cs="Times New Roman"/>
          <w:sz w:val="24"/>
          <w:szCs w:val="24"/>
        </w:rPr>
        <w:t xml:space="preserve"> (Mohamed et al., 2023). However, focusing solely on attendance could overlook other, more vital indicators for assessing the enlivenment of the mosque and the overall performance of Islamic affairs management. </w:t>
      </w:r>
    </w:p>
    <w:p w14:paraId="0A1E979D" w14:textId="77777777" w:rsidR="00893361" w:rsidRDefault="00893361">
      <w:pPr>
        <w:shd w:val="clear" w:color="auto" w:fill="FFFFFF"/>
        <w:tabs>
          <w:tab w:val="left" w:pos="3720"/>
        </w:tabs>
        <w:spacing w:after="0" w:line="240" w:lineRule="auto"/>
        <w:ind w:left="0" w:hanging="2"/>
        <w:jc w:val="both"/>
        <w:rPr>
          <w:rFonts w:ascii="Times New Roman" w:eastAsia="Times New Roman" w:hAnsi="Times New Roman" w:cs="Times New Roman"/>
          <w:sz w:val="24"/>
          <w:szCs w:val="24"/>
        </w:rPr>
      </w:pPr>
    </w:p>
    <w:p w14:paraId="52AB2ADD" w14:textId="77777777" w:rsidR="00893361" w:rsidRDefault="00893361">
      <w:pPr>
        <w:spacing w:after="0" w:line="240" w:lineRule="auto"/>
        <w:ind w:left="0" w:hanging="2"/>
        <w:rPr>
          <w:rFonts w:ascii="Times New Roman" w:eastAsia="Times New Roman" w:hAnsi="Times New Roman" w:cs="Times New Roman"/>
          <w:sz w:val="24"/>
          <w:szCs w:val="24"/>
        </w:rPr>
      </w:pPr>
    </w:p>
    <w:p w14:paraId="0B984F68" w14:textId="77777777" w:rsidR="00893361" w:rsidRDefault="00252E9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Pr>
          <w:rFonts w:ascii="Times New Roman" w:eastAsia="Times New Roman" w:hAnsi="Times New Roman" w:cs="Times New Roman"/>
          <w:sz w:val="24"/>
          <w:szCs w:val="24"/>
        </w:rPr>
        <w:t xml:space="preserve"> </w:t>
      </w:r>
    </w:p>
    <w:p w14:paraId="6D2B0A91" w14:textId="77777777" w:rsidR="00893361" w:rsidRDefault="00893361">
      <w:pPr>
        <w:spacing w:after="0" w:line="240" w:lineRule="auto"/>
        <w:ind w:left="0" w:hanging="2"/>
        <w:rPr>
          <w:rFonts w:ascii="Times New Roman" w:eastAsia="Times New Roman" w:hAnsi="Times New Roman" w:cs="Times New Roman"/>
          <w:sz w:val="24"/>
          <w:szCs w:val="24"/>
        </w:rPr>
      </w:pPr>
    </w:p>
    <w:p w14:paraId="274148F3"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sought to identify the most significant indicators for the Islamic Affairs Management Index based on the expert opinions. The findings revealed that out of the 40 proposed indicators, three indicators, including ‘Congregation Attendance’, ‘Cleanliness and Cheerfulness’, and ‘Accredited Preachers’, were excluded from the index framework because they did not meet the 75% consensus among the experts. Conversely, indicators such as ‘Professional Skills’, ‘Trustworthiness and Integrity’, ‘Collection and Acquisition of </w:t>
      </w:r>
      <w:proofErr w:type="spellStart"/>
      <w:r>
        <w:rPr>
          <w:rFonts w:ascii="Times New Roman" w:eastAsia="Times New Roman" w:hAnsi="Times New Roman" w:cs="Times New Roman"/>
          <w:sz w:val="24"/>
          <w:szCs w:val="24"/>
        </w:rPr>
        <w:t>Baitulmal</w:t>
      </w:r>
      <w:proofErr w:type="spellEnd"/>
      <w:r>
        <w:rPr>
          <w:rFonts w:ascii="Times New Roman" w:eastAsia="Times New Roman" w:hAnsi="Times New Roman" w:cs="Times New Roman"/>
          <w:sz w:val="24"/>
          <w:szCs w:val="24"/>
        </w:rPr>
        <w:t xml:space="preserve"> Revenue’, ‘Revenue Distribution’, and ‘Children Management’ had emerged as the most important. These indicators are crucial for assessing the performance of Islamic affairs management, as their inclusion in the index allows for regular monitoring of the efficiency and transparency of management practices.</w:t>
      </w:r>
    </w:p>
    <w:p w14:paraId="0E9857E4" w14:textId="77777777" w:rsidR="00893361" w:rsidRDefault="00252E9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implications of this study are substantial, as relevant stakeholders could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the proposed index to make a more structured assessment of Islamic affairs management. This would ultimately contribute to greater transparency and accountability in governance, as well as more effective policy formulation and strategic planning. For future research, the index should be empirically tested through a public poll to evaluate its effectiveness and adaptability within the Malaysian context. In addition, further research should explore other methods, such as the Analytic Hierarchy Process (AHP), which has proven to be an effective approach for constructing indices and addressing complex problems.</w:t>
      </w:r>
    </w:p>
    <w:p w14:paraId="05706F7E" w14:textId="77777777" w:rsidR="00893361" w:rsidRDefault="00893361">
      <w:pPr>
        <w:spacing w:after="0" w:line="240" w:lineRule="auto"/>
        <w:ind w:left="0" w:hanging="2"/>
        <w:rPr>
          <w:rFonts w:ascii="Times New Roman" w:eastAsia="Times New Roman" w:hAnsi="Times New Roman" w:cs="Times New Roman"/>
          <w:sz w:val="24"/>
          <w:szCs w:val="24"/>
        </w:rPr>
      </w:pPr>
    </w:p>
    <w:p w14:paraId="4571E7F3" w14:textId="77777777" w:rsidR="00893361" w:rsidRDefault="00893361">
      <w:pPr>
        <w:spacing w:after="0" w:line="240" w:lineRule="auto"/>
        <w:ind w:left="0" w:hanging="2"/>
        <w:rPr>
          <w:rFonts w:ascii="Times New Roman" w:eastAsia="Times New Roman" w:hAnsi="Times New Roman" w:cs="Times New Roman"/>
          <w:sz w:val="24"/>
          <w:szCs w:val="24"/>
        </w:rPr>
      </w:pPr>
    </w:p>
    <w:p w14:paraId="3DDC3171" w14:textId="77777777" w:rsidR="00893361" w:rsidRDefault="00252E94">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43617F90" w14:textId="77777777" w:rsidR="00893361" w:rsidRDefault="00893361">
      <w:pPr>
        <w:spacing w:after="0" w:line="240" w:lineRule="auto"/>
        <w:ind w:left="0" w:hanging="2"/>
        <w:rPr>
          <w:rFonts w:ascii="Times New Roman" w:eastAsia="Times New Roman" w:hAnsi="Times New Roman" w:cs="Times New Roman"/>
          <w:sz w:val="24"/>
          <w:szCs w:val="24"/>
        </w:rPr>
      </w:pPr>
    </w:p>
    <w:p w14:paraId="0E67840B" w14:textId="77777777"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bookmarkStart w:id="1" w:name="_heading=h.7jrr1oreod04" w:colFirst="0" w:colLast="0"/>
      <w:bookmarkEnd w:id="1"/>
      <w:r>
        <w:rPr>
          <w:rFonts w:ascii="Times New Roman" w:eastAsia="Times New Roman" w:hAnsi="Times New Roman" w:cs="Times New Roman"/>
          <w:color w:val="000000"/>
          <w:sz w:val="24"/>
          <w:szCs w:val="24"/>
        </w:rPr>
        <w:t xml:space="preserve">Abdullah, M. R. T. L., Isa, M. P. M., </w:t>
      </w:r>
      <w:proofErr w:type="spellStart"/>
      <w:r>
        <w:rPr>
          <w:rFonts w:ascii="Times New Roman" w:eastAsia="Times New Roman" w:hAnsi="Times New Roman" w:cs="Times New Roman"/>
          <w:color w:val="000000"/>
          <w:sz w:val="24"/>
          <w:szCs w:val="24"/>
        </w:rPr>
        <w:t>Sabian</w:t>
      </w:r>
      <w:proofErr w:type="spellEnd"/>
      <w:r>
        <w:rPr>
          <w:rFonts w:ascii="Times New Roman" w:eastAsia="Times New Roman" w:hAnsi="Times New Roman" w:cs="Times New Roman"/>
          <w:color w:val="000000"/>
          <w:sz w:val="24"/>
          <w:szCs w:val="24"/>
        </w:rPr>
        <w:t xml:space="preserve">, N. A. A., &amp; </w:t>
      </w:r>
      <w:proofErr w:type="spellStart"/>
      <w:r>
        <w:rPr>
          <w:rFonts w:ascii="Times New Roman" w:eastAsia="Times New Roman" w:hAnsi="Times New Roman" w:cs="Times New Roman"/>
          <w:color w:val="000000"/>
          <w:sz w:val="24"/>
          <w:szCs w:val="24"/>
        </w:rPr>
        <w:t>Siraj</w:t>
      </w:r>
      <w:proofErr w:type="spellEnd"/>
      <w:r>
        <w:rPr>
          <w:rFonts w:ascii="Times New Roman" w:eastAsia="Times New Roman" w:hAnsi="Times New Roman" w:cs="Times New Roman"/>
          <w:color w:val="000000"/>
          <w:sz w:val="24"/>
          <w:szCs w:val="24"/>
        </w:rPr>
        <w:t xml:space="preserve">, S. (2021). Peace education </w:t>
      </w:r>
      <w:r>
        <w:rPr>
          <w:rFonts w:ascii="Times New Roman" w:eastAsia="Times New Roman" w:hAnsi="Times New Roman" w:cs="Times New Roman"/>
          <w:color w:val="000000"/>
          <w:sz w:val="24"/>
          <w:szCs w:val="24"/>
        </w:rPr>
        <w:tab/>
        <w:t xml:space="preserve">curriculum objectives for Malaysian higher tertiary education: A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approach. </w:t>
      </w:r>
      <w:r>
        <w:rPr>
          <w:rFonts w:ascii="Times New Roman" w:eastAsia="Times New Roman" w:hAnsi="Times New Roman" w:cs="Times New Roman"/>
          <w:i/>
          <w:color w:val="000000"/>
          <w:sz w:val="24"/>
          <w:szCs w:val="24"/>
        </w:rPr>
        <w:t xml:space="preserve">SHS </w:t>
      </w:r>
      <w:r>
        <w:rPr>
          <w:rFonts w:ascii="Times New Roman" w:eastAsia="Times New Roman" w:hAnsi="Times New Roman" w:cs="Times New Roman"/>
          <w:i/>
          <w:color w:val="000000"/>
          <w:sz w:val="24"/>
          <w:szCs w:val="24"/>
        </w:rPr>
        <w:tab/>
        <w:t>Web of Conferences, 124</w:t>
      </w:r>
      <w:r>
        <w:rPr>
          <w:rFonts w:ascii="Times New Roman" w:eastAsia="Times New Roman" w:hAnsi="Times New Roman" w:cs="Times New Roman"/>
          <w:color w:val="000000"/>
          <w:sz w:val="24"/>
          <w:szCs w:val="24"/>
        </w:rPr>
        <w:t xml:space="preserve">(3), 06001. </w:t>
      </w:r>
    </w:p>
    <w:p w14:paraId="34414D79" w14:textId="0B8FA8DB"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Abdullah, S. A., Saud, M. S., </w:t>
      </w:r>
      <w:proofErr w:type="spellStart"/>
      <w:r>
        <w:rPr>
          <w:rFonts w:ascii="Times New Roman" w:eastAsia="Times New Roman" w:hAnsi="Times New Roman" w:cs="Times New Roman"/>
          <w:color w:val="000000"/>
          <w:sz w:val="24"/>
          <w:szCs w:val="24"/>
        </w:rPr>
        <w:t>Hisham</w:t>
      </w:r>
      <w:proofErr w:type="spellEnd"/>
      <w:r>
        <w:rPr>
          <w:rFonts w:ascii="Times New Roman" w:eastAsia="Times New Roman" w:hAnsi="Times New Roman" w:cs="Times New Roman"/>
          <w:color w:val="000000"/>
          <w:sz w:val="24"/>
          <w:szCs w:val="24"/>
        </w:rPr>
        <w:t xml:space="preserve">, M. H. M., </w:t>
      </w:r>
      <w:proofErr w:type="spellStart"/>
      <w:r>
        <w:rPr>
          <w:rFonts w:ascii="Times New Roman" w:eastAsia="Times New Roman" w:hAnsi="Times New Roman" w:cs="Times New Roman"/>
          <w:color w:val="000000"/>
          <w:sz w:val="24"/>
          <w:szCs w:val="24"/>
        </w:rPr>
        <w:t>Abd</w:t>
      </w:r>
      <w:proofErr w:type="spellEnd"/>
      <w:r>
        <w:rPr>
          <w:rFonts w:ascii="Times New Roman" w:eastAsia="Times New Roman" w:hAnsi="Times New Roman" w:cs="Times New Roman"/>
          <w:color w:val="000000"/>
          <w:sz w:val="24"/>
          <w:szCs w:val="24"/>
        </w:rPr>
        <w:t xml:space="preserve"> Wahid, N. H., </w:t>
      </w:r>
      <w:proofErr w:type="spellStart"/>
      <w:r>
        <w:rPr>
          <w:rFonts w:ascii="Times New Roman" w:eastAsia="Times New Roman" w:hAnsi="Times New Roman" w:cs="Times New Roman"/>
          <w:color w:val="000000"/>
          <w:sz w:val="24"/>
          <w:szCs w:val="24"/>
        </w:rPr>
        <w:t>Arsat</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Suhairom</w:t>
      </w:r>
      <w:proofErr w:type="spellEnd"/>
      <w:r>
        <w:rPr>
          <w:rFonts w:ascii="Times New Roman" w:eastAsia="Times New Roman" w:hAnsi="Times New Roman" w:cs="Times New Roman"/>
          <w:color w:val="000000"/>
          <w:sz w:val="24"/>
          <w:szCs w:val="24"/>
        </w:rPr>
        <w:t xml:space="preserve">, N., &amp;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Aripin</w:t>
      </w:r>
      <w:proofErr w:type="spellEnd"/>
      <w:r>
        <w:rPr>
          <w:rFonts w:ascii="Times New Roman" w:eastAsia="Times New Roman" w:hAnsi="Times New Roman" w:cs="Times New Roman"/>
          <w:color w:val="000000"/>
          <w:sz w:val="24"/>
          <w:szCs w:val="24"/>
        </w:rPr>
        <w:t xml:space="preserve">, M. A. (2021). Determining elements in mobile learning </w:t>
      </w:r>
      <w:proofErr w:type="spellStart"/>
      <w:r>
        <w:rPr>
          <w:rFonts w:ascii="Times New Roman" w:eastAsia="Times New Roman" w:hAnsi="Times New Roman" w:cs="Times New Roman"/>
          <w:color w:val="000000"/>
          <w:sz w:val="24"/>
          <w:szCs w:val="24"/>
        </w:rPr>
        <w:t>implemention</w:t>
      </w:r>
      <w:proofErr w:type="spellEnd"/>
      <w:r>
        <w:rPr>
          <w:rFonts w:ascii="Times New Roman" w:eastAsia="Times New Roman" w:hAnsi="Times New Roman" w:cs="Times New Roman"/>
          <w:color w:val="000000"/>
          <w:sz w:val="24"/>
          <w:szCs w:val="24"/>
        </w:rPr>
        <w:t xml:space="preserve"> among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instructors in vocational colleges: A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method. </w:t>
      </w:r>
      <w:r>
        <w:rPr>
          <w:rFonts w:ascii="Times New Roman" w:eastAsia="Times New Roman" w:hAnsi="Times New Roman" w:cs="Times New Roman"/>
          <w:i/>
          <w:color w:val="000000"/>
          <w:sz w:val="24"/>
          <w:szCs w:val="24"/>
        </w:rPr>
        <w:t>IEEE Access, 9</w:t>
      </w:r>
      <w:r>
        <w:rPr>
          <w:rFonts w:ascii="Times New Roman" w:eastAsia="Times New Roman" w:hAnsi="Times New Roman" w:cs="Times New Roman"/>
          <w:color w:val="000000"/>
          <w:sz w:val="24"/>
          <w:szCs w:val="24"/>
        </w:rPr>
        <w:t xml:space="preserve">, 150839-150845. </w:t>
      </w:r>
    </w:p>
    <w:p w14:paraId="4845ECA1" w14:textId="77777777"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Adler, M., &amp; </w:t>
      </w:r>
      <w:proofErr w:type="spellStart"/>
      <w:r>
        <w:rPr>
          <w:rFonts w:ascii="Times New Roman" w:eastAsia="Times New Roman" w:hAnsi="Times New Roman" w:cs="Times New Roman"/>
          <w:color w:val="000000"/>
          <w:sz w:val="24"/>
          <w:szCs w:val="24"/>
        </w:rPr>
        <w:t>Ziglio</w:t>
      </w:r>
      <w:proofErr w:type="spellEnd"/>
      <w:r>
        <w:rPr>
          <w:rFonts w:ascii="Times New Roman" w:eastAsia="Times New Roman" w:hAnsi="Times New Roman" w:cs="Times New Roman"/>
          <w:color w:val="000000"/>
          <w:sz w:val="24"/>
          <w:szCs w:val="24"/>
        </w:rPr>
        <w:t xml:space="preserve">, E. (1996). </w:t>
      </w:r>
      <w:r>
        <w:rPr>
          <w:rFonts w:ascii="Times New Roman" w:eastAsia="Times New Roman" w:hAnsi="Times New Roman" w:cs="Times New Roman"/>
          <w:i/>
          <w:color w:val="000000"/>
          <w:sz w:val="24"/>
          <w:szCs w:val="24"/>
        </w:rPr>
        <w:t>Gazing into the Oracle</w:t>
      </w:r>
      <w:r>
        <w:rPr>
          <w:rFonts w:ascii="Times New Roman" w:eastAsia="Times New Roman" w:hAnsi="Times New Roman" w:cs="Times New Roman"/>
          <w:color w:val="000000"/>
          <w:sz w:val="24"/>
          <w:szCs w:val="24"/>
        </w:rPr>
        <w:t xml:space="preserve">. PA Kingsley </w:t>
      </w:r>
    </w:p>
    <w:p w14:paraId="3D93B5E1" w14:textId="09DC7042"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Ahmad </w:t>
      </w:r>
      <w:proofErr w:type="spellStart"/>
      <w:r>
        <w:rPr>
          <w:rFonts w:ascii="Times New Roman" w:eastAsia="Times New Roman" w:hAnsi="Times New Roman" w:cs="Times New Roman"/>
          <w:color w:val="000000"/>
          <w:sz w:val="24"/>
          <w:szCs w:val="24"/>
        </w:rPr>
        <w:t>Zamzuri</w:t>
      </w:r>
      <w:proofErr w:type="spellEnd"/>
      <w:r>
        <w:rPr>
          <w:rFonts w:ascii="Times New Roman" w:eastAsia="Times New Roman" w:hAnsi="Times New Roman" w:cs="Times New Roman"/>
          <w:color w:val="000000"/>
          <w:sz w:val="24"/>
          <w:szCs w:val="24"/>
        </w:rPr>
        <w:t xml:space="preserve">, M. A. I., </w:t>
      </w:r>
      <w:proofErr w:type="spellStart"/>
      <w:r>
        <w:rPr>
          <w:rFonts w:ascii="Times New Roman" w:eastAsia="Times New Roman" w:hAnsi="Times New Roman" w:cs="Times New Roman"/>
          <w:color w:val="000000"/>
          <w:sz w:val="24"/>
          <w:szCs w:val="24"/>
        </w:rPr>
        <w:t>Naserrudin</w:t>
      </w:r>
      <w:proofErr w:type="spellEnd"/>
      <w:r>
        <w:rPr>
          <w:rFonts w:ascii="Times New Roman" w:eastAsia="Times New Roman" w:hAnsi="Times New Roman" w:cs="Times New Roman"/>
          <w:color w:val="000000"/>
          <w:sz w:val="24"/>
          <w:szCs w:val="24"/>
        </w:rPr>
        <w:t xml:space="preserve">, N. A.,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Ali, N. K., </w:t>
      </w:r>
      <w:proofErr w:type="spellStart"/>
      <w:r>
        <w:rPr>
          <w:rFonts w:ascii="Times New Roman" w:eastAsia="Times New Roman" w:hAnsi="Times New Roman" w:cs="Times New Roman"/>
          <w:color w:val="000000"/>
          <w:sz w:val="24"/>
          <w:szCs w:val="24"/>
        </w:rPr>
        <w:t>Abd</w:t>
      </w:r>
      <w:proofErr w:type="spellEnd"/>
      <w:r>
        <w:rPr>
          <w:rFonts w:ascii="Times New Roman" w:eastAsia="Times New Roman" w:hAnsi="Times New Roman" w:cs="Times New Roman"/>
          <w:color w:val="000000"/>
          <w:sz w:val="24"/>
          <w:szCs w:val="24"/>
        </w:rPr>
        <w:t xml:space="preserve"> Aziz, S. </w:t>
      </w:r>
      <w:proofErr w:type="spellStart"/>
      <w:r>
        <w:rPr>
          <w:rFonts w:ascii="Times New Roman" w:eastAsia="Times New Roman" w:hAnsi="Times New Roman" w:cs="Times New Roman"/>
          <w:color w:val="000000"/>
          <w:sz w:val="24"/>
          <w:szCs w:val="24"/>
        </w:rPr>
        <w:t>Abd</w:t>
      </w:r>
      <w:proofErr w:type="spellEnd"/>
      <w:r>
        <w:rPr>
          <w:rFonts w:ascii="Times New Roman" w:eastAsia="Times New Roman" w:hAnsi="Times New Roman" w:cs="Times New Roman"/>
          <w:color w:val="000000"/>
          <w:sz w:val="24"/>
          <w:szCs w:val="24"/>
        </w:rPr>
        <w:t xml:space="preserve">. Rashid, M. F.,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Dapari</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Ramdzan</w:t>
      </w:r>
      <w:proofErr w:type="spellEnd"/>
      <w:r>
        <w:rPr>
          <w:rFonts w:ascii="Times New Roman" w:eastAsia="Times New Roman" w:hAnsi="Times New Roman" w:cs="Times New Roman"/>
          <w:color w:val="000000"/>
          <w:sz w:val="24"/>
          <w:szCs w:val="24"/>
        </w:rPr>
        <w:t xml:space="preserve">, A. R., </w:t>
      </w:r>
      <w:proofErr w:type="spellStart"/>
      <w:r>
        <w:rPr>
          <w:rFonts w:ascii="Times New Roman" w:eastAsia="Times New Roman" w:hAnsi="Times New Roman" w:cs="Times New Roman"/>
          <w:color w:val="000000"/>
          <w:sz w:val="24"/>
          <w:szCs w:val="24"/>
        </w:rPr>
        <w:t>Hod</w:t>
      </w:r>
      <w:proofErr w:type="spellEnd"/>
      <w:r>
        <w:rPr>
          <w:rFonts w:ascii="Times New Roman" w:eastAsia="Times New Roman" w:hAnsi="Times New Roman" w:cs="Times New Roman"/>
          <w:color w:val="000000"/>
          <w:sz w:val="24"/>
          <w:szCs w:val="24"/>
        </w:rPr>
        <w:t xml:space="preserve">, R., &amp; Hassan, M. R. (2022). “Best of both world”: The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amalgamation of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method with nominal group technique for dengue risk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prioritisation</w:t>
      </w:r>
      <w:proofErr w:type="spellEnd"/>
      <w:r>
        <w:rPr>
          <w:rFonts w:ascii="Times New Roman" w:eastAsia="Times New Roman" w:hAnsi="Times New Roman" w:cs="Times New Roman"/>
          <w:color w:val="000000"/>
          <w:sz w:val="24"/>
          <w:szCs w:val="24"/>
        </w:rPr>
        <w:t xml:space="preserve"> decision-making. </w:t>
      </w:r>
      <w:r>
        <w:rPr>
          <w:rFonts w:ascii="Times New Roman" w:eastAsia="Times New Roman" w:hAnsi="Times New Roman" w:cs="Times New Roman"/>
          <w:i/>
          <w:color w:val="000000"/>
          <w:sz w:val="24"/>
          <w:szCs w:val="24"/>
        </w:rPr>
        <w:t>Journal of Function Spaces, 2022</w:t>
      </w:r>
      <w:r>
        <w:rPr>
          <w:rFonts w:ascii="Times New Roman" w:eastAsia="Times New Roman" w:hAnsi="Times New Roman" w:cs="Times New Roman"/>
          <w:color w:val="000000"/>
          <w:sz w:val="24"/>
          <w:szCs w:val="24"/>
        </w:rPr>
        <w:t>(1), 1-8.</w:t>
      </w:r>
    </w:p>
    <w:p w14:paraId="66B546F6" w14:textId="68CB4F51"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w:t>
      </w:r>
      <w:proofErr w:type="spellStart"/>
      <w:r>
        <w:rPr>
          <w:rFonts w:ascii="Times New Roman" w:eastAsia="Times New Roman" w:hAnsi="Times New Roman" w:cs="Times New Roman"/>
          <w:color w:val="000000"/>
          <w:sz w:val="24"/>
          <w:szCs w:val="24"/>
        </w:rPr>
        <w:t>Salafiyah</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Rusydiana</w:t>
      </w:r>
      <w:proofErr w:type="spellEnd"/>
      <w:r>
        <w:rPr>
          <w:rFonts w:ascii="Times New Roman" w:eastAsia="Times New Roman" w:hAnsi="Times New Roman" w:cs="Times New Roman"/>
          <w:color w:val="000000"/>
          <w:sz w:val="24"/>
          <w:szCs w:val="24"/>
        </w:rPr>
        <w:t xml:space="preserve">, A. S., &amp; Mustafa, M. I. (2022). </w:t>
      </w:r>
      <w:proofErr w:type="spellStart"/>
      <w:r>
        <w:rPr>
          <w:rFonts w:ascii="Times New Roman" w:eastAsia="Times New Roman" w:hAnsi="Times New Roman" w:cs="Times New Roman"/>
          <w:color w:val="000000"/>
          <w:sz w:val="24"/>
          <w:szCs w:val="24"/>
        </w:rPr>
        <w:t>Maqashid</w:t>
      </w:r>
      <w:proofErr w:type="spellEnd"/>
      <w:r>
        <w:rPr>
          <w:rFonts w:ascii="Times New Roman" w:eastAsia="Times New Roman" w:hAnsi="Times New Roman" w:cs="Times New Roman"/>
          <w:color w:val="000000"/>
          <w:sz w:val="24"/>
          <w:szCs w:val="24"/>
        </w:rPr>
        <w:t xml:space="preserve"> sharia-based mosque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empowerment index. </w:t>
      </w:r>
      <w:r>
        <w:rPr>
          <w:rFonts w:ascii="Times New Roman" w:eastAsia="Times New Roman" w:hAnsi="Times New Roman" w:cs="Times New Roman"/>
          <w:i/>
          <w:color w:val="000000"/>
          <w:sz w:val="24"/>
          <w:szCs w:val="24"/>
        </w:rPr>
        <w:t>International Journal of Ethics and Systems, 38</w:t>
      </w:r>
      <w:r>
        <w:rPr>
          <w:rFonts w:ascii="Times New Roman" w:eastAsia="Times New Roman" w:hAnsi="Times New Roman" w:cs="Times New Roman"/>
          <w:color w:val="000000"/>
          <w:sz w:val="24"/>
          <w:szCs w:val="24"/>
        </w:rPr>
        <w:t xml:space="preserve">(2), 173-190. </w:t>
      </w:r>
    </w:p>
    <w:p w14:paraId="53703D7B" w14:textId="7F9DB978"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Awang</w:t>
      </w:r>
      <w:proofErr w:type="spellEnd"/>
      <w:r>
        <w:rPr>
          <w:rFonts w:ascii="Times New Roman" w:eastAsia="Times New Roman" w:hAnsi="Times New Roman" w:cs="Times New Roman"/>
          <w:color w:val="000000"/>
          <w:sz w:val="24"/>
          <w:szCs w:val="24"/>
        </w:rPr>
        <w:t xml:space="preserve">, A., Mat, A. C., &amp; Ghani, R. A. (2022). Challenges of </w:t>
      </w:r>
      <w:proofErr w:type="spellStart"/>
      <w:r>
        <w:rPr>
          <w:rFonts w:ascii="Times New Roman" w:eastAsia="Times New Roman" w:hAnsi="Times New Roman" w:cs="Times New Roman"/>
          <w:color w:val="000000"/>
          <w:sz w:val="24"/>
          <w:szCs w:val="24"/>
        </w:rPr>
        <w:t>muallaf</w:t>
      </w:r>
      <w:proofErr w:type="spellEnd"/>
      <w:r>
        <w:rPr>
          <w:rFonts w:ascii="Times New Roman" w:eastAsia="Times New Roman" w:hAnsi="Times New Roman" w:cs="Times New Roman"/>
          <w:color w:val="000000"/>
          <w:sz w:val="24"/>
          <w:szCs w:val="24"/>
        </w:rPr>
        <w:t xml:space="preserve"> in building Muslim’s identity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 Malaysia. </w:t>
      </w:r>
      <w:r>
        <w:rPr>
          <w:rFonts w:ascii="Times New Roman" w:eastAsia="Times New Roman" w:hAnsi="Times New Roman" w:cs="Times New Roman"/>
          <w:i/>
          <w:color w:val="000000"/>
          <w:sz w:val="24"/>
          <w:szCs w:val="24"/>
        </w:rPr>
        <w:t xml:space="preserve">International Journal of Academic Research in Business and Social Sciences,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12</w:t>
      </w:r>
      <w:r>
        <w:rPr>
          <w:rFonts w:ascii="Times New Roman" w:eastAsia="Times New Roman" w:hAnsi="Times New Roman" w:cs="Times New Roman"/>
          <w:color w:val="000000"/>
          <w:sz w:val="24"/>
          <w:szCs w:val="24"/>
        </w:rPr>
        <w:t xml:space="preserve">(8), 1240-1252. </w:t>
      </w:r>
    </w:p>
    <w:p w14:paraId="13F38A07" w14:textId="60D29C71"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Basir</w:t>
      </w:r>
      <w:proofErr w:type="spellEnd"/>
      <w:r>
        <w:rPr>
          <w:rFonts w:ascii="Times New Roman" w:eastAsia="Times New Roman" w:hAnsi="Times New Roman" w:cs="Times New Roman"/>
          <w:color w:val="000000"/>
          <w:sz w:val="24"/>
          <w:szCs w:val="24"/>
        </w:rPr>
        <w:t xml:space="preserve">, S. A., &amp; Mohamed, H. A.-B. (2019). </w:t>
      </w:r>
      <w:proofErr w:type="spellStart"/>
      <w:r>
        <w:rPr>
          <w:rFonts w:ascii="Times New Roman" w:eastAsia="Times New Roman" w:hAnsi="Times New Roman" w:cs="Times New Roman"/>
          <w:color w:val="000000"/>
          <w:sz w:val="24"/>
          <w:szCs w:val="24"/>
        </w:rPr>
        <w:t>Pelaksanaan</w:t>
      </w:r>
      <w:proofErr w:type="spellEnd"/>
      <w:r>
        <w:rPr>
          <w:rFonts w:ascii="Times New Roman" w:eastAsia="Times New Roman" w:hAnsi="Times New Roman" w:cs="Times New Roman"/>
          <w:color w:val="000000"/>
          <w:sz w:val="24"/>
          <w:szCs w:val="24"/>
        </w:rPr>
        <w:t xml:space="preserve"> program </w:t>
      </w:r>
      <w:proofErr w:type="spellStart"/>
      <w:r>
        <w:rPr>
          <w:rFonts w:ascii="Times New Roman" w:eastAsia="Times New Roman" w:hAnsi="Times New Roman" w:cs="Times New Roman"/>
          <w:color w:val="000000"/>
          <w:sz w:val="24"/>
          <w:szCs w:val="24"/>
        </w:rPr>
        <w:t>pembangunan</w:t>
      </w:r>
      <w:proofErr w:type="spellEnd"/>
      <w:r>
        <w:rPr>
          <w:rFonts w:ascii="Times New Roman" w:eastAsia="Times New Roman" w:hAnsi="Times New Roman" w:cs="Times New Roman"/>
          <w:color w:val="000000"/>
          <w:sz w:val="24"/>
          <w:szCs w:val="24"/>
        </w:rPr>
        <w:t xml:space="preserve"> modal </w:t>
      </w:r>
      <w:proofErr w:type="spellStart"/>
      <w:r>
        <w:rPr>
          <w:rFonts w:ascii="Times New Roman" w:eastAsia="Times New Roman" w:hAnsi="Times New Roman" w:cs="Times New Roman"/>
          <w:color w:val="000000"/>
          <w:sz w:val="24"/>
          <w:szCs w:val="24"/>
        </w:rPr>
        <w:t>insan</w:t>
      </w:r>
      <w:proofErr w:type="spellEnd"/>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(PMI) di </w:t>
      </w:r>
      <w:proofErr w:type="spellStart"/>
      <w:r>
        <w:rPr>
          <w:rFonts w:ascii="Times New Roman" w:eastAsia="Times New Roman" w:hAnsi="Times New Roman" w:cs="Times New Roman"/>
          <w:color w:val="000000"/>
          <w:sz w:val="24"/>
          <w:szCs w:val="24"/>
        </w:rPr>
        <w:t>institusi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Pengurusan</w:t>
      </w:r>
      <w:proofErr w:type="spellEnd"/>
      <w:r>
        <w:rPr>
          <w:rFonts w:ascii="Times New Roman" w:eastAsia="Times New Roman" w:hAnsi="Times New Roman" w:cs="Times New Roman"/>
          <w:color w:val="000000"/>
          <w:sz w:val="24"/>
          <w:szCs w:val="24"/>
        </w:rPr>
        <w:t xml:space="preserve"> Hal </w:t>
      </w:r>
      <w:proofErr w:type="spellStart"/>
      <w:r>
        <w:rPr>
          <w:rFonts w:ascii="Times New Roman" w:eastAsia="Times New Roman" w:hAnsi="Times New Roman" w:cs="Times New Roman"/>
          <w:color w:val="000000"/>
          <w:sz w:val="24"/>
          <w:szCs w:val="24"/>
        </w:rPr>
        <w:t>Ehwal</w:t>
      </w:r>
      <w:proofErr w:type="spellEnd"/>
      <w:r>
        <w:rPr>
          <w:rFonts w:ascii="Times New Roman" w:eastAsia="Times New Roman" w:hAnsi="Times New Roman" w:cs="Times New Roman"/>
          <w:color w:val="000000"/>
          <w:sz w:val="24"/>
          <w:szCs w:val="24"/>
        </w:rPr>
        <w:t xml:space="preserve"> Islam (PHEI): </w:t>
      </w:r>
      <w:proofErr w:type="spellStart"/>
      <w:r>
        <w:rPr>
          <w:rFonts w:ascii="Times New Roman" w:eastAsia="Times New Roman" w:hAnsi="Times New Roman" w:cs="Times New Roman"/>
          <w:color w:val="000000"/>
          <w:sz w:val="24"/>
          <w:szCs w:val="24"/>
        </w:rPr>
        <w:t>Kajian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Jabatan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Kemajuan</w:t>
      </w:r>
      <w:proofErr w:type="spellEnd"/>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Islam Malaysia (JAKIM). </w:t>
      </w:r>
      <w:r>
        <w:rPr>
          <w:rFonts w:ascii="Times New Roman" w:eastAsia="Times New Roman" w:hAnsi="Times New Roman" w:cs="Times New Roman"/>
          <w:i/>
          <w:color w:val="000000"/>
          <w:sz w:val="24"/>
          <w:szCs w:val="24"/>
        </w:rPr>
        <w:t xml:space="preserve">UMRAN-International Journal of Islamic and Civilizational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Studies, 6</w:t>
      </w:r>
      <w:r>
        <w:rPr>
          <w:rFonts w:ascii="Times New Roman" w:eastAsia="Times New Roman" w:hAnsi="Times New Roman" w:cs="Times New Roman"/>
          <w:color w:val="000000"/>
          <w:sz w:val="24"/>
          <w:szCs w:val="24"/>
        </w:rPr>
        <w:t xml:space="preserve">(3), 9-31. </w:t>
      </w:r>
    </w:p>
    <w:p w14:paraId="0102E911" w14:textId="423BAC85"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bookmarkStart w:id="2" w:name="_heading=h.vh65n8ahtvwl" w:colFirst="0" w:colLast="0"/>
      <w:bookmarkEnd w:id="2"/>
      <w:r>
        <w:rPr>
          <w:rFonts w:ascii="Times New Roman" w:eastAsia="Times New Roman" w:hAnsi="Times New Roman" w:cs="Times New Roman"/>
          <w:color w:val="000000"/>
          <w:sz w:val="24"/>
          <w:szCs w:val="24"/>
        </w:rPr>
        <w:t xml:space="preserve">BERNAMA. (2024, September 18). </w:t>
      </w:r>
      <w:proofErr w:type="spellStart"/>
      <w:r>
        <w:rPr>
          <w:rFonts w:ascii="Times New Roman" w:eastAsia="Times New Roman" w:hAnsi="Times New Roman" w:cs="Times New Roman"/>
          <w:color w:val="000000"/>
          <w:sz w:val="24"/>
          <w:szCs w:val="24"/>
        </w:rPr>
        <w:t>Govt</w:t>
      </w:r>
      <w:proofErr w:type="spellEnd"/>
      <w:r>
        <w:rPr>
          <w:rFonts w:ascii="Times New Roman" w:eastAsia="Times New Roman" w:hAnsi="Times New Roman" w:cs="Times New Roman"/>
          <w:color w:val="000000"/>
          <w:sz w:val="24"/>
          <w:szCs w:val="24"/>
        </w:rPr>
        <w:t xml:space="preserve"> allocates RM2 </w:t>
      </w:r>
      <w:proofErr w:type="spellStart"/>
      <w:r>
        <w:rPr>
          <w:rFonts w:ascii="Times New Roman" w:eastAsia="Times New Roman" w:hAnsi="Times New Roman" w:cs="Times New Roman"/>
          <w:color w:val="000000"/>
          <w:sz w:val="24"/>
          <w:szCs w:val="24"/>
        </w:rPr>
        <w:t>bln</w:t>
      </w:r>
      <w:proofErr w:type="spellEnd"/>
      <w:r>
        <w:rPr>
          <w:rFonts w:ascii="Times New Roman" w:eastAsia="Times New Roman" w:hAnsi="Times New Roman" w:cs="Times New Roman"/>
          <w:color w:val="000000"/>
          <w:sz w:val="24"/>
          <w:szCs w:val="24"/>
        </w:rPr>
        <w:t xml:space="preserve"> for Islamic affairs.</w:t>
      </w:r>
      <w:r>
        <w:rPr>
          <w:rFonts w:ascii="Times New Roman" w:eastAsia="Times New Roman" w:hAnsi="Times New Roman" w:cs="Times New Roman"/>
          <w:i/>
          <w:color w:val="000000"/>
          <w:sz w:val="24"/>
          <w:szCs w:val="24"/>
        </w:rPr>
        <w:t xml:space="preserve"> BERNAMA</w:t>
      </w:r>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FF"/>
          <w:sz w:val="24"/>
          <w:szCs w:val="24"/>
          <w:u w:val="single"/>
        </w:rPr>
        <w:t>https://www.bernama.com/en/news.php?id=2353610</w:t>
      </w:r>
    </w:p>
    <w:p w14:paraId="67B3DF54" w14:textId="06563925"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J. K., &amp; </w:t>
      </w:r>
      <w:proofErr w:type="spellStart"/>
      <w:r>
        <w:rPr>
          <w:rFonts w:ascii="Times New Roman" w:eastAsia="Times New Roman" w:hAnsi="Times New Roman" w:cs="Times New Roman"/>
          <w:color w:val="000000"/>
          <w:sz w:val="24"/>
          <w:szCs w:val="24"/>
        </w:rPr>
        <w:t>Sriphon</w:t>
      </w:r>
      <w:proofErr w:type="spellEnd"/>
      <w:r>
        <w:rPr>
          <w:rFonts w:ascii="Times New Roman" w:eastAsia="Times New Roman" w:hAnsi="Times New Roman" w:cs="Times New Roman"/>
          <w:color w:val="000000"/>
          <w:sz w:val="24"/>
          <w:szCs w:val="24"/>
        </w:rPr>
        <w:t xml:space="preserve">, T. (2022). Authentic leadership, trust, and social exchange relationships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under the influence of leader behavior. </w:t>
      </w:r>
      <w:r>
        <w:rPr>
          <w:rFonts w:ascii="Times New Roman" w:eastAsia="Times New Roman" w:hAnsi="Times New Roman" w:cs="Times New Roman"/>
          <w:i/>
          <w:color w:val="000000"/>
          <w:sz w:val="24"/>
          <w:szCs w:val="24"/>
        </w:rPr>
        <w:t>Sustainability, 14</w:t>
      </w:r>
      <w:r>
        <w:rPr>
          <w:rFonts w:ascii="Times New Roman" w:eastAsia="Times New Roman" w:hAnsi="Times New Roman" w:cs="Times New Roman"/>
          <w:color w:val="000000"/>
          <w:sz w:val="24"/>
          <w:szCs w:val="24"/>
        </w:rPr>
        <w:t xml:space="preserve">(10), 5883. </w:t>
      </w:r>
    </w:p>
    <w:p w14:paraId="7A8B9585" w14:textId="4F4ACA5A"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Cheng, C.-H., &amp; Lin, Y. (2002). Evaluating the best main battle tank using fuzzy decision theory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with linguistic criteria evaluation. </w:t>
      </w:r>
      <w:r>
        <w:rPr>
          <w:rFonts w:ascii="Times New Roman" w:eastAsia="Times New Roman" w:hAnsi="Times New Roman" w:cs="Times New Roman"/>
          <w:i/>
          <w:color w:val="000000"/>
          <w:sz w:val="24"/>
          <w:szCs w:val="24"/>
        </w:rPr>
        <w:t>European journal of operational research, 142</w:t>
      </w:r>
      <w:r>
        <w:rPr>
          <w:rFonts w:ascii="Times New Roman" w:eastAsia="Times New Roman" w:hAnsi="Times New Roman" w:cs="Times New Roman"/>
          <w:color w:val="000000"/>
          <w:sz w:val="24"/>
          <w:szCs w:val="24"/>
        </w:rPr>
        <w:t>(1), 174-</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186. </w:t>
      </w:r>
    </w:p>
    <w:p w14:paraId="57F40C39" w14:textId="0341C294"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Đurišić</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Bunijevac</w:t>
      </w:r>
      <w:proofErr w:type="spellEnd"/>
      <w:r>
        <w:rPr>
          <w:rFonts w:ascii="Times New Roman" w:eastAsia="Times New Roman" w:hAnsi="Times New Roman" w:cs="Times New Roman"/>
          <w:color w:val="000000"/>
          <w:sz w:val="24"/>
          <w:szCs w:val="24"/>
        </w:rPr>
        <w:t xml:space="preserve">, M. (2017). Parental involvement as </w:t>
      </w:r>
      <w:proofErr w:type="spellStart"/>
      <w:proofErr w:type="gramStart"/>
      <w:r>
        <w:rPr>
          <w:rFonts w:ascii="Times New Roman" w:eastAsia="Times New Roman" w:hAnsi="Times New Roman" w:cs="Times New Roman"/>
          <w:color w:val="000000"/>
          <w:sz w:val="24"/>
          <w:szCs w:val="24"/>
        </w:rPr>
        <w:t>a</w:t>
      </w:r>
      <w:proofErr w:type="spellEnd"/>
      <w:proofErr w:type="gramEnd"/>
      <w:r>
        <w:rPr>
          <w:rFonts w:ascii="Times New Roman" w:eastAsia="Times New Roman" w:hAnsi="Times New Roman" w:cs="Times New Roman"/>
          <w:color w:val="000000"/>
          <w:sz w:val="24"/>
          <w:szCs w:val="24"/>
        </w:rPr>
        <w:t xml:space="preserve"> important factor for successful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education. </w:t>
      </w:r>
      <w:r>
        <w:rPr>
          <w:rFonts w:ascii="Times New Roman" w:eastAsia="Times New Roman" w:hAnsi="Times New Roman" w:cs="Times New Roman"/>
          <w:i/>
          <w:color w:val="000000"/>
          <w:sz w:val="24"/>
          <w:szCs w:val="24"/>
        </w:rPr>
        <w:t>Center for Educational Policy Studies Journal, 7</w:t>
      </w:r>
      <w:r>
        <w:rPr>
          <w:rFonts w:ascii="Times New Roman" w:eastAsia="Times New Roman" w:hAnsi="Times New Roman" w:cs="Times New Roman"/>
          <w:color w:val="000000"/>
          <w:sz w:val="24"/>
          <w:szCs w:val="24"/>
        </w:rPr>
        <w:t xml:space="preserve">(3), 137-153. </w:t>
      </w:r>
    </w:p>
    <w:p w14:paraId="4885B8C1" w14:textId="0CD2601D"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Ghani, Z. A., </w:t>
      </w:r>
      <w:proofErr w:type="spellStart"/>
      <w:r>
        <w:rPr>
          <w:rFonts w:ascii="Times New Roman" w:eastAsia="Times New Roman" w:hAnsi="Times New Roman" w:cs="Times New Roman"/>
          <w:color w:val="000000"/>
          <w:sz w:val="24"/>
          <w:szCs w:val="24"/>
        </w:rPr>
        <w:t>Mahyuddin</w:t>
      </w:r>
      <w:proofErr w:type="spellEnd"/>
      <w:r>
        <w:rPr>
          <w:rFonts w:ascii="Times New Roman" w:eastAsia="Times New Roman" w:hAnsi="Times New Roman" w:cs="Times New Roman"/>
          <w:color w:val="000000"/>
          <w:sz w:val="24"/>
          <w:szCs w:val="24"/>
        </w:rPr>
        <w:t xml:space="preserve">, M. K., </w:t>
      </w:r>
      <w:proofErr w:type="spellStart"/>
      <w:r>
        <w:rPr>
          <w:rFonts w:ascii="Times New Roman" w:eastAsia="Times New Roman" w:hAnsi="Times New Roman" w:cs="Times New Roman"/>
          <w:color w:val="000000"/>
          <w:sz w:val="24"/>
          <w:szCs w:val="24"/>
        </w:rPr>
        <w:t>Hamdani</w:t>
      </w:r>
      <w:proofErr w:type="spellEnd"/>
      <w:r>
        <w:rPr>
          <w:rFonts w:ascii="Times New Roman" w:eastAsia="Times New Roman" w:hAnsi="Times New Roman" w:cs="Times New Roman"/>
          <w:color w:val="000000"/>
          <w:sz w:val="24"/>
          <w:szCs w:val="24"/>
        </w:rPr>
        <w:t xml:space="preserve">, S. M., Noor, K. M., </w:t>
      </w:r>
      <w:proofErr w:type="spellStart"/>
      <w:r>
        <w:rPr>
          <w:rFonts w:ascii="Times New Roman" w:eastAsia="Times New Roman" w:hAnsi="Times New Roman" w:cs="Times New Roman"/>
          <w:color w:val="000000"/>
          <w:sz w:val="24"/>
          <w:szCs w:val="24"/>
        </w:rPr>
        <w:t>Shaharudin</w:t>
      </w:r>
      <w:proofErr w:type="spellEnd"/>
      <w:r>
        <w:rPr>
          <w:rFonts w:ascii="Times New Roman" w:eastAsia="Times New Roman" w:hAnsi="Times New Roman" w:cs="Times New Roman"/>
          <w:color w:val="000000"/>
          <w:sz w:val="24"/>
          <w:szCs w:val="24"/>
        </w:rPr>
        <w:t xml:space="preserve">, A., &amp; Aziz, W. M. S.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 (2023). </w:t>
      </w:r>
      <w:proofErr w:type="spellStart"/>
      <w:r>
        <w:rPr>
          <w:rFonts w:ascii="Times New Roman" w:eastAsia="Times New Roman" w:hAnsi="Times New Roman" w:cs="Times New Roman"/>
          <w:i/>
          <w:color w:val="000000"/>
          <w:sz w:val="24"/>
          <w:szCs w:val="24"/>
        </w:rPr>
        <w:t>Pengurusan</w:t>
      </w:r>
      <w:proofErr w:type="spellEnd"/>
      <w:r>
        <w:rPr>
          <w:rFonts w:ascii="Times New Roman" w:eastAsia="Times New Roman" w:hAnsi="Times New Roman" w:cs="Times New Roman"/>
          <w:i/>
          <w:color w:val="000000"/>
          <w:sz w:val="24"/>
          <w:szCs w:val="24"/>
        </w:rPr>
        <w:t xml:space="preserve"> Hal </w:t>
      </w:r>
      <w:proofErr w:type="spellStart"/>
      <w:r>
        <w:rPr>
          <w:rFonts w:ascii="Times New Roman" w:eastAsia="Times New Roman" w:hAnsi="Times New Roman" w:cs="Times New Roman"/>
          <w:i/>
          <w:color w:val="000000"/>
          <w:sz w:val="24"/>
          <w:szCs w:val="24"/>
        </w:rPr>
        <w:t>Ehwal</w:t>
      </w:r>
      <w:proofErr w:type="spellEnd"/>
      <w:r>
        <w:rPr>
          <w:rFonts w:ascii="Times New Roman" w:eastAsia="Times New Roman" w:hAnsi="Times New Roman" w:cs="Times New Roman"/>
          <w:i/>
          <w:color w:val="000000"/>
          <w:sz w:val="24"/>
          <w:szCs w:val="24"/>
        </w:rPr>
        <w:t xml:space="preserve"> Islam di Malaysia</w:t>
      </w:r>
      <w:r>
        <w:rPr>
          <w:rFonts w:ascii="Times New Roman" w:eastAsia="Times New Roman" w:hAnsi="Times New Roman" w:cs="Times New Roman"/>
          <w:color w:val="000000"/>
          <w:sz w:val="24"/>
          <w:szCs w:val="24"/>
        </w:rPr>
        <w:t>. USIM Press.</w:t>
      </w:r>
    </w:p>
    <w:p w14:paraId="4D0D99FB" w14:textId="7D7DF070"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Ghazali</w:t>
      </w:r>
      <w:proofErr w:type="spellEnd"/>
      <w:r>
        <w:rPr>
          <w:rFonts w:ascii="Times New Roman" w:eastAsia="Times New Roman" w:hAnsi="Times New Roman" w:cs="Times New Roman"/>
          <w:color w:val="000000"/>
          <w:sz w:val="24"/>
          <w:szCs w:val="24"/>
        </w:rPr>
        <w:t xml:space="preserve">, Z., Lim, M. R. T., &amp; A. </w:t>
      </w:r>
      <w:proofErr w:type="spellStart"/>
      <w:r>
        <w:rPr>
          <w:rFonts w:ascii="Times New Roman" w:eastAsia="Times New Roman" w:hAnsi="Times New Roman" w:cs="Times New Roman"/>
          <w:color w:val="000000"/>
          <w:sz w:val="24"/>
          <w:szCs w:val="24"/>
        </w:rPr>
        <w:t>Jamak</w:t>
      </w:r>
      <w:proofErr w:type="spellEnd"/>
      <w:r>
        <w:rPr>
          <w:rFonts w:ascii="Times New Roman" w:eastAsia="Times New Roman" w:hAnsi="Times New Roman" w:cs="Times New Roman"/>
          <w:color w:val="000000"/>
          <w:sz w:val="24"/>
          <w:szCs w:val="24"/>
        </w:rPr>
        <w:t xml:space="preserve">, A. B. S. (2019). Maintenance performance improvement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analysis using Fuzzy Delphi method: A case of an international lube blending plant in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Malaysia. </w:t>
      </w:r>
      <w:r>
        <w:rPr>
          <w:rFonts w:ascii="Times New Roman" w:eastAsia="Times New Roman" w:hAnsi="Times New Roman" w:cs="Times New Roman"/>
          <w:i/>
          <w:color w:val="000000"/>
          <w:sz w:val="24"/>
          <w:szCs w:val="24"/>
        </w:rPr>
        <w:t>Journal of Quality in maintenance Engineering, 25</w:t>
      </w:r>
      <w:r>
        <w:rPr>
          <w:rFonts w:ascii="Times New Roman" w:eastAsia="Times New Roman" w:hAnsi="Times New Roman" w:cs="Times New Roman"/>
          <w:color w:val="000000"/>
          <w:sz w:val="24"/>
          <w:szCs w:val="24"/>
        </w:rPr>
        <w:t xml:space="preserve">(1), 162-180. </w:t>
      </w:r>
    </w:p>
    <w:p w14:paraId="1DD9122B" w14:textId="637DED59"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Harahap</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Sukiman</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Harahap</w:t>
      </w:r>
      <w:proofErr w:type="spellEnd"/>
      <w:r>
        <w:rPr>
          <w:rFonts w:ascii="Times New Roman" w:eastAsia="Times New Roman" w:hAnsi="Times New Roman" w:cs="Times New Roman"/>
          <w:color w:val="000000"/>
          <w:sz w:val="24"/>
          <w:szCs w:val="24"/>
        </w:rPr>
        <w:t xml:space="preserve">, I. (2023). Measuring Muslim welfare: A </w:t>
      </w:r>
      <w:proofErr w:type="spellStart"/>
      <w:r>
        <w:rPr>
          <w:rFonts w:ascii="Times New Roman" w:eastAsia="Times New Roman" w:hAnsi="Times New Roman" w:cs="Times New Roman"/>
          <w:color w:val="000000"/>
          <w:sz w:val="24"/>
          <w:szCs w:val="24"/>
        </w:rPr>
        <w:t>falah</w:t>
      </w:r>
      <w:proofErr w:type="spellEnd"/>
      <w:r>
        <w:rPr>
          <w:rFonts w:ascii="Times New Roman" w:eastAsia="Times New Roman" w:hAnsi="Times New Roman" w:cs="Times New Roman"/>
          <w:color w:val="000000"/>
          <w:sz w:val="24"/>
          <w:szCs w:val="24"/>
        </w:rPr>
        <w:t xml:space="preserve">-based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index. </w:t>
      </w:r>
      <w:r>
        <w:rPr>
          <w:rFonts w:ascii="Times New Roman" w:eastAsia="Times New Roman" w:hAnsi="Times New Roman" w:cs="Times New Roman"/>
          <w:i/>
          <w:color w:val="000000"/>
          <w:sz w:val="24"/>
          <w:szCs w:val="24"/>
        </w:rPr>
        <w:t xml:space="preserve">Share: </w:t>
      </w:r>
      <w:proofErr w:type="spellStart"/>
      <w:r>
        <w:rPr>
          <w:rFonts w:ascii="Times New Roman" w:eastAsia="Times New Roman" w:hAnsi="Times New Roman" w:cs="Times New Roman"/>
          <w:i/>
          <w:color w:val="000000"/>
          <w:sz w:val="24"/>
          <w:szCs w:val="24"/>
        </w:rPr>
        <w:t>Jurnal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Ekonomi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Keuangan</w:t>
      </w:r>
      <w:proofErr w:type="spellEnd"/>
      <w:r>
        <w:rPr>
          <w:rFonts w:ascii="Times New Roman" w:eastAsia="Times New Roman" w:hAnsi="Times New Roman" w:cs="Times New Roman"/>
          <w:i/>
          <w:color w:val="000000"/>
          <w:sz w:val="24"/>
          <w:szCs w:val="24"/>
        </w:rPr>
        <w:t xml:space="preserve"> Islam, 12</w:t>
      </w:r>
      <w:r>
        <w:rPr>
          <w:rFonts w:ascii="Times New Roman" w:eastAsia="Times New Roman" w:hAnsi="Times New Roman" w:cs="Times New Roman"/>
          <w:color w:val="000000"/>
          <w:sz w:val="24"/>
          <w:szCs w:val="24"/>
        </w:rPr>
        <w:t xml:space="preserve">(2), 478-499. </w:t>
      </w:r>
    </w:p>
    <w:p w14:paraId="2B9AC940" w14:textId="7107687D"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Jacobs, J. M. (1996). </w:t>
      </w:r>
      <w:r>
        <w:rPr>
          <w:rFonts w:ascii="Times New Roman" w:eastAsia="Times New Roman" w:hAnsi="Times New Roman" w:cs="Times New Roman"/>
          <w:i/>
          <w:color w:val="000000"/>
          <w:sz w:val="24"/>
          <w:szCs w:val="24"/>
        </w:rPr>
        <w:t xml:space="preserve">Essential Assessment Criteria for Physical Education Teacher Education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 xml:space="preserve">Programs: A Delphi Study </w:t>
      </w:r>
      <w:r>
        <w:rPr>
          <w:rFonts w:ascii="Times New Roman" w:eastAsia="Times New Roman" w:hAnsi="Times New Roman" w:cs="Times New Roman"/>
          <w:color w:val="000000"/>
          <w:sz w:val="24"/>
          <w:szCs w:val="24"/>
        </w:rPr>
        <w:t xml:space="preserve">[PhD dissertation, West Virginia University]. </w:t>
      </w:r>
    </w:p>
    <w:p w14:paraId="6C27569E" w14:textId="44407899"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JAKIM. (2023). </w:t>
      </w:r>
      <w:proofErr w:type="spellStart"/>
      <w:r>
        <w:rPr>
          <w:rFonts w:ascii="Times New Roman" w:eastAsia="Times New Roman" w:hAnsi="Times New Roman" w:cs="Times New Roman"/>
          <w:i/>
          <w:color w:val="000000"/>
          <w:sz w:val="24"/>
          <w:szCs w:val="24"/>
        </w:rPr>
        <w:t>Pelan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Transformasi</w:t>
      </w:r>
      <w:proofErr w:type="spellEnd"/>
      <w:r>
        <w:rPr>
          <w:rFonts w:ascii="Times New Roman" w:eastAsia="Times New Roman" w:hAnsi="Times New Roman" w:cs="Times New Roman"/>
          <w:i/>
          <w:color w:val="000000"/>
          <w:sz w:val="24"/>
          <w:szCs w:val="24"/>
        </w:rPr>
        <w:t xml:space="preserve"> Hal </w:t>
      </w:r>
      <w:proofErr w:type="spellStart"/>
      <w:r>
        <w:rPr>
          <w:rFonts w:ascii="Times New Roman" w:eastAsia="Times New Roman" w:hAnsi="Times New Roman" w:cs="Times New Roman"/>
          <w:i/>
          <w:color w:val="000000"/>
          <w:sz w:val="24"/>
          <w:szCs w:val="24"/>
        </w:rPr>
        <w:t>Ehwal</w:t>
      </w:r>
      <w:proofErr w:type="spellEnd"/>
      <w:r>
        <w:rPr>
          <w:rFonts w:ascii="Times New Roman" w:eastAsia="Times New Roman" w:hAnsi="Times New Roman" w:cs="Times New Roman"/>
          <w:i/>
          <w:color w:val="000000"/>
          <w:sz w:val="24"/>
          <w:szCs w:val="24"/>
        </w:rPr>
        <w:t xml:space="preserve"> Agama </w:t>
      </w:r>
      <w:proofErr w:type="spellStart"/>
      <w:r>
        <w:rPr>
          <w:rFonts w:ascii="Times New Roman" w:eastAsia="Times New Roman" w:hAnsi="Times New Roman" w:cs="Times New Roman"/>
          <w:i/>
          <w:color w:val="000000"/>
          <w:sz w:val="24"/>
          <w:szCs w:val="24"/>
        </w:rPr>
        <w:t>Menuju</w:t>
      </w:r>
      <w:proofErr w:type="spellEnd"/>
      <w:r>
        <w:rPr>
          <w:rFonts w:ascii="Times New Roman" w:eastAsia="Times New Roman" w:hAnsi="Times New Roman" w:cs="Times New Roman"/>
          <w:i/>
          <w:color w:val="000000"/>
          <w:sz w:val="24"/>
          <w:szCs w:val="24"/>
        </w:rPr>
        <w:t xml:space="preserve"> Malaysia </w:t>
      </w:r>
      <w:proofErr w:type="spellStart"/>
      <w:r>
        <w:rPr>
          <w:rFonts w:ascii="Times New Roman" w:eastAsia="Times New Roman" w:hAnsi="Times New Roman" w:cs="Times New Roman"/>
          <w:i/>
          <w:color w:val="000000"/>
          <w:sz w:val="24"/>
          <w:szCs w:val="24"/>
        </w:rPr>
        <w:t>Madani</w:t>
      </w:r>
      <w:proofErr w:type="spellEnd"/>
      <w:r>
        <w:rPr>
          <w:rFonts w:ascii="Times New Roman" w:eastAsia="Times New Roman" w:hAnsi="Times New Roman" w:cs="Times New Roman"/>
          <w:i/>
          <w:color w:val="000000"/>
          <w:sz w:val="24"/>
          <w:szCs w:val="24"/>
        </w:rPr>
        <w:t xml:space="preserve"> (Al </w:t>
      </w:r>
      <w:proofErr w:type="spellStart"/>
      <w:r>
        <w:rPr>
          <w:rFonts w:ascii="Times New Roman" w:eastAsia="Times New Roman" w:hAnsi="Times New Roman" w:cs="Times New Roman"/>
          <w:i/>
          <w:color w:val="000000"/>
          <w:sz w:val="24"/>
          <w:szCs w:val="24"/>
        </w:rPr>
        <w:t>Falah</w:t>
      </w:r>
      <w:proofErr w:type="spellEnd"/>
      <w:r>
        <w:rPr>
          <w:rFonts w:ascii="Times New Roman" w:eastAsia="Times New Roman" w:hAnsi="Times New Roman" w:cs="Times New Roman"/>
          <w:i/>
          <w:color w:val="000000"/>
          <w:sz w:val="24"/>
          <w:szCs w:val="24"/>
        </w:rPr>
        <w:t xml:space="preserve">)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2023-2027</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Kemajuan</w:t>
      </w:r>
      <w:proofErr w:type="spellEnd"/>
      <w:r>
        <w:rPr>
          <w:rFonts w:ascii="Times New Roman" w:eastAsia="Times New Roman" w:hAnsi="Times New Roman" w:cs="Times New Roman"/>
          <w:color w:val="000000"/>
          <w:sz w:val="24"/>
          <w:szCs w:val="24"/>
        </w:rPr>
        <w:t xml:space="preserve"> Islam Malaysia.</w:t>
      </w:r>
    </w:p>
    <w:p w14:paraId="3C32D858" w14:textId="03D76804"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Jamaludin</w:t>
      </w:r>
      <w:proofErr w:type="spellEnd"/>
      <w:r>
        <w:rPr>
          <w:rFonts w:ascii="Times New Roman" w:eastAsia="Times New Roman" w:hAnsi="Times New Roman" w:cs="Times New Roman"/>
          <w:color w:val="000000"/>
          <w:sz w:val="24"/>
          <w:szCs w:val="24"/>
        </w:rPr>
        <w:t xml:space="preserve">, F. I. C., Abdullah, M. R. T. L.,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 A., </w:t>
      </w:r>
      <w:proofErr w:type="spellStart"/>
      <w:r>
        <w:rPr>
          <w:rFonts w:ascii="Times New Roman" w:eastAsia="Times New Roman" w:hAnsi="Times New Roman" w:cs="Times New Roman"/>
          <w:color w:val="000000"/>
          <w:sz w:val="24"/>
          <w:szCs w:val="24"/>
        </w:rPr>
        <w:t>Saifuddeen</w:t>
      </w:r>
      <w:proofErr w:type="spellEnd"/>
      <w:r>
        <w:rPr>
          <w:rFonts w:ascii="Times New Roman" w:eastAsia="Times New Roman" w:hAnsi="Times New Roman" w:cs="Times New Roman"/>
          <w:color w:val="000000"/>
          <w:sz w:val="24"/>
          <w:szCs w:val="24"/>
        </w:rPr>
        <w:t xml:space="preserve">, S. M., </w:t>
      </w:r>
      <w:proofErr w:type="spellStart"/>
      <w:r>
        <w:rPr>
          <w:rFonts w:ascii="Times New Roman" w:eastAsia="Times New Roman" w:hAnsi="Times New Roman" w:cs="Times New Roman"/>
          <w:color w:val="000000"/>
          <w:sz w:val="24"/>
          <w:szCs w:val="24"/>
        </w:rPr>
        <w:t>Hamimi</w:t>
      </w:r>
      <w:proofErr w:type="spellEnd"/>
      <w:r>
        <w:rPr>
          <w:rFonts w:ascii="Times New Roman" w:eastAsia="Times New Roman" w:hAnsi="Times New Roman" w:cs="Times New Roman"/>
          <w:color w:val="000000"/>
          <w:sz w:val="24"/>
          <w:szCs w:val="24"/>
        </w:rPr>
        <w:t xml:space="preserve">, K. A.,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&amp; Harun, S. (2025). Developing a </w:t>
      </w:r>
      <w:proofErr w:type="spellStart"/>
      <w:r>
        <w:rPr>
          <w:rFonts w:ascii="Times New Roman" w:eastAsia="Times New Roman" w:hAnsi="Times New Roman" w:cs="Times New Roman"/>
          <w:color w:val="000000"/>
          <w:sz w:val="24"/>
          <w:szCs w:val="24"/>
        </w:rPr>
        <w:t>Shariah</w:t>
      </w:r>
      <w:proofErr w:type="spellEnd"/>
      <w:r>
        <w:rPr>
          <w:rFonts w:ascii="Times New Roman" w:eastAsia="Times New Roman" w:hAnsi="Times New Roman" w:cs="Times New Roman"/>
          <w:color w:val="000000"/>
          <w:sz w:val="24"/>
          <w:szCs w:val="24"/>
        </w:rPr>
        <w:t xml:space="preserve">-compliant medical services framework in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Malaysia: An expert system approach using fuzzy Delphi method and interpretive structural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modelling. </w:t>
      </w:r>
      <w:r>
        <w:rPr>
          <w:rFonts w:ascii="Times New Roman" w:eastAsia="Times New Roman" w:hAnsi="Times New Roman" w:cs="Times New Roman"/>
          <w:i/>
          <w:color w:val="000000"/>
          <w:sz w:val="24"/>
          <w:szCs w:val="24"/>
        </w:rPr>
        <w:t>BMJ open, 15</w:t>
      </w:r>
      <w:r>
        <w:rPr>
          <w:rFonts w:ascii="Times New Roman" w:eastAsia="Times New Roman" w:hAnsi="Times New Roman" w:cs="Times New Roman"/>
          <w:color w:val="000000"/>
          <w:sz w:val="24"/>
          <w:szCs w:val="24"/>
        </w:rPr>
        <w:t xml:space="preserve">(1), e082263. </w:t>
      </w:r>
    </w:p>
    <w:p w14:paraId="05A28602" w14:textId="094A61C3"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 C.-S., Chen, Y.-C., </w:t>
      </w:r>
      <w:proofErr w:type="spellStart"/>
      <w:r>
        <w:rPr>
          <w:rFonts w:ascii="Times New Roman" w:eastAsia="Times New Roman" w:hAnsi="Times New Roman" w:cs="Times New Roman"/>
          <w:color w:val="000000"/>
          <w:sz w:val="24"/>
          <w:szCs w:val="24"/>
        </w:rPr>
        <w:t>Tsui</w:t>
      </w:r>
      <w:proofErr w:type="spellEnd"/>
      <w:r>
        <w:rPr>
          <w:rFonts w:ascii="Times New Roman" w:eastAsia="Times New Roman" w:hAnsi="Times New Roman" w:cs="Times New Roman"/>
          <w:color w:val="000000"/>
          <w:sz w:val="24"/>
          <w:szCs w:val="24"/>
        </w:rPr>
        <w:t xml:space="preserve">, P.-L., </w:t>
      </w:r>
      <w:proofErr w:type="spellStart"/>
      <w:r>
        <w:rPr>
          <w:rFonts w:ascii="Times New Roman" w:eastAsia="Times New Roman" w:hAnsi="Times New Roman" w:cs="Times New Roman"/>
          <w:color w:val="000000"/>
          <w:sz w:val="24"/>
          <w:szCs w:val="24"/>
        </w:rPr>
        <w:t>Che</w:t>
      </w:r>
      <w:proofErr w:type="spellEnd"/>
      <w:r>
        <w:rPr>
          <w:rFonts w:ascii="Times New Roman" w:eastAsia="Times New Roman" w:hAnsi="Times New Roman" w:cs="Times New Roman"/>
          <w:color w:val="000000"/>
          <w:sz w:val="24"/>
          <w:szCs w:val="24"/>
        </w:rPr>
        <w:t xml:space="preserve">, C.-W., &amp; Chiang, M.-C. (2021). Application of fuzzy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technique approach in sustainable inheritance of rural cooking techniques and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innovative business strategies modeling. </w:t>
      </w:r>
      <w:r>
        <w:rPr>
          <w:rFonts w:ascii="Times New Roman" w:eastAsia="Times New Roman" w:hAnsi="Times New Roman" w:cs="Times New Roman"/>
          <w:i/>
          <w:color w:val="000000"/>
          <w:sz w:val="24"/>
          <w:szCs w:val="24"/>
        </w:rPr>
        <w:t>Agriculture, 11</w:t>
      </w:r>
      <w:r>
        <w:rPr>
          <w:rFonts w:ascii="Times New Roman" w:eastAsia="Times New Roman" w:hAnsi="Times New Roman" w:cs="Times New Roman"/>
          <w:color w:val="000000"/>
          <w:sz w:val="24"/>
          <w:szCs w:val="24"/>
        </w:rPr>
        <w:t xml:space="preserve">(10), 924. </w:t>
      </w:r>
    </w:p>
    <w:p w14:paraId="46FBACA1" w14:textId="45EBDF45"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 C. J., </w:t>
      </w:r>
      <w:proofErr w:type="spellStart"/>
      <w:r>
        <w:rPr>
          <w:rFonts w:ascii="Times New Roman" w:eastAsia="Times New Roman" w:hAnsi="Times New Roman" w:cs="Times New Roman"/>
          <w:color w:val="000000"/>
          <w:sz w:val="24"/>
          <w:szCs w:val="24"/>
        </w:rPr>
        <w:t>Belis</w:t>
      </w:r>
      <w:proofErr w:type="spellEnd"/>
      <w:r>
        <w:rPr>
          <w:rFonts w:ascii="Times New Roman" w:eastAsia="Times New Roman" w:hAnsi="Times New Roman" w:cs="Times New Roman"/>
          <w:color w:val="000000"/>
          <w:sz w:val="24"/>
          <w:szCs w:val="24"/>
        </w:rPr>
        <w:t xml:space="preserve">, T. T., </w:t>
      </w:r>
      <w:proofErr w:type="spellStart"/>
      <w:r>
        <w:rPr>
          <w:rFonts w:ascii="Times New Roman" w:eastAsia="Times New Roman" w:hAnsi="Times New Roman" w:cs="Times New Roman"/>
          <w:color w:val="000000"/>
          <w:sz w:val="24"/>
          <w:szCs w:val="24"/>
        </w:rPr>
        <w:t>Caesaron</w:t>
      </w:r>
      <w:proofErr w:type="spellEnd"/>
      <w:r>
        <w:rPr>
          <w:rFonts w:ascii="Times New Roman" w:eastAsia="Times New Roman" w:hAnsi="Times New Roman" w:cs="Times New Roman"/>
          <w:color w:val="000000"/>
          <w:sz w:val="24"/>
          <w:szCs w:val="24"/>
        </w:rPr>
        <w:t xml:space="preserve">, D., Jiang, B. C., &amp; </w:t>
      </w:r>
      <w:proofErr w:type="spellStart"/>
      <w:r>
        <w:rPr>
          <w:rFonts w:ascii="Times New Roman" w:eastAsia="Times New Roman" w:hAnsi="Times New Roman" w:cs="Times New Roman"/>
          <w:color w:val="000000"/>
          <w:sz w:val="24"/>
          <w:szCs w:val="24"/>
        </w:rPr>
        <w:t>Kuo</w:t>
      </w:r>
      <w:proofErr w:type="spellEnd"/>
      <w:r>
        <w:rPr>
          <w:rFonts w:ascii="Times New Roman" w:eastAsia="Times New Roman" w:hAnsi="Times New Roman" w:cs="Times New Roman"/>
          <w:color w:val="000000"/>
          <w:sz w:val="24"/>
          <w:szCs w:val="24"/>
        </w:rPr>
        <w:t xml:space="preserve">, T. C. (2020). Development of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sustainability indicators for employee-activity based production process using fuzzy Delphi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method. </w:t>
      </w:r>
      <w:r>
        <w:rPr>
          <w:rFonts w:ascii="Times New Roman" w:eastAsia="Times New Roman" w:hAnsi="Times New Roman" w:cs="Times New Roman"/>
          <w:i/>
          <w:color w:val="000000"/>
          <w:sz w:val="24"/>
          <w:szCs w:val="24"/>
        </w:rPr>
        <w:t>Sustainability, 12</w:t>
      </w:r>
      <w:r>
        <w:rPr>
          <w:rFonts w:ascii="Times New Roman" w:eastAsia="Times New Roman" w:hAnsi="Times New Roman" w:cs="Times New Roman"/>
          <w:color w:val="000000"/>
          <w:sz w:val="24"/>
          <w:szCs w:val="24"/>
        </w:rPr>
        <w:t xml:space="preserve">(6), 6378. </w:t>
      </w:r>
    </w:p>
    <w:p w14:paraId="401A7547" w14:textId="04E13ED9"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Mabrouk</w:t>
      </w:r>
      <w:proofErr w:type="spellEnd"/>
      <w:r>
        <w:rPr>
          <w:rFonts w:ascii="Times New Roman" w:eastAsia="Times New Roman" w:hAnsi="Times New Roman" w:cs="Times New Roman"/>
          <w:color w:val="000000"/>
          <w:sz w:val="24"/>
          <w:szCs w:val="24"/>
        </w:rPr>
        <w:t xml:space="preserve">, N. (2021). Green supplier selection using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method for developing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sustainable supply chain. </w:t>
      </w:r>
      <w:r>
        <w:rPr>
          <w:rFonts w:ascii="Times New Roman" w:eastAsia="Times New Roman" w:hAnsi="Times New Roman" w:cs="Times New Roman"/>
          <w:i/>
          <w:color w:val="000000"/>
          <w:sz w:val="24"/>
          <w:szCs w:val="24"/>
        </w:rPr>
        <w:t>Decision Science Letters, 10</w:t>
      </w:r>
      <w:r>
        <w:rPr>
          <w:rFonts w:ascii="Times New Roman" w:eastAsia="Times New Roman" w:hAnsi="Times New Roman" w:cs="Times New Roman"/>
          <w:color w:val="000000"/>
          <w:sz w:val="24"/>
          <w:szCs w:val="24"/>
        </w:rPr>
        <w:t xml:space="preserve">(1), 63-70. </w:t>
      </w:r>
    </w:p>
    <w:p w14:paraId="521207FF" w14:textId="5034CA12"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Mohamed, I. S., Mustafa, N., Yusuf, S. N. S., &amp; </w:t>
      </w:r>
      <w:proofErr w:type="spellStart"/>
      <w:r>
        <w:rPr>
          <w:rFonts w:ascii="Times New Roman" w:eastAsia="Times New Roman" w:hAnsi="Times New Roman" w:cs="Times New Roman"/>
          <w:color w:val="000000"/>
          <w:sz w:val="24"/>
          <w:szCs w:val="24"/>
        </w:rPr>
        <w:t>Rozzani</w:t>
      </w:r>
      <w:proofErr w:type="spellEnd"/>
      <w:r>
        <w:rPr>
          <w:rFonts w:ascii="Times New Roman" w:eastAsia="Times New Roman" w:hAnsi="Times New Roman" w:cs="Times New Roman"/>
          <w:color w:val="000000"/>
          <w:sz w:val="24"/>
          <w:szCs w:val="24"/>
        </w:rPr>
        <w:t xml:space="preserve">, N. (2023). Issues in financial governance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practices in Malaysia's mosques. </w:t>
      </w:r>
      <w:r>
        <w:rPr>
          <w:rFonts w:ascii="Times New Roman" w:eastAsia="Times New Roman" w:hAnsi="Times New Roman" w:cs="Times New Roman"/>
          <w:i/>
          <w:color w:val="000000"/>
          <w:sz w:val="24"/>
          <w:szCs w:val="24"/>
        </w:rPr>
        <w:t>Journal of Nusantara Studies (JONUS), 8</w:t>
      </w:r>
      <w:r>
        <w:rPr>
          <w:rFonts w:ascii="Times New Roman" w:eastAsia="Times New Roman" w:hAnsi="Times New Roman" w:cs="Times New Roman"/>
          <w:color w:val="000000"/>
          <w:sz w:val="24"/>
          <w:szCs w:val="24"/>
        </w:rPr>
        <w:t xml:space="preserve">(3), 134-146. </w:t>
      </w:r>
    </w:p>
    <w:p w14:paraId="18C9AE5C" w14:textId="1438FA12"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(2008). </w:t>
      </w:r>
      <w:r>
        <w:rPr>
          <w:rFonts w:ascii="Times New Roman" w:eastAsia="Times New Roman" w:hAnsi="Times New Roman" w:cs="Times New Roman"/>
          <w:i/>
          <w:color w:val="000000"/>
          <w:sz w:val="24"/>
          <w:szCs w:val="24"/>
        </w:rPr>
        <w:t>Handbook on Constructing Composite Indicators: Methodology and User Guide</w:t>
      </w:r>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OECD Publishing.</w:t>
      </w:r>
    </w:p>
    <w:p w14:paraId="0C32C868" w14:textId="30CCDAFB"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Osman, Z. A., Abdullah, N., Muhamad, B., &amp; Ali, S. M. (2024). Construction and assessment of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Maqasid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AlShari’ah</w:t>
      </w:r>
      <w:proofErr w:type="spellEnd"/>
      <w:r>
        <w:rPr>
          <w:rFonts w:ascii="Times New Roman" w:eastAsia="Times New Roman" w:hAnsi="Times New Roman" w:cs="Times New Roman"/>
          <w:color w:val="000000"/>
          <w:sz w:val="24"/>
          <w:szCs w:val="24"/>
        </w:rPr>
        <w:t xml:space="preserve">-Society’s Perception Index (MS-SPI). </w:t>
      </w:r>
      <w:r>
        <w:rPr>
          <w:rFonts w:ascii="Times New Roman" w:eastAsia="Times New Roman" w:hAnsi="Times New Roman" w:cs="Times New Roman"/>
          <w:i/>
          <w:color w:val="000000"/>
          <w:sz w:val="24"/>
          <w:szCs w:val="24"/>
        </w:rPr>
        <w:t xml:space="preserve">Global Business &amp; Management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Research, 16</w:t>
      </w:r>
      <w:r>
        <w:rPr>
          <w:rFonts w:ascii="Times New Roman" w:eastAsia="Times New Roman" w:hAnsi="Times New Roman" w:cs="Times New Roman"/>
          <w:color w:val="000000"/>
          <w:sz w:val="24"/>
          <w:szCs w:val="24"/>
        </w:rPr>
        <w:t xml:space="preserve">(2), 528-542. </w:t>
      </w:r>
    </w:p>
    <w:p w14:paraId="133EEE1D" w14:textId="295B3074"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Padilla-Rivera, A., do </w:t>
      </w:r>
      <w:proofErr w:type="spellStart"/>
      <w:r>
        <w:rPr>
          <w:rFonts w:ascii="Times New Roman" w:eastAsia="Times New Roman" w:hAnsi="Times New Roman" w:cs="Times New Roman"/>
          <w:color w:val="000000"/>
          <w:sz w:val="24"/>
          <w:szCs w:val="24"/>
        </w:rPr>
        <w:t>Carmo</w:t>
      </w:r>
      <w:proofErr w:type="spellEnd"/>
      <w:r>
        <w:rPr>
          <w:rFonts w:ascii="Times New Roman" w:eastAsia="Times New Roman" w:hAnsi="Times New Roman" w:cs="Times New Roman"/>
          <w:color w:val="000000"/>
          <w:sz w:val="24"/>
          <w:szCs w:val="24"/>
        </w:rPr>
        <w:t xml:space="preserve">, B. B. T., </w:t>
      </w:r>
      <w:proofErr w:type="spellStart"/>
      <w:r>
        <w:rPr>
          <w:rFonts w:ascii="Times New Roman" w:eastAsia="Times New Roman" w:hAnsi="Times New Roman" w:cs="Times New Roman"/>
          <w:color w:val="000000"/>
          <w:sz w:val="24"/>
          <w:szCs w:val="24"/>
        </w:rPr>
        <w:t>Arcese</w:t>
      </w:r>
      <w:proofErr w:type="spellEnd"/>
      <w:r>
        <w:rPr>
          <w:rFonts w:ascii="Times New Roman" w:eastAsia="Times New Roman" w:hAnsi="Times New Roman" w:cs="Times New Roman"/>
          <w:color w:val="000000"/>
          <w:sz w:val="24"/>
          <w:szCs w:val="24"/>
        </w:rPr>
        <w:t xml:space="preserve">, G., &amp; </w:t>
      </w:r>
      <w:proofErr w:type="spellStart"/>
      <w:r>
        <w:rPr>
          <w:rFonts w:ascii="Times New Roman" w:eastAsia="Times New Roman" w:hAnsi="Times New Roman" w:cs="Times New Roman"/>
          <w:color w:val="000000"/>
          <w:sz w:val="24"/>
          <w:szCs w:val="24"/>
        </w:rPr>
        <w:t>Merveille</w:t>
      </w:r>
      <w:proofErr w:type="spellEnd"/>
      <w:r>
        <w:rPr>
          <w:rFonts w:ascii="Times New Roman" w:eastAsia="Times New Roman" w:hAnsi="Times New Roman" w:cs="Times New Roman"/>
          <w:color w:val="000000"/>
          <w:sz w:val="24"/>
          <w:szCs w:val="24"/>
        </w:rPr>
        <w:t xml:space="preserve">, N. (2021). Social circular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economy indicators: Selection through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method. </w:t>
      </w:r>
      <w:r>
        <w:rPr>
          <w:rFonts w:ascii="Times New Roman" w:eastAsia="Times New Roman" w:hAnsi="Times New Roman" w:cs="Times New Roman"/>
          <w:i/>
          <w:color w:val="000000"/>
          <w:sz w:val="24"/>
          <w:szCs w:val="24"/>
        </w:rPr>
        <w:t xml:space="preserve">Sustainable Production and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Consumption, 26</w:t>
      </w:r>
      <w:r>
        <w:rPr>
          <w:rFonts w:ascii="Times New Roman" w:eastAsia="Times New Roman" w:hAnsi="Times New Roman" w:cs="Times New Roman"/>
          <w:color w:val="000000"/>
          <w:sz w:val="24"/>
          <w:szCs w:val="24"/>
        </w:rPr>
        <w:t xml:space="preserve">, 101-110. </w:t>
      </w:r>
    </w:p>
    <w:p w14:paraId="70418814" w14:textId="0B390A5F"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Rahman, N. H. N. A., </w:t>
      </w:r>
      <w:proofErr w:type="spellStart"/>
      <w:r>
        <w:rPr>
          <w:rFonts w:ascii="Times New Roman" w:eastAsia="Times New Roman" w:hAnsi="Times New Roman" w:cs="Times New Roman"/>
          <w:color w:val="000000"/>
          <w:sz w:val="24"/>
          <w:szCs w:val="24"/>
        </w:rPr>
        <w:t>Yaacob</w:t>
      </w:r>
      <w:proofErr w:type="spellEnd"/>
      <w:r>
        <w:rPr>
          <w:rFonts w:ascii="Times New Roman" w:eastAsia="Times New Roman" w:hAnsi="Times New Roman" w:cs="Times New Roman"/>
          <w:color w:val="000000"/>
          <w:sz w:val="24"/>
          <w:szCs w:val="24"/>
        </w:rPr>
        <w:t xml:space="preserve">, N., Noh, A. Y. M., Abu Bakar, A., Rahman, M. A., Rahman, A.,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Fauzi</w:t>
      </w:r>
      <w:proofErr w:type="spellEnd"/>
      <w:r>
        <w:rPr>
          <w:rFonts w:ascii="Times New Roman" w:eastAsia="Times New Roman" w:hAnsi="Times New Roman" w:cs="Times New Roman"/>
          <w:color w:val="000000"/>
          <w:sz w:val="24"/>
          <w:szCs w:val="24"/>
        </w:rPr>
        <w:t xml:space="preserve">, M. H., &amp; Tuan </w:t>
      </w:r>
      <w:proofErr w:type="spellStart"/>
      <w:r>
        <w:rPr>
          <w:rFonts w:ascii="Times New Roman" w:eastAsia="Times New Roman" w:hAnsi="Times New Roman" w:cs="Times New Roman"/>
          <w:color w:val="000000"/>
          <w:sz w:val="24"/>
          <w:szCs w:val="24"/>
        </w:rPr>
        <w:t>Kamauzaman</w:t>
      </w:r>
      <w:proofErr w:type="spellEnd"/>
      <w:r>
        <w:rPr>
          <w:rFonts w:ascii="Times New Roman" w:eastAsia="Times New Roman" w:hAnsi="Times New Roman" w:cs="Times New Roman"/>
          <w:color w:val="000000"/>
          <w:sz w:val="24"/>
          <w:szCs w:val="24"/>
        </w:rPr>
        <w:t xml:space="preserve">, T. H. (2021). Determination of service key performance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indicators for emergency departments of teaching hospitals in Malaysia: A fuzzy </w:t>
      </w:r>
      <w:proofErr w:type="spellStart"/>
      <w:r>
        <w:rPr>
          <w:rFonts w:ascii="Times New Roman" w:eastAsia="Times New Roman" w:hAnsi="Times New Roman" w:cs="Times New Roman"/>
          <w:color w:val="000000"/>
          <w:sz w:val="24"/>
          <w:szCs w:val="24"/>
        </w:rPr>
        <w:t>delphi</w:t>
      </w:r>
      <w:proofErr w:type="spellEnd"/>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method. </w:t>
      </w:r>
      <w:r>
        <w:rPr>
          <w:rFonts w:ascii="Times New Roman" w:eastAsia="Times New Roman" w:hAnsi="Times New Roman" w:cs="Times New Roman"/>
          <w:i/>
          <w:color w:val="000000"/>
          <w:sz w:val="24"/>
          <w:szCs w:val="24"/>
        </w:rPr>
        <w:t>The Medical Journal of Malaysia, 76</w:t>
      </w:r>
      <w:r>
        <w:rPr>
          <w:rFonts w:ascii="Times New Roman" w:eastAsia="Times New Roman" w:hAnsi="Times New Roman" w:cs="Times New Roman"/>
          <w:color w:val="000000"/>
          <w:sz w:val="24"/>
          <w:szCs w:val="24"/>
        </w:rPr>
        <w:t xml:space="preserve">(6), 792-798. </w:t>
      </w:r>
    </w:p>
    <w:p w14:paraId="1D0E544A" w14:textId="554FEC34"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Razak</w:t>
      </w:r>
      <w:proofErr w:type="spellEnd"/>
      <w:r>
        <w:rPr>
          <w:rFonts w:ascii="Times New Roman" w:eastAsia="Times New Roman" w:hAnsi="Times New Roman" w:cs="Times New Roman"/>
          <w:color w:val="000000"/>
          <w:sz w:val="24"/>
          <w:szCs w:val="24"/>
        </w:rPr>
        <w:t xml:space="preserve">, S. H. A. (2020). Zakat and </w:t>
      </w:r>
      <w:proofErr w:type="spellStart"/>
      <w:r>
        <w:rPr>
          <w:rFonts w:ascii="Times New Roman" w:eastAsia="Times New Roman" w:hAnsi="Times New Roman" w:cs="Times New Roman"/>
          <w:color w:val="000000"/>
          <w:sz w:val="24"/>
          <w:szCs w:val="24"/>
        </w:rPr>
        <w:t>waqf</w:t>
      </w:r>
      <w:proofErr w:type="spellEnd"/>
      <w:r>
        <w:rPr>
          <w:rFonts w:ascii="Times New Roman" w:eastAsia="Times New Roman" w:hAnsi="Times New Roman" w:cs="Times New Roman"/>
          <w:color w:val="000000"/>
          <w:sz w:val="24"/>
          <w:szCs w:val="24"/>
        </w:rPr>
        <w:t xml:space="preserve"> as instrument of Islamic wealth in poverty alleviation and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redistribution: Case of Malaysia. </w:t>
      </w:r>
      <w:r>
        <w:rPr>
          <w:rFonts w:ascii="Times New Roman" w:eastAsia="Times New Roman" w:hAnsi="Times New Roman" w:cs="Times New Roman"/>
          <w:i/>
          <w:color w:val="000000"/>
          <w:sz w:val="24"/>
          <w:szCs w:val="24"/>
        </w:rPr>
        <w:t xml:space="preserve">International Journal of Sociology and Social Policy,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40</w:t>
      </w:r>
      <w:r>
        <w:rPr>
          <w:rFonts w:ascii="Times New Roman" w:eastAsia="Times New Roman" w:hAnsi="Times New Roman" w:cs="Times New Roman"/>
          <w:color w:val="000000"/>
          <w:sz w:val="24"/>
          <w:szCs w:val="24"/>
        </w:rPr>
        <w:t xml:space="preserve">(3/4), 249-266. </w:t>
      </w:r>
    </w:p>
    <w:p w14:paraId="49C45973" w14:textId="12F6F7DE"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Remly</w:t>
      </w:r>
      <w:proofErr w:type="spellEnd"/>
      <w:r>
        <w:rPr>
          <w:rFonts w:ascii="Times New Roman" w:eastAsia="Times New Roman" w:hAnsi="Times New Roman" w:cs="Times New Roman"/>
          <w:color w:val="000000"/>
          <w:sz w:val="24"/>
          <w:szCs w:val="24"/>
        </w:rPr>
        <w:t xml:space="preserve">, M. R., </w:t>
      </w:r>
      <w:proofErr w:type="spellStart"/>
      <w:r>
        <w:rPr>
          <w:rFonts w:ascii="Times New Roman" w:eastAsia="Times New Roman" w:hAnsi="Times New Roman" w:cs="Times New Roman"/>
          <w:color w:val="000000"/>
          <w:sz w:val="24"/>
          <w:szCs w:val="24"/>
        </w:rPr>
        <w:t>Sabaruddin</w:t>
      </w:r>
      <w:proofErr w:type="spellEnd"/>
      <w:r>
        <w:rPr>
          <w:rFonts w:ascii="Times New Roman" w:eastAsia="Times New Roman" w:hAnsi="Times New Roman" w:cs="Times New Roman"/>
          <w:color w:val="000000"/>
          <w:sz w:val="24"/>
          <w:szCs w:val="24"/>
        </w:rPr>
        <w:t xml:space="preserve">, S. N. A., &amp; </w:t>
      </w:r>
      <w:proofErr w:type="spellStart"/>
      <w:r>
        <w:rPr>
          <w:rFonts w:ascii="Times New Roman" w:eastAsia="Times New Roman" w:hAnsi="Times New Roman" w:cs="Times New Roman"/>
          <w:color w:val="000000"/>
          <w:sz w:val="24"/>
          <w:szCs w:val="24"/>
        </w:rPr>
        <w:t>Adenan</w:t>
      </w:r>
      <w:proofErr w:type="spellEnd"/>
      <w:r>
        <w:rPr>
          <w:rFonts w:ascii="Times New Roman" w:eastAsia="Times New Roman" w:hAnsi="Times New Roman" w:cs="Times New Roman"/>
          <w:color w:val="000000"/>
          <w:sz w:val="24"/>
          <w:szCs w:val="24"/>
        </w:rPr>
        <w:t xml:space="preserve">, F. (2024). </w:t>
      </w:r>
      <w:proofErr w:type="spellStart"/>
      <w:r>
        <w:rPr>
          <w:rFonts w:ascii="Times New Roman" w:eastAsia="Times New Roman" w:hAnsi="Times New Roman" w:cs="Times New Roman"/>
          <w:color w:val="000000"/>
          <w:sz w:val="24"/>
          <w:szCs w:val="24"/>
        </w:rPr>
        <w:t>Cabaran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kepimpinan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r w:rsidR="00B22B7A">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pengimarahan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institusi</w:t>
      </w:r>
      <w:proofErr w:type="spellEnd"/>
      <w:r>
        <w:rPr>
          <w:rFonts w:ascii="Times New Roman" w:eastAsia="Times New Roman" w:hAnsi="Times New Roman" w:cs="Times New Roman"/>
          <w:color w:val="000000"/>
          <w:sz w:val="24"/>
          <w:szCs w:val="24"/>
        </w:rPr>
        <w:t xml:space="preserve"> masjid: </w:t>
      </w:r>
      <w:proofErr w:type="spellStart"/>
      <w:r>
        <w:rPr>
          <w:rFonts w:ascii="Times New Roman" w:eastAsia="Times New Roman" w:hAnsi="Times New Roman" w:cs="Times New Roman"/>
          <w:color w:val="000000"/>
          <w:sz w:val="24"/>
          <w:szCs w:val="24"/>
        </w:rPr>
        <w:t>Kajian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w:t>
      </w:r>
      <w:proofErr w:type="spellEnd"/>
      <w:r>
        <w:rPr>
          <w:rFonts w:ascii="Times New Roman" w:eastAsia="Times New Roman" w:hAnsi="Times New Roman" w:cs="Times New Roman"/>
          <w:color w:val="000000"/>
          <w:sz w:val="24"/>
          <w:szCs w:val="24"/>
        </w:rPr>
        <w:t xml:space="preserve"> di Masjid </w:t>
      </w:r>
      <w:proofErr w:type="spellStart"/>
      <w:r>
        <w:rPr>
          <w:rFonts w:ascii="Times New Roman" w:eastAsia="Times New Roman" w:hAnsi="Times New Roman" w:cs="Times New Roman"/>
          <w:color w:val="000000"/>
          <w:sz w:val="24"/>
          <w:szCs w:val="24"/>
        </w:rPr>
        <w:t>Cemerlang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Al-</w:t>
      </w:r>
      <w:proofErr w:type="spellStart"/>
      <w:r>
        <w:rPr>
          <w:rFonts w:ascii="Times New Roman" w:eastAsia="Times New Roman" w:hAnsi="Times New Roman" w:cs="Times New Roman"/>
          <w:i/>
          <w:color w:val="000000"/>
          <w:sz w:val="24"/>
          <w:szCs w:val="24"/>
        </w:rPr>
        <w:t>Qanatir</w:t>
      </w:r>
      <w:proofErr w:type="spellEnd"/>
      <w:r>
        <w:rPr>
          <w:rFonts w:ascii="Times New Roman" w:eastAsia="Times New Roman" w:hAnsi="Times New Roman" w:cs="Times New Roman"/>
          <w:i/>
          <w:color w:val="000000"/>
          <w:sz w:val="24"/>
          <w:szCs w:val="24"/>
        </w:rPr>
        <w:t xml:space="preserve">: International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Journal of Islamic Studies, 33</w:t>
      </w:r>
      <w:r>
        <w:rPr>
          <w:rFonts w:ascii="Times New Roman" w:eastAsia="Times New Roman" w:hAnsi="Times New Roman" w:cs="Times New Roman"/>
          <w:color w:val="000000"/>
          <w:sz w:val="24"/>
          <w:szCs w:val="24"/>
        </w:rPr>
        <w:t xml:space="preserve">(3), 26-36. </w:t>
      </w:r>
    </w:p>
    <w:p w14:paraId="0CA85DF5" w14:textId="278FBAEB"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Santeramo</w:t>
      </w:r>
      <w:proofErr w:type="spellEnd"/>
      <w:r>
        <w:rPr>
          <w:rFonts w:ascii="Times New Roman" w:eastAsia="Times New Roman" w:hAnsi="Times New Roman" w:cs="Times New Roman"/>
          <w:color w:val="000000"/>
          <w:sz w:val="24"/>
          <w:szCs w:val="24"/>
        </w:rPr>
        <w:t xml:space="preserve">, F. G. (2015). On the composite indicators for food security: Decisions matter! </w:t>
      </w:r>
      <w:r>
        <w:rPr>
          <w:rFonts w:ascii="Times New Roman" w:eastAsia="Times New Roman" w:hAnsi="Times New Roman" w:cs="Times New Roman"/>
          <w:i/>
          <w:color w:val="000000"/>
          <w:sz w:val="24"/>
          <w:szCs w:val="24"/>
        </w:rPr>
        <w:t xml:space="preserve">Food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Reviews International, 31</w:t>
      </w:r>
      <w:r>
        <w:rPr>
          <w:rFonts w:ascii="Times New Roman" w:eastAsia="Times New Roman" w:hAnsi="Times New Roman" w:cs="Times New Roman"/>
          <w:color w:val="000000"/>
          <w:sz w:val="24"/>
          <w:szCs w:val="24"/>
        </w:rPr>
        <w:t xml:space="preserve">(1), 63-73. </w:t>
      </w:r>
    </w:p>
    <w:p w14:paraId="322936ED" w14:textId="0E61D5A2"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Suleiman, H., &amp; </w:t>
      </w:r>
      <w:proofErr w:type="spellStart"/>
      <w:r>
        <w:rPr>
          <w:rFonts w:ascii="Times New Roman" w:eastAsia="Times New Roman" w:hAnsi="Times New Roman" w:cs="Times New Roman"/>
          <w:color w:val="000000"/>
          <w:sz w:val="24"/>
          <w:szCs w:val="24"/>
        </w:rPr>
        <w:t>Farid</w:t>
      </w:r>
      <w:proofErr w:type="spellEnd"/>
      <w:r>
        <w:rPr>
          <w:rFonts w:ascii="Times New Roman" w:eastAsia="Times New Roman" w:hAnsi="Times New Roman" w:cs="Times New Roman"/>
          <w:color w:val="000000"/>
          <w:sz w:val="24"/>
          <w:szCs w:val="24"/>
        </w:rPr>
        <w:t xml:space="preserve">, N. A. M. (2023). The rate of divorce among Muslims couples in Malaysia: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 legal analysis of the causes and consequences. </w:t>
      </w:r>
      <w:r>
        <w:rPr>
          <w:rFonts w:ascii="Times New Roman" w:eastAsia="Times New Roman" w:hAnsi="Times New Roman" w:cs="Times New Roman"/>
          <w:i/>
          <w:color w:val="000000"/>
          <w:sz w:val="24"/>
          <w:szCs w:val="24"/>
        </w:rPr>
        <w:t xml:space="preserve">IIUM Journal of Religion and </w:t>
      </w:r>
      <w:proofErr w:type="spellStart"/>
      <w:r>
        <w:rPr>
          <w:rFonts w:ascii="Times New Roman" w:eastAsia="Times New Roman" w:hAnsi="Times New Roman" w:cs="Times New Roman"/>
          <w:i/>
          <w:color w:val="000000"/>
          <w:sz w:val="24"/>
          <w:szCs w:val="24"/>
        </w:rPr>
        <w:t>Civilisational</w:t>
      </w:r>
      <w:proofErr w:type="spellEnd"/>
      <w:r>
        <w:rPr>
          <w:rFonts w:ascii="Times New Roman" w:eastAsia="Times New Roman" w:hAnsi="Times New Roman" w:cs="Times New Roman"/>
          <w:i/>
          <w:color w:val="000000"/>
          <w:sz w:val="24"/>
          <w:szCs w:val="24"/>
        </w:rPr>
        <w:t xml:space="preserve">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Studies, 6</w:t>
      </w:r>
      <w:r>
        <w:rPr>
          <w:rFonts w:ascii="Times New Roman" w:eastAsia="Times New Roman" w:hAnsi="Times New Roman" w:cs="Times New Roman"/>
          <w:color w:val="000000"/>
          <w:sz w:val="24"/>
          <w:szCs w:val="24"/>
        </w:rPr>
        <w:t xml:space="preserve">(1), 25-43. </w:t>
      </w:r>
    </w:p>
    <w:p w14:paraId="722D0167" w14:textId="630EEA32"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Sulong</w:t>
      </w:r>
      <w:proofErr w:type="spellEnd"/>
      <w:r>
        <w:rPr>
          <w:rFonts w:ascii="Times New Roman" w:eastAsia="Times New Roman" w:hAnsi="Times New Roman" w:cs="Times New Roman"/>
          <w:color w:val="000000"/>
          <w:sz w:val="24"/>
          <w:szCs w:val="24"/>
        </w:rPr>
        <w:t xml:space="preserve">, Z., Chowdhury, M. A. F., Abdullah, M., &amp; Hall, C. M. (2024). Constructing sustainable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halal tourism composite performance index for the global halal tourism industry. </w:t>
      </w:r>
      <w:r>
        <w:rPr>
          <w:rFonts w:ascii="Times New Roman" w:eastAsia="Times New Roman" w:hAnsi="Times New Roman" w:cs="Times New Roman"/>
          <w:i/>
          <w:color w:val="000000"/>
          <w:sz w:val="24"/>
          <w:szCs w:val="24"/>
        </w:rPr>
        <w:t xml:space="preserve">Asia </w:t>
      </w:r>
      <w:r w:rsidR="00B22B7A">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Pacific Journal of Tourism Research, 29</w:t>
      </w:r>
      <w:r>
        <w:rPr>
          <w:rFonts w:ascii="Times New Roman" w:eastAsia="Times New Roman" w:hAnsi="Times New Roman" w:cs="Times New Roman"/>
          <w:color w:val="000000"/>
          <w:sz w:val="24"/>
          <w:szCs w:val="24"/>
        </w:rPr>
        <w:t xml:space="preserve">(7), 852–868. </w:t>
      </w:r>
    </w:p>
    <w:p w14:paraId="439BCE6B" w14:textId="4E3B77E6"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 L. M., &amp; </w:t>
      </w:r>
      <w:proofErr w:type="spellStart"/>
      <w:r>
        <w:rPr>
          <w:rFonts w:ascii="Times New Roman" w:eastAsia="Times New Roman" w:hAnsi="Times New Roman" w:cs="Times New Roman"/>
          <w:color w:val="000000"/>
          <w:sz w:val="24"/>
          <w:szCs w:val="24"/>
        </w:rPr>
        <w:t>Laswad</w:t>
      </w:r>
      <w:proofErr w:type="spellEnd"/>
      <w:r>
        <w:rPr>
          <w:rFonts w:ascii="Times New Roman" w:eastAsia="Times New Roman" w:hAnsi="Times New Roman" w:cs="Times New Roman"/>
          <w:color w:val="000000"/>
          <w:sz w:val="24"/>
          <w:szCs w:val="24"/>
        </w:rPr>
        <w:t xml:space="preserve">, F. (2018). Professional skills required of accountants: What do job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advertisements tell us? </w:t>
      </w:r>
      <w:r>
        <w:rPr>
          <w:rFonts w:ascii="Times New Roman" w:eastAsia="Times New Roman" w:hAnsi="Times New Roman" w:cs="Times New Roman"/>
          <w:i/>
          <w:color w:val="000000"/>
          <w:sz w:val="24"/>
          <w:szCs w:val="24"/>
        </w:rPr>
        <w:t>Accounting Education, 27</w:t>
      </w:r>
      <w:r>
        <w:rPr>
          <w:rFonts w:ascii="Times New Roman" w:eastAsia="Times New Roman" w:hAnsi="Times New Roman" w:cs="Times New Roman"/>
          <w:color w:val="000000"/>
          <w:sz w:val="24"/>
          <w:szCs w:val="24"/>
        </w:rPr>
        <w:t xml:space="preserve">(4), 403-432. </w:t>
      </w:r>
    </w:p>
    <w:p w14:paraId="4B4ABE68" w14:textId="1F5EFF09"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Thaker</w:t>
      </w:r>
      <w:proofErr w:type="spellEnd"/>
      <w:r>
        <w:rPr>
          <w:rFonts w:ascii="Times New Roman" w:eastAsia="Times New Roman" w:hAnsi="Times New Roman" w:cs="Times New Roman"/>
          <w:color w:val="000000"/>
          <w:sz w:val="24"/>
          <w:szCs w:val="24"/>
        </w:rPr>
        <w:t xml:space="preserve">, M. A. B. M. T., </w:t>
      </w:r>
      <w:proofErr w:type="spellStart"/>
      <w:r>
        <w:rPr>
          <w:rFonts w:ascii="Times New Roman" w:eastAsia="Times New Roman" w:hAnsi="Times New Roman" w:cs="Times New Roman"/>
          <w:color w:val="000000"/>
          <w:sz w:val="24"/>
          <w:szCs w:val="24"/>
        </w:rPr>
        <w:t>Thaker</w:t>
      </w:r>
      <w:proofErr w:type="spellEnd"/>
      <w:r>
        <w:rPr>
          <w:rFonts w:ascii="Times New Roman" w:eastAsia="Times New Roman" w:hAnsi="Times New Roman" w:cs="Times New Roman"/>
          <w:color w:val="000000"/>
          <w:sz w:val="24"/>
          <w:szCs w:val="24"/>
        </w:rPr>
        <w:t xml:space="preserve">, H. B. M. T., </w:t>
      </w:r>
      <w:proofErr w:type="spellStart"/>
      <w:r>
        <w:rPr>
          <w:rFonts w:ascii="Times New Roman" w:eastAsia="Times New Roman" w:hAnsi="Times New Roman" w:cs="Times New Roman"/>
          <w:color w:val="000000"/>
          <w:sz w:val="24"/>
          <w:szCs w:val="24"/>
        </w:rPr>
        <w:t>Pitchay</w:t>
      </w:r>
      <w:proofErr w:type="spellEnd"/>
      <w:r>
        <w:rPr>
          <w:rFonts w:ascii="Times New Roman" w:eastAsia="Times New Roman" w:hAnsi="Times New Roman" w:cs="Times New Roman"/>
          <w:color w:val="000000"/>
          <w:sz w:val="24"/>
          <w:szCs w:val="24"/>
        </w:rPr>
        <w:t xml:space="preserve">, A. B. A., &amp; </w:t>
      </w:r>
      <w:proofErr w:type="spellStart"/>
      <w:r>
        <w:rPr>
          <w:rFonts w:ascii="Times New Roman" w:eastAsia="Times New Roman" w:hAnsi="Times New Roman" w:cs="Times New Roman"/>
          <w:color w:val="000000"/>
          <w:sz w:val="24"/>
          <w:szCs w:val="24"/>
        </w:rPr>
        <w:t>Khaliq</w:t>
      </w:r>
      <w:proofErr w:type="spellEnd"/>
      <w:r>
        <w:rPr>
          <w:rFonts w:ascii="Times New Roman" w:eastAsia="Times New Roman" w:hAnsi="Times New Roman" w:cs="Times New Roman"/>
          <w:color w:val="000000"/>
          <w:sz w:val="24"/>
          <w:szCs w:val="24"/>
        </w:rPr>
        <w:t xml:space="preserve">, A. B. (2019). A proposed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integrated Zakat-Crowdfunding Model (IZCM) for effective collection and distribution of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zakat fund in Malaysia. </w:t>
      </w:r>
      <w:r>
        <w:rPr>
          <w:rFonts w:ascii="Times New Roman" w:eastAsia="Times New Roman" w:hAnsi="Times New Roman" w:cs="Times New Roman"/>
          <w:i/>
          <w:color w:val="000000"/>
          <w:sz w:val="24"/>
          <w:szCs w:val="24"/>
        </w:rPr>
        <w:t>International Journal of Zakat and Islamic Philanthropy, 1</w:t>
      </w:r>
      <w:r>
        <w:rPr>
          <w:rFonts w:ascii="Times New Roman" w:eastAsia="Times New Roman" w:hAnsi="Times New Roman" w:cs="Times New Roman"/>
          <w:color w:val="000000"/>
          <w:sz w:val="24"/>
          <w:szCs w:val="24"/>
        </w:rPr>
        <w:t xml:space="preserve">(2), 1-12. </w:t>
      </w:r>
    </w:p>
    <w:p w14:paraId="0D7765F7" w14:textId="0D4EDCBF"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Widiastuti</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Prasetyo</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Robani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Mawardi</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Rosida</w:t>
      </w:r>
      <w:proofErr w:type="spellEnd"/>
      <w:r>
        <w:rPr>
          <w:rFonts w:ascii="Times New Roman" w:eastAsia="Times New Roman" w:hAnsi="Times New Roman" w:cs="Times New Roman"/>
          <w:color w:val="000000"/>
          <w:sz w:val="24"/>
          <w:szCs w:val="24"/>
        </w:rPr>
        <w:t xml:space="preserve">, R., &amp; Al </w:t>
      </w:r>
      <w:proofErr w:type="spellStart"/>
      <w:r>
        <w:rPr>
          <w:rFonts w:ascii="Times New Roman" w:eastAsia="Times New Roman" w:hAnsi="Times New Roman" w:cs="Times New Roman"/>
          <w:color w:val="000000"/>
          <w:sz w:val="24"/>
          <w:szCs w:val="24"/>
        </w:rPr>
        <w:t>Mustofa</w:t>
      </w:r>
      <w:proofErr w:type="spellEnd"/>
      <w:r>
        <w:rPr>
          <w:rFonts w:ascii="Times New Roman" w:eastAsia="Times New Roman" w:hAnsi="Times New Roman" w:cs="Times New Roman"/>
          <w:color w:val="000000"/>
          <w:sz w:val="24"/>
          <w:szCs w:val="24"/>
        </w:rPr>
        <w:t xml:space="preserve">, M. U. (2022).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Toward developing a sustainability index for the Islamic Social Finance program: An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empirical investigation.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 17</w:t>
      </w:r>
      <w:r>
        <w:rPr>
          <w:rFonts w:ascii="Times New Roman" w:eastAsia="Times New Roman" w:hAnsi="Times New Roman" w:cs="Times New Roman"/>
          <w:color w:val="000000"/>
          <w:sz w:val="24"/>
          <w:szCs w:val="24"/>
        </w:rPr>
        <w:t xml:space="preserve">(11), e0276876. </w:t>
      </w:r>
    </w:p>
    <w:p w14:paraId="388F6177" w14:textId="25774B9A"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Wiratama</w:t>
      </w:r>
      <w:proofErr w:type="spellEnd"/>
      <w:r>
        <w:rPr>
          <w:rFonts w:ascii="Times New Roman" w:eastAsia="Times New Roman" w:hAnsi="Times New Roman" w:cs="Times New Roman"/>
          <w:color w:val="000000"/>
          <w:sz w:val="24"/>
          <w:szCs w:val="24"/>
        </w:rPr>
        <w:t xml:space="preserve">, B. F., &amp; </w:t>
      </w:r>
      <w:proofErr w:type="spellStart"/>
      <w:r>
        <w:rPr>
          <w:rFonts w:ascii="Times New Roman" w:eastAsia="Times New Roman" w:hAnsi="Times New Roman" w:cs="Times New Roman"/>
          <w:color w:val="000000"/>
          <w:sz w:val="24"/>
          <w:szCs w:val="24"/>
        </w:rPr>
        <w:t>Safitri</w:t>
      </w:r>
      <w:proofErr w:type="spellEnd"/>
      <w:r>
        <w:rPr>
          <w:rFonts w:ascii="Times New Roman" w:eastAsia="Times New Roman" w:hAnsi="Times New Roman" w:cs="Times New Roman"/>
          <w:color w:val="000000"/>
          <w:sz w:val="24"/>
          <w:szCs w:val="24"/>
        </w:rPr>
        <w:t xml:space="preserve">, Z. (2023). Measuring the development of Islamic education in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Indonesia. </w:t>
      </w:r>
      <w:r>
        <w:rPr>
          <w:rFonts w:ascii="Times New Roman" w:eastAsia="Times New Roman" w:hAnsi="Times New Roman" w:cs="Times New Roman"/>
          <w:i/>
          <w:color w:val="000000"/>
          <w:sz w:val="24"/>
          <w:szCs w:val="24"/>
        </w:rPr>
        <w:t>Muslim Education Review, 2</w:t>
      </w:r>
      <w:r>
        <w:rPr>
          <w:rFonts w:ascii="Times New Roman" w:eastAsia="Times New Roman" w:hAnsi="Times New Roman" w:cs="Times New Roman"/>
          <w:color w:val="000000"/>
          <w:sz w:val="24"/>
          <w:szCs w:val="24"/>
        </w:rPr>
        <w:t xml:space="preserve">(1), 27-41. </w:t>
      </w:r>
    </w:p>
    <w:p w14:paraId="6F9AD690" w14:textId="3C8362CE"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A. U., Abdullah, M. R. T. L., &amp;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A.-A. (2022). Co-creation on redefining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consumer well-being needs among youth through self-potential development model.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Frontiers in Psychology, 13</w:t>
      </w:r>
      <w:r>
        <w:rPr>
          <w:rFonts w:ascii="Times New Roman" w:eastAsia="Times New Roman" w:hAnsi="Times New Roman" w:cs="Times New Roman"/>
          <w:color w:val="000000"/>
          <w:sz w:val="24"/>
          <w:szCs w:val="24"/>
        </w:rPr>
        <w:t xml:space="preserve">, 814757. </w:t>
      </w:r>
    </w:p>
    <w:p w14:paraId="22264554" w14:textId="19EB70BA"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M. I. I.,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A.-A., &amp; Abdullah, M. R. T. L. (2024). Exploring factors affecting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the sustainability of Islamic affairs in Malaysia: An Interpretive Structural Modeling (ISM)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Approach. </w:t>
      </w:r>
      <w:r>
        <w:rPr>
          <w:rFonts w:ascii="Times New Roman" w:eastAsia="Times New Roman" w:hAnsi="Times New Roman" w:cs="Times New Roman"/>
          <w:i/>
          <w:color w:val="000000"/>
          <w:sz w:val="24"/>
          <w:szCs w:val="24"/>
        </w:rPr>
        <w:t>International Journal of Sustainable Development &amp; Planning, 19</w:t>
      </w:r>
      <w:r>
        <w:rPr>
          <w:rFonts w:ascii="Times New Roman" w:eastAsia="Times New Roman" w:hAnsi="Times New Roman" w:cs="Times New Roman"/>
          <w:color w:val="000000"/>
          <w:sz w:val="24"/>
          <w:szCs w:val="24"/>
        </w:rPr>
        <w:t xml:space="preserve">(2), 703-713. </w:t>
      </w:r>
    </w:p>
    <w:p w14:paraId="313E7A76" w14:textId="3B70A64A" w:rsidR="00893361" w:rsidRDefault="00252E94">
      <w:pPr>
        <w:pBdr>
          <w:top w:val="nil"/>
          <w:left w:val="nil"/>
          <w:bottom w:val="nil"/>
          <w:right w:val="nil"/>
          <w:between w:val="nil"/>
        </w:pBdr>
        <w:tabs>
          <w:tab w:val="left" w:pos="567"/>
        </w:tabs>
        <w:spacing w:after="0" w:line="240" w:lineRule="auto"/>
        <w:ind w:left="0" w:hanging="2"/>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lastRenderedPageBreak/>
        <w:t>Zulkifli</w:t>
      </w:r>
      <w:proofErr w:type="spellEnd"/>
      <w:r>
        <w:rPr>
          <w:rFonts w:ascii="Times New Roman" w:eastAsia="Times New Roman" w:hAnsi="Times New Roman" w:cs="Times New Roman"/>
          <w:color w:val="000000"/>
          <w:sz w:val="24"/>
          <w:szCs w:val="24"/>
        </w:rPr>
        <w:t xml:space="preserve">, M. F., </w:t>
      </w:r>
      <w:proofErr w:type="spellStart"/>
      <w:r>
        <w:rPr>
          <w:rFonts w:ascii="Times New Roman" w:eastAsia="Times New Roman" w:hAnsi="Times New Roman" w:cs="Times New Roman"/>
          <w:color w:val="000000"/>
          <w:sz w:val="24"/>
          <w:szCs w:val="24"/>
        </w:rPr>
        <w:t>Taha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Awang</w:t>
      </w:r>
      <w:proofErr w:type="spellEnd"/>
      <w:r>
        <w:rPr>
          <w:rFonts w:ascii="Times New Roman" w:eastAsia="Times New Roman" w:hAnsi="Times New Roman" w:cs="Times New Roman"/>
          <w:color w:val="000000"/>
          <w:sz w:val="24"/>
          <w:szCs w:val="24"/>
        </w:rPr>
        <w:t xml:space="preserve">, R. N.,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Nor</w:t>
      </w:r>
      <w:proofErr w:type="gramEnd"/>
      <w:r>
        <w:rPr>
          <w:rFonts w:ascii="Times New Roman" w:eastAsia="Times New Roman" w:hAnsi="Times New Roman" w:cs="Times New Roman"/>
          <w:color w:val="000000"/>
          <w:sz w:val="24"/>
          <w:szCs w:val="24"/>
        </w:rPr>
        <w:t xml:space="preserve">, M. N., &amp; Ali, A. (2021). Combating poverty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 Malaysia: The role of zakat. </w:t>
      </w:r>
      <w:r>
        <w:rPr>
          <w:rFonts w:ascii="Times New Roman" w:eastAsia="Times New Roman" w:hAnsi="Times New Roman" w:cs="Times New Roman"/>
          <w:i/>
          <w:color w:val="000000"/>
          <w:sz w:val="24"/>
          <w:szCs w:val="24"/>
        </w:rPr>
        <w:t>The Journal of Asian Finance, Economics and Business, 8</w:t>
      </w:r>
      <w:r>
        <w:rPr>
          <w:rFonts w:ascii="Times New Roman" w:eastAsia="Times New Roman" w:hAnsi="Times New Roman" w:cs="Times New Roman"/>
          <w:color w:val="000000"/>
          <w:sz w:val="24"/>
          <w:szCs w:val="24"/>
        </w:rPr>
        <w:t xml:space="preserve">(5), </w:t>
      </w:r>
      <w:r w:rsidR="00B22B7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505-513. </w:t>
      </w:r>
    </w:p>
    <w:p w14:paraId="44ECDDA1" w14:textId="77777777" w:rsidR="00893361" w:rsidRDefault="00893361">
      <w:pPr>
        <w:spacing w:after="0" w:line="240" w:lineRule="auto"/>
        <w:ind w:left="0" w:hanging="2"/>
        <w:rPr>
          <w:rFonts w:ascii="Times New Roman" w:eastAsia="Times New Roman" w:hAnsi="Times New Roman" w:cs="Times New Roman"/>
          <w:b/>
          <w:sz w:val="24"/>
          <w:szCs w:val="24"/>
        </w:rPr>
      </w:pPr>
    </w:p>
    <w:sectPr w:rsidR="00893361" w:rsidSect="008916D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8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B25A8" w14:textId="77777777" w:rsidR="00A93B26" w:rsidRDefault="00A93B26">
      <w:pPr>
        <w:spacing w:after="0" w:line="240" w:lineRule="auto"/>
        <w:ind w:left="0" w:hanging="2"/>
      </w:pPr>
      <w:r>
        <w:separator/>
      </w:r>
    </w:p>
  </w:endnote>
  <w:endnote w:type="continuationSeparator" w:id="0">
    <w:p w14:paraId="2BFCFFA7" w14:textId="77777777" w:rsidR="00A93B26" w:rsidRDefault="00A93B2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64E9E12-655A-43B3-BC6D-19414DDABB9F}"/>
    <w:embedBold r:id="rId2" w:fontKey="{F6920E79-A648-4A2E-808A-947B24964E19}"/>
  </w:font>
  <w:font w:name="Cambria">
    <w:panose1 w:val="02040503050406030204"/>
    <w:charset w:val="00"/>
    <w:family w:val="roman"/>
    <w:pitch w:val="variable"/>
    <w:sig w:usb0="E00006FF" w:usb1="420024FF" w:usb2="02000000" w:usb3="00000000" w:csb0="0000019F" w:csb1="00000000"/>
    <w:embedRegular r:id="rId3" w:fontKey="{48592019-D1CB-4B4D-9ABE-1C7D583FE89A}"/>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07262F3-1EE0-4113-9DCF-D55F1EB8078C}"/>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B550C67-4A03-4AE0-8DE4-1C61483BA26B}"/>
  </w:font>
  <w:font w:name="Georgia">
    <w:panose1 w:val="02040502050405020303"/>
    <w:charset w:val="00"/>
    <w:family w:val="roman"/>
    <w:pitch w:val="variable"/>
    <w:sig w:usb0="00000287" w:usb1="00000000" w:usb2="00000000" w:usb3="00000000" w:csb0="0000009F" w:csb1="00000000"/>
    <w:embedRegular r:id="rId6" w:fontKey="{DA3E4928-017B-4D5B-A55B-C3AD7A75C9EF}"/>
    <w:embedItalic r:id="rId7" w:fontKey="{D7A32202-0C21-439D-8B41-7B14A65F037F}"/>
  </w:font>
  <w:font w:name="Arial">
    <w:panose1 w:val="020B0604020202020204"/>
    <w:charset w:val="00"/>
    <w:family w:val="swiss"/>
    <w:pitch w:val="variable"/>
    <w:sig w:usb0="E0002EFF" w:usb1="C000785B" w:usb2="00000009" w:usb3="00000000" w:csb0="000001FF" w:csb1="00000000"/>
  </w:font>
  <w:font w:name="Caudex">
    <w:charset w:val="00"/>
    <w:family w:val="auto"/>
    <w:pitch w:val="default"/>
    <w:embedRegular r:id="rId8" w:fontKey="{90328FBB-C883-4DDF-97C7-BC064CCE4DDA}"/>
  </w:font>
  <w:font w:name="Gungsuh">
    <w:charset w:val="81"/>
    <w:family w:val="roman"/>
    <w:pitch w:val="variable"/>
    <w:sig w:usb0="B00002AF" w:usb1="69D77CFB" w:usb2="00000030" w:usb3="00000000" w:csb0="0008009F" w:csb1="00000000"/>
    <w:embedRegular r:id="rId9" w:subsetted="1" w:fontKey="{45205375-135F-461F-AE06-6F490CC853A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965C" w14:textId="77777777" w:rsidR="00893361" w:rsidRDefault="00893361">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FD3A" w14:textId="77777777" w:rsidR="00893361" w:rsidRDefault="00893361">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C63B" w14:textId="77777777" w:rsidR="00893361" w:rsidRDefault="00893361">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421F3" w14:textId="77777777" w:rsidR="00A93B26" w:rsidRDefault="00A93B26">
      <w:pPr>
        <w:spacing w:after="0" w:line="240" w:lineRule="auto"/>
        <w:ind w:left="0" w:hanging="2"/>
      </w:pPr>
      <w:r>
        <w:separator/>
      </w:r>
    </w:p>
  </w:footnote>
  <w:footnote w:type="continuationSeparator" w:id="0">
    <w:p w14:paraId="45E5927D" w14:textId="77777777" w:rsidR="00A93B26" w:rsidRDefault="00A93B2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E5CE1" w14:textId="77777777" w:rsidR="00893361" w:rsidRDefault="00893361">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7288" w14:textId="1E85E6F8" w:rsidR="008916D4" w:rsidRPr="008916D4" w:rsidRDefault="008916D4" w:rsidP="008916D4">
    <w:pPr>
      <w:tabs>
        <w:tab w:val="center" w:pos="4680"/>
        <w:tab w:val="right" w:pos="9360"/>
      </w:tabs>
      <w:spacing w:after="0" w:line="240" w:lineRule="auto"/>
      <w:ind w:left="0" w:hanging="2"/>
      <w:rPr>
        <w:rFonts w:ascii="Times New Roman" w:hAnsi="Times New Roman" w:cs="Times New Roman"/>
        <w:sz w:val="18"/>
        <w:szCs w:val="18"/>
      </w:rPr>
    </w:pPr>
    <w:proofErr w:type="spellStart"/>
    <w:r w:rsidRPr="008916D4">
      <w:rPr>
        <w:rFonts w:ascii="Times New Roman" w:hAnsi="Times New Roman" w:cs="Times New Roman"/>
        <w:sz w:val="18"/>
        <w:szCs w:val="18"/>
      </w:rPr>
      <w:t>Geografia</w:t>
    </w:r>
    <w:proofErr w:type="spellEnd"/>
    <w:r w:rsidRPr="008916D4">
      <w:rPr>
        <w:rFonts w:ascii="Times New Roman" w:hAnsi="Times New Roman" w:cs="Times New Roman"/>
        <w:sz w:val="18"/>
        <w:szCs w:val="18"/>
      </w:rPr>
      <w:t>-Malaysian Journal of Society and Space 21 issue 2 (</w:t>
    </w:r>
    <w:r w:rsidR="00E97297">
      <w:rPr>
        <w:rFonts w:ascii="Times New Roman" w:hAnsi="Times New Roman" w:cs="Times New Roman"/>
        <w:sz w:val="18"/>
        <w:szCs w:val="18"/>
      </w:rPr>
      <w:t>187-198</w:t>
    </w:r>
    <w:r w:rsidRPr="008916D4">
      <w:rPr>
        <w:rFonts w:ascii="Times New Roman" w:hAnsi="Times New Roman" w:cs="Times New Roman"/>
        <w:sz w:val="18"/>
        <w:szCs w:val="18"/>
      </w:rPr>
      <w:t>)</w:t>
    </w:r>
    <w:r w:rsidRPr="008916D4">
      <w:rPr>
        <w:rFonts w:ascii="Times New Roman" w:hAnsi="Times New Roman" w:cs="Times New Roman"/>
        <w:sz w:val="18"/>
        <w:szCs w:val="18"/>
      </w:rPr>
      <w:tab/>
    </w:r>
  </w:p>
  <w:p w14:paraId="3C285820" w14:textId="788ECC08" w:rsidR="008916D4" w:rsidRPr="008916D4" w:rsidRDefault="008916D4" w:rsidP="008916D4">
    <w:pPr>
      <w:pStyle w:val="Header"/>
      <w:ind w:left="0" w:hanging="2"/>
      <w:rPr>
        <w:rFonts w:ascii="Times New Roman" w:hAnsi="Times New Roman" w:cs="Times New Roman"/>
        <w:sz w:val="18"/>
        <w:szCs w:val="18"/>
      </w:rPr>
    </w:pPr>
    <w:r w:rsidRPr="008916D4">
      <w:rPr>
        <w:rFonts w:ascii="Times New Roman" w:hAnsi="Times New Roman" w:cs="Times New Roman"/>
        <w:sz w:val="18"/>
        <w:szCs w:val="18"/>
      </w:rPr>
      <w:t xml:space="preserve">© 2025, e-ISSN2682-7727  </w:t>
    </w:r>
    <w:bookmarkStart w:id="3" w:name="_GoBack"/>
    <w:r w:rsidR="00E97297" w:rsidRPr="00E97297">
      <w:rPr>
        <w:rFonts w:ascii="Times New Roman" w:hAnsi="Times New Roman" w:cs="Times New Roman"/>
        <w:sz w:val="18"/>
        <w:szCs w:val="18"/>
      </w:rPr>
      <w:fldChar w:fldCharType="begin"/>
    </w:r>
    <w:r w:rsidR="00E97297" w:rsidRPr="00E97297">
      <w:rPr>
        <w:rFonts w:ascii="Times New Roman" w:hAnsi="Times New Roman" w:cs="Times New Roman"/>
        <w:sz w:val="18"/>
        <w:szCs w:val="18"/>
      </w:rPr>
      <w:instrText xml:space="preserve"> HYPERLINK "https://doi.org/10.17576/geo-2025-2102-13" </w:instrText>
    </w:r>
    <w:r w:rsidR="00E97297" w:rsidRPr="00E97297">
      <w:rPr>
        <w:rFonts w:ascii="Times New Roman" w:hAnsi="Times New Roman" w:cs="Times New Roman"/>
        <w:sz w:val="18"/>
        <w:szCs w:val="18"/>
      </w:rPr>
    </w:r>
    <w:r w:rsidR="00E97297" w:rsidRPr="00E97297">
      <w:rPr>
        <w:rFonts w:ascii="Times New Roman" w:hAnsi="Times New Roman" w:cs="Times New Roman"/>
        <w:sz w:val="18"/>
        <w:szCs w:val="18"/>
      </w:rPr>
      <w:fldChar w:fldCharType="separate"/>
    </w:r>
    <w:r w:rsidRPr="00E97297">
      <w:rPr>
        <w:rStyle w:val="Hyperlink"/>
        <w:rFonts w:ascii="Times New Roman" w:hAnsi="Times New Roman" w:cs="Times New Roman"/>
        <w:color w:val="auto"/>
        <w:sz w:val="18"/>
        <w:szCs w:val="18"/>
        <w:u w:val="none"/>
      </w:rPr>
      <w:t>https://doi.org/10.17576/geo-2025-2102-13</w:t>
    </w:r>
    <w:r w:rsidR="00E97297" w:rsidRPr="00E97297">
      <w:rPr>
        <w:rFonts w:ascii="Times New Roman" w:hAnsi="Times New Roman" w:cs="Times New Roman"/>
        <w:sz w:val="18"/>
        <w:szCs w:val="18"/>
      </w:rPr>
      <w:fldChar w:fldCharType="end"/>
    </w:r>
    <w:bookmarkEnd w:id="3"/>
    <w:sdt>
      <w:sdtPr>
        <w:rPr>
          <w:rFonts w:ascii="Times New Roman" w:hAnsi="Times New Roman" w:cs="Times New Roman"/>
          <w:sz w:val="18"/>
          <w:szCs w:val="18"/>
        </w:rPr>
        <w:id w:val="143678801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8916D4">
          <w:rPr>
            <w:rFonts w:ascii="Times New Roman" w:hAnsi="Times New Roman" w:cs="Times New Roman"/>
            <w:sz w:val="18"/>
            <w:szCs w:val="18"/>
          </w:rPr>
          <w:fldChar w:fldCharType="begin"/>
        </w:r>
        <w:r w:rsidRPr="008916D4">
          <w:rPr>
            <w:rFonts w:ascii="Times New Roman" w:hAnsi="Times New Roman" w:cs="Times New Roman"/>
            <w:sz w:val="18"/>
            <w:szCs w:val="18"/>
          </w:rPr>
          <w:instrText xml:space="preserve"> PAGE   \* MERGEFORMAT </w:instrText>
        </w:r>
        <w:r w:rsidRPr="008916D4">
          <w:rPr>
            <w:rFonts w:ascii="Times New Roman" w:hAnsi="Times New Roman" w:cs="Times New Roman"/>
            <w:sz w:val="18"/>
            <w:szCs w:val="18"/>
          </w:rPr>
          <w:fldChar w:fldCharType="separate"/>
        </w:r>
        <w:r w:rsidR="00E97297">
          <w:rPr>
            <w:rFonts w:ascii="Times New Roman" w:hAnsi="Times New Roman" w:cs="Times New Roman"/>
            <w:noProof/>
            <w:sz w:val="18"/>
            <w:szCs w:val="18"/>
          </w:rPr>
          <w:t>198</w:t>
        </w:r>
        <w:r w:rsidRPr="008916D4">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8123" w14:textId="77777777" w:rsidR="00893361" w:rsidRDefault="00893361">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B38"/>
    <w:multiLevelType w:val="hybridMultilevel"/>
    <w:tmpl w:val="E0D6F22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E493CA7"/>
    <w:multiLevelType w:val="multilevel"/>
    <w:tmpl w:val="44468870"/>
    <w:lvl w:ilvl="0">
      <w:start w:val="1"/>
      <w:numFmt w:val="decimal"/>
      <w:lvlText w:val="%1)"/>
      <w:lvlJc w:val="left"/>
      <w:pPr>
        <w:ind w:left="5604" w:hanging="360"/>
      </w:pPr>
    </w:lvl>
    <w:lvl w:ilvl="1">
      <w:start w:val="1"/>
      <w:numFmt w:val="lowerLetter"/>
      <w:lvlText w:val="%2."/>
      <w:lvlJc w:val="left"/>
      <w:pPr>
        <w:ind w:left="6324" w:hanging="360"/>
      </w:pPr>
    </w:lvl>
    <w:lvl w:ilvl="2">
      <w:start w:val="1"/>
      <w:numFmt w:val="lowerRoman"/>
      <w:lvlText w:val="%3."/>
      <w:lvlJc w:val="right"/>
      <w:pPr>
        <w:ind w:left="7044" w:hanging="180"/>
      </w:pPr>
    </w:lvl>
    <w:lvl w:ilvl="3">
      <w:start w:val="1"/>
      <w:numFmt w:val="decimal"/>
      <w:lvlText w:val="%4."/>
      <w:lvlJc w:val="left"/>
      <w:pPr>
        <w:ind w:left="7764" w:hanging="360"/>
      </w:pPr>
    </w:lvl>
    <w:lvl w:ilvl="4">
      <w:start w:val="1"/>
      <w:numFmt w:val="lowerLetter"/>
      <w:lvlText w:val="%5."/>
      <w:lvlJc w:val="left"/>
      <w:pPr>
        <w:ind w:left="8484" w:hanging="360"/>
      </w:pPr>
    </w:lvl>
    <w:lvl w:ilvl="5">
      <w:start w:val="1"/>
      <w:numFmt w:val="lowerRoman"/>
      <w:lvlText w:val="%6."/>
      <w:lvlJc w:val="right"/>
      <w:pPr>
        <w:ind w:left="9204" w:hanging="180"/>
      </w:pPr>
    </w:lvl>
    <w:lvl w:ilvl="6">
      <w:start w:val="1"/>
      <w:numFmt w:val="decimal"/>
      <w:lvlText w:val="%7."/>
      <w:lvlJc w:val="left"/>
      <w:pPr>
        <w:ind w:left="9924" w:hanging="360"/>
      </w:pPr>
    </w:lvl>
    <w:lvl w:ilvl="7">
      <w:start w:val="1"/>
      <w:numFmt w:val="lowerLetter"/>
      <w:lvlText w:val="%8."/>
      <w:lvlJc w:val="left"/>
      <w:pPr>
        <w:ind w:left="10644" w:hanging="360"/>
      </w:pPr>
    </w:lvl>
    <w:lvl w:ilvl="8">
      <w:start w:val="1"/>
      <w:numFmt w:val="lowerRoman"/>
      <w:lvlText w:val="%9."/>
      <w:lvlJc w:val="right"/>
      <w:pPr>
        <w:ind w:left="11364" w:hanging="180"/>
      </w:pPr>
    </w:lvl>
  </w:abstractNum>
  <w:abstractNum w:abstractNumId="2" w15:restartNumberingAfterBreak="0">
    <w:nsid w:val="301E2A30"/>
    <w:multiLevelType w:val="multilevel"/>
    <w:tmpl w:val="5A18E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7C3AFC"/>
    <w:multiLevelType w:val="hybridMultilevel"/>
    <w:tmpl w:val="7E4A7C3C"/>
    <w:lvl w:ilvl="0" w:tplc="44090011">
      <w:start w:val="1"/>
      <w:numFmt w:val="decimal"/>
      <w:lvlText w:val="%1)"/>
      <w:lvlJc w:val="left"/>
      <w:pPr>
        <w:ind w:left="863" w:hanging="360"/>
      </w:pPr>
    </w:lvl>
    <w:lvl w:ilvl="1" w:tplc="44090019" w:tentative="1">
      <w:start w:val="1"/>
      <w:numFmt w:val="lowerLetter"/>
      <w:lvlText w:val="%2."/>
      <w:lvlJc w:val="left"/>
      <w:pPr>
        <w:ind w:left="1583" w:hanging="360"/>
      </w:pPr>
    </w:lvl>
    <w:lvl w:ilvl="2" w:tplc="4409001B" w:tentative="1">
      <w:start w:val="1"/>
      <w:numFmt w:val="lowerRoman"/>
      <w:lvlText w:val="%3."/>
      <w:lvlJc w:val="right"/>
      <w:pPr>
        <w:ind w:left="2303" w:hanging="180"/>
      </w:pPr>
    </w:lvl>
    <w:lvl w:ilvl="3" w:tplc="4409000F" w:tentative="1">
      <w:start w:val="1"/>
      <w:numFmt w:val="decimal"/>
      <w:lvlText w:val="%4."/>
      <w:lvlJc w:val="left"/>
      <w:pPr>
        <w:ind w:left="3023" w:hanging="360"/>
      </w:pPr>
    </w:lvl>
    <w:lvl w:ilvl="4" w:tplc="44090019" w:tentative="1">
      <w:start w:val="1"/>
      <w:numFmt w:val="lowerLetter"/>
      <w:lvlText w:val="%5."/>
      <w:lvlJc w:val="left"/>
      <w:pPr>
        <w:ind w:left="3743" w:hanging="360"/>
      </w:pPr>
    </w:lvl>
    <w:lvl w:ilvl="5" w:tplc="4409001B" w:tentative="1">
      <w:start w:val="1"/>
      <w:numFmt w:val="lowerRoman"/>
      <w:lvlText w:val="%6."/>
      <w:lvlJc w:val="right"/>
      <w:pPr>
        <w:ind w:left="4463" w:hanging="180"/>
      </w:pPr>
    </w:lvl>
    <w:lvl w:ilvl="6" w:tplc="4409000F" w:tentative="1">
      <w:start w:val="1"/>
      <w:numFmt w:val="decimal"/>
      <w:lvlText w:val="%7."/>
      <w:lvlJc w:val="left"/>
      <w:pPr>
        <w:ind w:left="5183" w:hanging="360"/>
      </w:pPr>
    </w:lvl>
    <w:lvl w:ilvl="7" w:tplc="44090019" w:tentative="1">
      <w:start w:val="1"/>
      <w:numFmt w:val="lowerLetter"/>
      <w:lvlText w:val="%8."/>
      <w:lvlJc w:val="left"/>
      <w:pPr>
        <w:ind w:left="5903" w:hanging="360"/>
      </w:pPr>
    </w:lvl>
    <w:lvl w:ilvl="8" w:tplc="4409001B" w:tentative="1">
      <w:start w:val="1"/>
      <w:numFmt w:val="lowerRoman"/>
      <w:lvlText w:val="%9."/>
      <w:lvlJc w:val="right"/>
      <w:pPr>
        <w:ind w:left="6623"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361"/>
    <w:rsid w:val="001E680B"/>
    <w:rsid w:val="00252E94"/>
    <w:rsid w:val="00593A90"/>
    <w:rsid w:val="005D6776"/>
    <w:rsid w:val="007C0763"/>
    <w:rsid w:val="008916D4"/>
    <w:rsid w:val="00893361"/>
    <w:rsid w:val="00A93B26"/>
    <w:rsid w:val="00B22B7A"/>
    <w:rsid w:val="00E9729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DB546"/>
  <w15:docId w15:val="{9EEF6E67-B327-46F9-AF3E-D97DF8AA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EndNoteBibliographyTitle">
    <w:name w:val="EndNote Bibliography Title"/>
    <w:basedOn w:val="Normal"/>
    <w:link w:val="EndNoteBibliographyTitleChar"/>
    <w:rsid w:val="00E41C83"/>
    <w:pPr>
      <w:spacing w:after="0"/>
      <w:jc w:val="center"/>
      <w:textDirection w:val="lrTb"/>
    </w:pPr>
    <w:rPr>
      <w:noProof/>
    </w:rPr>
  </w:style>
  <w:style w:type="character" w:customStyle="1" w:styleId="EndNoteBibliographyTitleChar">
    <w:name w:val="EndNote Bibliography Title Char"/>
    <w:basedOn w:val="DefaultParagraphFont"/>
    <w:link w:val="EndNoteBibliographyTitle"/>
    <w:rsid w:val="00E41C83"/>
    <w:rPr>
      <w:noProof/>
      <w:position w:val="-1"/>
      <w:lang w:eastAsia="en-US"/>
    </w:rPr>
  </w:style>
  <w:style w:type="paragraph" w:customStyle="1" w:styleId="EndNoteBibliography">
    <w:name w:val="EndNote Bibliography"/>
    <w:basedOn w:val="Normal"/>
    <w:link w:val="EndNoteBibliographyChar"/>
    <w:rsid w:val="00E41C83"/>
    <w:pPr>
      <w:spacing w:line="240" w:lineRule="auto"/>
      <w:textDirection w:val="lrTb"/>
    </w:pPr>
    <w:rPr>
      <w:noProof/>
    </w:rPr>
  </w:style>
  <w:style w:type="character" w:customStyle="1" w:styleId="EndNoteBibliographyChar">
    <w:name w:val="EndNote Bibliography Char"/>
    <w:basedOn w:val="DefaultParagraphFont"/>
    <w:link w:val="EndNoteBibliography"/>
    <w:rsid w:val="00E41C83"/>
    <w:rPr>
      <w:noProof/>
      <w:position w:val="-1"/>
      <w:lang w:eastAsia="en-US"/>
    </w:rPr>
  </w:style>
  <w:style w:type="table" w:customStyle="1" w:styleId="TableGrid3">
    <w:name w:val="Table Grid3"/>
    <w:basedOn w:val="TableNormal"/>
    <w:next w:val="TableGrid"/>
    <w:uiPriority w:val="39"/>
    <w:rsid w:val="006B4D5A"/>
    <w:pPr>
      <w:spacing w:after="0" w:line="240" w:lineRule="auto"/>
    </w:pPr>
    <w:rPr>
      <w:rFonts w:cs="Arial"/>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ohd_22000057@utp.edu.m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DCVP73FtS6mQ9Z84CKJMl11BVg==">CgMxLjAaJAoBMBIfCh0IB0IZCg9UaW1lcyBOZXcgUm9tYW4SBkNhdWRleBolCgExEiAKHggHQhoKD1RpbWVzIE5ldyBSb21hbhIHR3VuZ3N1aBolCgEyEiAKHggHQhoKD1RpbWVzIE5ldyBSb21hbhIHR3VuZ3N1aBokCgEzEh8KHQgHQhkKD1RpbWVzIE5ldyBSb21hbhIGQ2F1ZGV4MghoLmdqZGd4czIOaC43anJyMW9yZW9kMDQyDmgudmg2NW44YWh0dndsOAByITFsVjZJbE94enBocmpNamxRYVUtel9tckROeE5xX2ho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5154</Words>
  <Characters>29381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2025-05-27T08:52:00Z</dcterms:created>
  <dcterms:modified xsi:type="dcterms:W3CDTF">2025-05-27T08:55:00Z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c4113f76-89d0-4eb9-9051-342e6e8b1f01</vt:lpwstr>
  </property>
</Properties>
</file>