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061FF" w14:textId="77777777" w:rsidR="00F736FC" w:rsidRDefault="00103CC2">
      <w:pPr>
        <w:spacing w:after="0" w:line="240" w:lineRule="auto"/>
        <w:ind w:firstLine="0"/>
        <w:jc w:val="center"/>
        <w:rPr>
          <w:rFonts w:ascii="Times New Roman" w:eastAsia="Times New Roman" w:hAnsi="Times New Roman" w:cs="Times New Roman"/>
          <w:b/>
          <w:sz w:val="28"/>
          <w:szCs w:val="28"/>
        </w:rPr>
      </w:pPr>
      <w:bookmarkStart w:id="0" w:name="_heading=h.hluanjxb36k9" w:colFirst="0" w:colLast="0"/>
      <w:bookmarkEnd w:id="0"/>
      <w:r>
        <w:rPr>
          <w:rFonts w:ascii="Times New Roman" w:eastAsia="Times New Roman" w:hAnsi="Times New Roman" w:cs="Times New Roman"/>
          <w:b/>
          <w:sz w:val="28"/>
          <w:szCs w:val="28"/>
        </w:rPr>
        <w:t xml:space="preserve">Vulnerability of </w:t>
      </w:r>
      <w:proofErr w:type="spellStart"/>
      <w:r>
        <w:rPr>
          <w:rFonts w:ascii="Times New Roman" w:eastAsia="Times New Roman" w:hAnsi="Times New Roman" w:cs="Times New Roman"/>
          <w:b/>
          <w:sz w:val="28"/>
          <w:szCs w:val="28"/>
        </w:rPr>
        <w:t>Araceae</w:t>
      </w:r>
      <w:proofErr w:type="spellEnd"/>
      <w:r>
        <w:rPr>
          <w:rFonts w:ascii="Times New Roman" w:eastAsia="Times New Roman" w:hAnsi="Times New Roman" w:cs="Times New Roman"/>
          <w:b/>
          <w:sz w:val="28"/>
          <w:szCs w:val="28"/>
        </w:rPr>
        <w:t xml:space="preserve"> to social-ecological activities in </w:t>
      </w:r>
      <w:proofErr w:type="spellStart"/>
      <w:r>
        <w:rPr>
          <w:rFonts w:ascii="Times New Roman" w:eastAsia="Times New Roman" w:hAnsi="Times New Roman" w:cs="Times New Roman"/>
          <w:b/>
          <w:sz w:val="28"/>
          <w:szCs w:val="28"/>
        </w:rPr>
        <w:t>Kinabalu</w:t>
      </w:r>
      <w:proofErr w:type="spellEnd"/>
      <w:r>
        <w:rPr>
          <w:rFonts w:ascii="Times New Roman" w:eastAsia="Times New Roman" w:hAnsi="Times New Roman" w:cs="Times New Roman"/>
          <w:b/>
          <w:sz w:val="28"/>
          <w:szCs w:val="28"/>
        </w:rPr>
        <w:t xml:space="preserve"> UNESCO Global </w:t>
      </w:r>
      <w:proofErr w:type="spellStart"/>
      <w:r>
        <w:rPr>
          <w:rFonts w:ascii="Times New Roman" w:eastAsia="Times New Roman" w:hAnsi="Times New Roman" w:cs="Times New Roman"/>
          <w:b/>
          <w:sz w:val="28"/>
          <w:szCs w:val="28"/>
        </w:rPr>
        <w:t>Geopark</w:t>
      </w:r>
      <w:proofErr w:type="spellEnd"/>
      <w:r>
        <w:rPr>
          <w:rFonts w:ascii="Times New Roman" w:eastAsia="Times New Roman" w:hAnsi="Times New Roman" w:cs="Times New Roman"/>
          <w:b/>
          <w:sz w:val="28"/>
          <w:szCs w:val="28"/>
        </w:rPr>
        <w:t>, Sabah, Malaysia</w:t>
      </w:r>
    </w:p>
    <w:p w14:paraId="6A9C7170" w14:textId="77777777" w:rsidR="00F736FC" w:rsidRDefault="00F736FC">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p w14:paraId="0EB8D4FE" w14:textId="77777777" w:rsidR="00F736FC" w:rsidRDefault="00103CC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vertAlign w:val="superscript"/>
        </w:rPr>
      </w:pPr>
      <w:proofErr w:type="spellStart"/>
      <w:r>
        <w:rPr>
          <w:rFonts w:ascii="Times New Roman" w:eastAsia="Times New Roman" w:hAnsi="Times New Roman" w:cs="Times New Roman"/>
          <w:sz w:val="24"/>
          <w:szCs w:val="24"/>
        </w:rPr>
        <w:t>Rasyidah</w:t>
      </w:r>
      <w:proofErr w:type="spellEnd"/>
      <w:r>
        <w:rPr>
          <w:rFonts w:ascii="Times New Roman" w:eastAsia="Times New Roman" w:hAnsi="Times New Roman" w:cs="Times New Roman"/>
          <w:sz w:val="24"/>
          <w:szCs w:val="24"/>
        </w:rPr>
        <w:t xml:space="preserve"> Wahab</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Kartini</w:t>
      </w:r>
      <w:proofErr w:type="spellEnd"/>
      <w:r>
        <w:rPr>
          <w:rFonts w:ascii="Times New Roman" w:eastAsia="Times New Roman" w:hAnsi="Times New Roman" w:cs="Times New Roman"/>
          <w:color w:val="000000"/>
          <w:sz w:val="24"/>
          <w:szCs w:val="24"/>
        </w:rPr>
        <w:t xml:space="preserve"> Saibeh</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Badariah</w:t>
      </w:r>
      <w:proofErr w:type="spellEnd"/>
      <w:r>
        <w:rPr>
          <w:rFonts w:ascii="Times New Roman" w:eastAsia="Times New Roman" w:hAnsi="Times New Roman" w:cs="Times New Roman"/>
          <w:sz w:val="24"/>
          <w:szCs w:val="24"/>
        </w:rPr>
        <w:t xml:space="preserve"> Saibeh</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Ejria</w:t>
      </w:r>
      <w:proofErr w:type="spellEnd"/>
      <w:r>
        <w:rPr>
          <w:rFonts w:ascii="Times New Roman" w:eastAsia="Times New Roman" w:hAnsi="Times New Roman" w:cs="Times New Roman"/>
          <w:color w:val="000000"/>
          <w:sz w:val="24"/>
          <w:szCs w:val="24"/>
        </w:rPr>
        <w:t xml:space="preserve"> Saleh</w:t>
      </w:r>
      <w:r>
        <w:rPr>
          <w:rFonts w:ascii="Times New Roman" w:eastAsia="Times New Roman" w:hAnsi="Times New Roman" w:cs="Times New Roman"/>
          <w:color w:val="000000"/>
          <w:sz w:val="24"/>
          <w:szCs w:val="24"/>
          <w:vertAlign w:val="superscript"/>
        </w:rPr>
        <w:t>3</w:t>
      </w:r>
    </w:p>
    <w:p w14:paraId="63CFDF0D" w14:textId="77777777" w:rsidR="00F736FC" w:rsidRDefault="00F736FC">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38ACDA34" w14:textId="77777777" w:rsidR="00F736FC" w:rsidRDefault="00103CC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sz w:val="24"/>
          <w:szCs w:val="24"/>
        </w:rPr>
        <w:t xml:space="preserve">Faculty of Tropical Forestry,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Malaysia Sabah</w:t>
      </w:r>
    </w:p>
    <w:p w14:paraId="5A3BC69E" w14:textId="77777777" w:rsidR="00F736FC" w:rsidRDefault="00103CC2">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sz w:val="24"/>
          <w:szCs w:val="24"/>
        </w:rPr>
        <w:t xml:space="preserve">Faculty of Social Sciences and Humanities,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Malaysia Sabah</w:t>
      </w:r>
    </w:p>
    <w:p w14:paraId="423F9169" w14:textId="77777777" w:rsidR="00F736FC" w:rsidRDefault="00103CC2">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sz w:val="24"/>
          <w:szCs w:val="24"/>
        </w:rPr>
        <w:t xml:space="preserve">Borneo Marine Research Institute,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Malaysia Sabah</w:t>
      </w:r>
    </w:p>
    <w:p w14:paraId="1BBA4635" w14:textId="77777777" w:rsidR="00F736FC" w:rsidRDefault="00F736FC">
      <w:p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p>
    <w:p w14:paraId="542429A8" w14:textId="77777777" w:rsidR="00F736FC" w:rsidRDefault="00103CC2">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Correspondence: </w:t>
      </w:r>
      <w:proofErr w:type="spellStart"/>
      <w:r>
        <w:rPr>
          <w:rFonts w:ascii="Times New Roman" w:eastAsia="Times New Roman" w:hAnsi="Times New Roman" w:cs="Times New Roman"/>
          <w:color w:val="000000"/>
          <w:sz w:val="24"/>
          <w:szCs w:val="24"/>
        </w:rPr>
        <w:t>Ejria</w:t>
      </w:r>
      <w:proofErr w:type="spellEnd"/>
      <w:r>
        <w:rPr>
          <w:rFonts w:ascii="Times New Roman" w:eastAsia="Times New Roman" w:hAnsi="Times New Roman" w:cs="Times New Roman"/>
          <w:color w:val="000000"/>
          <w:sz w:val="24"/>
          <w:szCs w:val="24"/>
        </w:rPr>
        <w:t xml:space="preserve"> Saleh (email: </w:t>
      </w:r>
      <w:r>
        <w:rPr>
          <w:rFonts w:ascii="Times New Roman" w:eastAsia="Times New Roman" w:hAnsi="Times New Roman" w:cs="Times New Roman"/>
          <w:sz w:val="24"/>
          <w:szCs w:val="24"/>
        </w:rPr>
        <w:t>ejsaleh@ums.edu.my</w:t>
      </w:r>
      <w:r>
        <w:rPr>
          <w:rFonts w:ascii="Times New Roman" w:eastAsia="Times New Roman" w:hAnsi="Times New Roman" w:cs="Times New Roman"/>
          <w:i/>
          <w:color w:val="000000"/>
          <w:sz w:val="24"/>
          <w:szCs w:val="24"/>
        </w:rPr>
        <w:t>)</w:t>
      </w:r>
    </w:p>
    <w:p w14:paraId="0A5EFA09" w14:textId="77777777" w:rsidR="00F736FC" w:rsidRDefault="00F736FC">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p w14:paraId="78AAE33D" w14:textId="2CC1283D" w:rsidR="00F736FC" w:rsidRDefault="00103CC2">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Received: 14 April 2025; Accepted: 4 August 2025; Published: 2</w:t>
      </w:r>
      <w:r w:rsidR="00B9779B">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August 2025</w:t>
      </w:r>
    </w:p>
    <w:p w14:paraId="4EDC8F4C" w14:textId="77777777" w:rsidR="00F736FC" w:rsidRDefault="00F736FC">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E72456D" w14:textId="77777777" w:rsidR="00F736FC" w:rsidRDefault="00103CC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0DE593E" w14:textId="77777777" w:rsidR="00F736FC" w:rsidRDefault="00103CC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p>
    <w:p w14:paraId="6D124FB3" w14:textId="77777777" w:rsidR="00F736FC" w:rsidRDefault="00103CC2">
      <w:pPr>
        <w:pBdr>
          <w:top w:val="nil"/>
          <w:left w:val="nil"/>
          <w:bottom w:val="nil"/>
          <w:right w:val="nil"/>
          <w:between w:val="nil"/>
        </w:pBdr>
        <w:spacing w:after="0" w:line="24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 </w:t>
      </w:r>
    </w:p>
    <w:p w14:paraId="72887E5C" w14:textId="77777777" w:rsidR="00F736FC" w:rsidRDefault="00103CC2">
      <w:pPr>
        <w:spacing w:after="0" w:line="240" w:lineRule="auto"/>
        <w:ind w:right="4"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Biodiversity has increasingly been challenged by environmental changes, particularly in protected areas where species are often endemic and sensitive to the environmental changes. Changes in this habitat expose organisms to vulnerability.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one of the most species-rich plant families, is widely distributed in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and is utilized by local communities for food, medicine, and ornamental purposes. However, its survival is increasingly threatened by climate-related stressors and human activities. This study assesses the vulnerability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to social-ecological activities across six study areas (Poring, </w:t>
      </w:r>
      <w:proofErr w:type="spellStart"/>
      <w:r>
        <w:rPr>
          <w:rFonts w:ascii="Times New Roman" w:eastAsia="Times New Roman" w:hAnsi="Times New Roman" w:cs="Times New Roman"/>
          <w:sz w:val="24"/>
          <w:szCs w:val="24"/>
        </w:rPr>
        <w:t>Monggis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Serinsim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Nalapak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Sayap</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Losou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Podi</w:t>
      </w:r>
      <w:proofErr w:type="spellEnd"/>
      <w:r>
        <w:rPr>
          <w:rFonts w:ascii="Times New Roman" w:eastAsia="Times New Roman" w:hAnsi="Times New Roman" w:cs="Times New Roman"/>
          <w:sz w:val="24"/>
          <w:szCs w:val="24"/>
        </w:rPr>
        <w:t xml:space="preserve">) using a modified Coastal Integrity Vulnerability Assessment Tool (CIVAT) and Social-Ecological Resilience (SER) framework. The assessment incorporated three key components: exposure, sensitivity, and adaptive capacity. Results reveal that </w:t>
      </w:r>
      <w:proofErr w:type="spellStart"/>
      <w:r>
        <w:rPr>
          <w:rFonts w:ascii="Times New Roman" w:eastAsia="Times New Roman" w:hAnsi="Times New Roman" w:cs="Times New Roman"/>
          <w:sz w:val="24"/>
          <w:szCs w:val="24"/>
        </w:rPr>
        <w:t>Losou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Monggis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Nalapak</w:t>
      </w:r>
      <w:proofErr w:type="spellEnd"/>
      <w:r>
        <w:rPr>
          <w:rFonts w:ascii="Times New Roman" w:eastAsia="Times New Roman" w:hAnsi="Times New Roman" w:cs="Times New Roman"/>
          <w:sz w:val="24"/>
          <w:szCs w:val="24"/>
        </w:rPr>
        <w:t xml:space="preserve"> exhibited low vulnerability, while Poring and </w:t>
      </w:r>
      <w:proofErr w:type="spellStart"/>
      <w:r>
        <w:rPr>
          <w:rFonts w:ascii="Times New Roman" w:eastAsia="Times New Roman" w:hAnsi="Times New Roman" w:cs="Times New Roman"/>
          <w:sz w:val="24"/>
          <w:szCs w:val="24"/>
        </w:rPr>
        <w:t>Serinsim</w:t>
      </w:r>
      <w:proofErr w:type="spellEnd"/>
      <w:r>
        <w:rPr>
          <w:rFonts w:ascii="Times New Roman" w:eastAsia="Times New Roman" w:hAnsi="Times New Roman" w:cs="Times New Roman"/>
          <w:sz w:val="24"/>
          <w:szCs w:val="24"/>
        </w:rPr>
        <w:t xml:space="preserve"> scored medium vulnerability due to pressures from tourism and illegal harvesting. These results highlight the effectiveness of current conservation measures within the park but also emphasize the need for targeted interventions in more vulnerable zones. Given these findings, this study provides a baseline for conservation strategies tailored to enhance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resilience under climate stress.</w:t>
      </w:r>
    </w:p>
    <w:p w14:paraId="79649038" w14:textId="77777777" w:rsidR="00F736FC" w:rsidRDefault="00F736FC">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21FDBDD7" w14:textId="77777777" w:rsidR="00F736FC" w:rsidRDefault="00103CC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bookmarkStart w:id="1" w:name="_heading=h.gjdgxs" w:colFirst="0" w:colLast="0"/>
      <w:bookmarkEnd w:id="1"/>
      <w:r>
        <w:rPr>
          <w:rFonts w:ascii="Times New Roman" w:eastAsia="Times New Roman" w:hAnsi="Times New Roman" w:cs="Times New Roman"/>
          <w:b/>
          <w:color w:val="000000"/>
          <w:sz w:val="24"/>
          <w:szCs w:val="24"/>
        </w:rPr>
        <w:t xml:space="preserve">Keywords: </w:t>
      </w:r>
      <w:proofErr w:type="spellStart"/>
      <w:r>
        <w:rPr>
          <w:rFonts w:ascii="Times New Roman" w:eastAsia="Times New Roman" w:hAnsi="Times New Roman" w:cs="Times New Roman"/>
          <w:color w:val="000000"/>
          <w:sz w:val="24"/>
          <w:szCs w:val="24"/>
        </w:rPr>
        <w:t>Araceae</w:t>
      </w:r>
      <w:proofErr w:type="spellEnd"/>
      <w:r>
        <w:rPr>
          <w:rFonts w:ascii="Times New Roman" w:eastAsia="Times New Roman" w:hAnsi="Times New Roman" w:cs="Times New Roman"/>
          <w:color w:val="000000"/>
          <w:sz w:val="24"/>
          <w:szCs w:val="24"/>
        </w:rPr>
        <w:t xml:space="preserve">, climate change, </w:t>
      </w:r>
      <w:proofErr w:type="spellStart"/>
      <w:r>
        <w:rPr>
          <w:rFonts w:ascii="Times New Roman" w:eastAsia="Times New Roman" w:hAnsi="Times New Roman" w:cs="Times New Roman"/>
          <w:color w:val="000000"/>
          <w:sz w:val="24"/>
          <w:szCs w:val="24"/>
        </w:rPr>
        <w:t>Kinabalu</w:t>
      </w:r>
      <w:proofErr w:type="spellEnd"/>
      <w:r>
        <w:rPr>
          <w:rFonts w:ascii="Times New Roman" w:eastAsia="Times New Roman" w:hAnsi="Times New Roman" w:cs="Times New Roman"/>
          <w:color w:val="000000"/>
          <w:sz w:val="24"/>
          <w:szCs w:val="24"/>
        </w:rPr>
        <w:t xml:space="preserve"> Park, protected area, vulnerability assessment</w:t>
      </w:r>
    </w:p>
    <w:p w14:paraId="1E68A092" w14:textId="77777777" w:rsidR="00F736FC" w:rsidRDefault="00F736FC">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p>
    <w:p w14:paraId="2EE4D51C" w14:textId="77777777" w:rsidR="00F736FC" w:rsidRDefault="00F736FC">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p>
    <w:p w14:paraId="1BD0655F" w14:textId="77777777" w:rsidR="00F736FC" w:rsidRDefault="00103CC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p>
    <w:p w14:paraId="24CDAAF4" w14:textId="77777777" w:rsidR="00F736FC" w:rsidRDefault="00F736FC">
      <w:pPr>
        <w:spacing w:after="0" w:line="240" w:lineRule="auto"/>
        <w:ind w:hanging="2"/>
        <w:jc w:val="both"/>
        <w:rPr>
          <w:rFonts w:ascii="Times New Roman" w:eastAsia="Times New Roman" w:hAnsi="Times New Roman" w:cs="Times New Roman"/>
          <w:sz w:val="24"/>
          <w:szCs w:val="24"/>
        </w:rPr>
      </w:pPr>
    </w:p>
    <w:p w14:paraId="01242A63" w14:textId="77777777" w:rsidR="00F736FC" w:rsidRDefault="00103CC2">
      <w:pPr>
        <w:spacing w:after="0" w:line="240" w:lineRule="auto"/>
        <w:ind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or the Aroid in laid man terms as proposed by the Malaysian residents, commonly referred to as the ‘</w:t>
      </w:r>
      <w:proofErr w:type="spellStart"/>
      <w:r>
        <w:rPr>
          <w:rFonts w:ascii="Times New Roman" w:eastAsia="Times New Roman" w:hAnsi="Times New Roman" w:cs="Times New Roman"/>
          <w:i/>
          <w:sz w:val="24"/>
          <w:szCs w:val="24"/>
        </w:rPr>
        <w:t>keladi</w:t>
      </w:r>
      <w:proofErr w:type="spellEnd"/>
      <w:r>
        <w:rPr>
          <w:rFonts w:ascii="Times New Roman" w:eastAsia="Times New Roman" w:hAnsi="Times New Roman" w:cs="Times New Roman"/>
          <w:sz w:val="24"/>
          <w:szCs w:val="24"/>
        </w:rPr>
        <w:t xml:space="preserve">’ is a plant identifiable according to its flowers of spathe and spadix, either as unisexual or bisexual plants (Mayo et al., 1997).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comprises different life forms such as </w:t>
      </w:r>
      <w:proofErr w:type="spellStart"/>
      <w:r>
        <w:rPr>
          <w:rFonts w:ascii="Times New Roman" w:eastAsia="Times New Roman" w:hAnsi="Times New Roman" w:cs="Times New Roman"/>
          <w:sz w:val="24"/>
          <w:szCs w:val="24"/>
        </w:rPr>
        <w:t>mesophytes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hemiepiphytes</w:t>
      </w:r>
      <w:proofErr w:type="spellEnd"/>
      <w:r>
        <w:rPr>
          <w:rFonts w:ascii="Times New Roman" w:eastAsia="Times New Roman" w:hAnsi="Times New Roman" w:cs="Times New Roman"/>
          <w:sz w:val="24"/>
          <w:szCs w:val="24"/>
        </w:rPr>
        <w:t xml:space="preserve">, epiphytes, lithophytes, </w:t>
      </w:r>
      <w:proofErr w:type="spellStart"/>
      <w:r>
        <w:rPr>
          <w:rFonts w:ascii="Times New Roman" w:eastAsia="Times New Roman" w:hAnsi="Times New Roman" w:cs="Times New Roman"/>
          <w:sz w:val="24"/>
          <w:szCs w:val="24"/>
        </w:rPr>
        <w:t>rheophytes</w:t>
      </w:r>
      <w:proofErr w:type="spellEnd"/>
      <w:r>
        <w:rPr>
          <w:rFonts w:ascii="Times New Roman" w:eastAsia="Times New Roman" w:hAnsi="Times New Roman" w:cs="Times New Roman"/>
          <w:sz w:val="24"/>
          <w:szCs w:val="24"/>
        </w:rPr>
        <w:t xml:space="preserve">, helophytes, geophytes, submerged aquatics, or free-floating aquatics. Due to these different life forms ecological diversity, certain species are highly specialized and can only survive under specific environmental conditions. Globally, the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family consists of more than 104 genera and over 3,300 species. In Sabah alone, Wong and </w:t>
      </w:r>
      <w:proofErr w:type="spellStart"/>
      <w:r>
        <w:rPr>
          <w:rFonts w:ascii="Times New Roman" w:eastAsia="Times New Roman" w:hAnsi="Times New Roman" w:cs="Times New Roman"/>
          <w:sz w:val="24"/>
          <w:szCs w:val="24"/>
        </w:rPr>
        <w:t>Joling</w:t>
      </w:r>
      <w:proofErr w:type="spellEnd"/>
      <w:r>
        <w:rPr>
          <w:rFonts w:ascii="Times New Roman" w:eastAsia="Times New Roman" w:hAnsi="Times New Roman" w:cs="Times New Roman"/>
          <w:sz w:val="24"/>
          <w:szCs w:val="24"/>
        </w:rPr>
        <w:t xml:space="preserve"> (2021) and </w:t>
      </w:r>
      <w:proofErr w:type="spellStart"/>
      <w:r>
        <w:rPr>
          <w:rFonts w:ascii="Times New Roman" w:eastAsia="Times New Roman" w:hAnsi="Times New Roman" w:cs="Times New Roman"/>
          <w:sz w:val="24"/>
          <w:szCs w:val="24"/>
        </w:rPr>
        <w:t>Harisin</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(2021) have listed at least 239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species that have been recorded in Sabah, including 125 species yet to be identified.</w:t>
      </w:r>
    </w:p>
    <w:p w14:paraId="637ABFFA"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are potentially at risk because the mountainous land is remote in relation to the lowland forests (Camacho-Sanchez et al., 2019; </w:t>
      </w:r>
      <w:proofErr w:type="spellStart"/>
      <w:r>
        <w:rPr>
          <w:rFonts w:ascii="Times New Roman" w:eastAsia="Times New Roman" w:hAnsi="Times New Roman" w:cs="Times New Roman"/>
          <w:sz w:val="24"/>
          <w:szCs w:val="24"/>
        </w:rPr>
        <w:t>Danielyan</w:t>
      </w:r>
      <w:proofErr w:type="spellEnd"/>
      <w:r>
        <w:rPr>
          <w:rFonts w:ascii="Times New Roman" w:eastAsia="Times New Roman" w:hAnsi="Times New Roman" w:cs="Times New Roman"/>
          <w:sz w:val="24"/>
          <w:szCs w:val="24"/>
        </w:rPr>
        <w:t>, 2023). Organisms inhabiting these mountainous areas are somewhat trapped and cannot easily migrate to lower areas, except to higher elevations due to the cooler temperatures in the mountains (</w:t>
      </w:r>
      <w:proofErr w:type="spellStart"/>
      <w:r>
        <w:rPr>
          <w:rFonts w:ascii="Times New Roman" w:eastAsia="Times New Roman" w:hAnsi="Times New Roman" w:cs="Times New Roman"/>
          <w:sz w:val="24"/>
          <w:szCs w:val="24"/>
        </w:rPr>
        <w:t>Razgour</w:t>
      </w:r>
      <w:proofErr w:type="spellEnd"/>
      <w:r>
        <w:rPr>
          <w:rFonts w:ascii="Times New Roman" w:eastAsia="Times New Roman" w:hAnsi="Times New Roman" w:cs="Times New Roman"/>
          <w:sz w:val="24"/>
          <w:szCs w:val="24"/>
        </w:rPr>
        <w:t xml:space="preserve"> et al., 2021). Climatic phenomena such as El Niño, associated with increasing environmental temperatures and reduced air humidity (Wooster et al., 2012), contribute to increased temperatures around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This condition has led to natural habitat destruction, including wildfires in several locations within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causing damage to the ecosystem and destroying the natural habitat of flora and fauna, especially the wild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(Kudo &amp; </w:t>
      </w:r>
      <w:proofErr w:type="spellStart"/>
      <w:r>
        <w:rPr>
          <w:rFonts w:ascii="Times New Roman" w:eastAsia="Times New Roman" w:hAnsi="Times New Roman" w:cs="Times New Roman"/>
          <w:sz w:val="24"/>
          <w:szCs w:val="24"/>
        </w:rPr>
        <w:t>Kitayama</w:t>
      </w:r>
      <w:proofErr w:type="spellEnd"/>
      <w:r>
        <w:rPr>
          <w:rFonts w:ascii="Times New Roman" w:eastAsia="Times New Roman" w:hAnsi="Times New Roman" w:cs="Times New Roman"/>
          <w:sz w:val="24"/>
          <w:szCs w:val="24"/>
        </w:rPr>
        <w:t>, 1999).</w:t>
      </w:r>
    </w:p>
    <w:p w14:paraId="7723B382"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 forest harvesting practices have been inherited by the indigenous people of North Borneo from the Dusun ethnic community (Muhammed &amp; </w:t>
      </w:r>
      <w:proofErr w:type="spellStart"/>
      <w:r>
        <w:rPr>
          <w:rFonts w:ascii="Times New Roman" w:eastAsia="Times New Roman" w:hAnsi="Times New Roman" w:cs="Times New Roman"/>
          <w:sz w:val="24"/>
          <w:szCs w:val="24"/>
        </w:rPr>
        <w:t>Muthu</w:t>
      </w:r>
      <w:proofErr w:type="spellEnd"/>
      <w:r>
        <w:rPr>
          <w:rFonts w:ascii="Times New Roman" w:eastAsia="Times New Roman" w:hAnsi="Times New Roman" w:cs="Times New Roman"/>
          <w:sz w:val="24"/>
          <w:szCs w:val="24"/>
        </w:rPr>
        <w:t xml:space="preserve">, 2015). However, wild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populations in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Park are now increasingly impacted by nearby community activities. Plant species with significance in the daily lives of communities often have a broader geographical distribution compared to species not in use by those communities, due to intentional cultivation and management (</w:t>
      </w:r>
      <w:proofErr w:type="spellStart"/>
      <w:r>
        <w:rPr>
          <w:rFonts w:ascii="Times New Roman" w:eastAsia="Times New Roman" w:hAnsi="Times New Roman" w:cs="Times New Roman"/>
          <w:sz w:val="24"/>
          <w:szCs w:val="24"/>
        </w:rPr>
        <w:t>Acebey</w:t>
      </w:r>
      <w:proofErr w:type="spellEnd"/>
      <w:r>
        <w:rPr>
          <w:rFonts w:ascii="Times New Roman" w:eastAsia="Times New Roman" w:hAnsi="Times New Roman" w:cs="Times New Roman"/>
          <w:sz w:val="24"/>
          <w:szCs w:val="24"/>
        </w:rPr>
        <w:t xml:space="preserve"> et al., 2010). In the case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various species are harvested for food, medicinal use, ornamental purposes, and other traditional applications (</w:t>
      </w:r>
      <w:proofErr w:type="spellStart"/>
      <w:r>
        <w:rPr>
          <w:rFonts w:ascii="Times New Roman" w:eastAsia="Times New Roman" w:hAnsi="Times New Roman" w:cs="Times New Roman"/>
          <w:sz w:val="24"/>
          <w:szCs w:val="24"/>
        </w:rPr>
        <w:t>Fatiha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Muhammed &amp; </w:t>
      </w:r>
      <w:proofErr w:type="spellStart"/>
      <w:r>
        <w:rPr>
          <w:rFonts w:ascii="Times New Roman" w:eastAsia="Times New Roman" w:hAnsi="Times New Roman" w:cs="Times New Roman"/>
          <w:sz w:val="24"/>
          <w:szCs w:val="24"/>
        </w:rPr>
        <w:t>Muthu</w:t>
      </w:r>
      <w:proofErr w:type="spellEnd"/>
      <w:r>
        <w:rPr>
          <w:rFonts w:ascii="Times New Roman" w:eastAsia="Times New Roman" w:hAnsi="Times New Roman" w:cs="Times New Roman"/>
          <w:sz w:val="24"/>
          <w:szCs w:val="24"/>
        </w:rPr>
        <w:t xml:space="preserve">, 2015; Titus et al., 2012). Among the harvested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is </w:t>
      </w:r>
      <w:proofErr w:type="spellStart"/>
      <w:r>
        <w:rPr>
          <w:rFonts w:ascii="Times New Roman" w:eastAsia="Times New Roman" w:hAnsi="Times New Roman" w:cs="Times New Roman"/>
          <w:i/>
          <w:sz w:val="24"/>
          <w:szCs w:val="24"/>
        </w:rPr>
        <w:t>Schismatoglottis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ahmadii</w:t>
      </w:r>
      <w:proofErr w:type="spellEnd"/>
      <w:r>
        <w:rPr>
          <w:rFonts w:ascii="Times New Roman" w:eastAsia="Times New Roman" w:hAnsi="Times New Roman" w:cs="Times New Roman"/>
          <w:sz w:val="24"/>
          <w:szCs w:val="24"/>
        </w:rPr>
        <w:t>, used for food consumption (</w:t>
      </w:r>
      <w:proofErr w:type="spellStart"/>
      <w:r>
        <w:rPr>
          <w:rFonts w:ascii="Times New Roman" w:eastAsia="Times New Roman" w:hAnsi="Times New Roman" w:cs="Times New Roman"/>
          <w:sz w:val="24"/>
          <w:szCs w:val="24"/>
        </w:rPr>
        <w:t>Awang</w:t>
      </w:r>
      <w:proofErr w:type="spellEnd"/>
      <w:r>
        <w:rPr>
          <w:rFonts w:ascii="Times New Roman" w:eastAsia="Times New Roman" w:hAnsi="Times New Roman" w:cs="Times New Roman"/>
          <w:sz w:val="24"/>
          <w:szCs w:val="24"/>
        </w:rPr>
        <w:t xml:space="preserve">-Kanak, 2021; Muhammed &amp; </w:t>
      </w:r>
      <w:proofErr w:type="spellStart"/>
      <w:r>
        <w:rPr>
          <w:rFonts w:ascii="Times New Roman" w:eastAsia="Times New Roman" w:hAnsi="Times New Roman" w:cs="Times New Roman"/>
          <w:sz w:val="24"/>
          <w:szCs w:val="24"/>
        </w:rPr>
        <w:t>Muthu</w:t>
      </w:r>
      <w:proofErr w:type="spellEnd"/>
      <w:r>
        <w:rPr>
          <w:rFonts w:ascii="Times New Roman" w:eastAsia="Times New Roman" w:hAnsi="Times New Roman" w:cs="Times New Roman"/>
          <w:sz w:val="24"/>
          <w:szCs w:val="24"/>
        </w:rPr>
        <w:t>, 2015).</w:t>
      </w:r>
    </w:p>
    <w:p w14:paraId="2FAA77CA"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increased access to commercial food sources has led to a reduction in harvesting activities (</w:t>
      </w:r>
      <w:proofErr w:type="spellStart"/>
      <w:r>
        <w:rPr>
          <w:rFonts w:ascii="Times New Roman" w:eastAsia="Times New Roman" w:hAnsi="Times New Roman" w:cs="Times New Roman"/>
          <w:sz w:val="24"/>
          <w:szCs w:val="24"/>
        </w:rPr>
        <w:t>Gan</w:t>
      </w:r>
      <w:proofErr w:type="spellEnd"/>
      <w:r>
        <w:rPr>
          <w:rFonts w:ascii="Times New Roman" w:eastAsia="Times New Roman" w:hAnsi="Times New Roman" w:cs="Times New Roman"/>
          <w:sz w:val="24"/>
          <w:szCs w:val="24"/>
        </w:rPr>
        <w:t xml:space="preserve"> et al., 2020). However, the habitat of wild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remains highly vulnerable to socio-ecological activities, particularly due to the clearing of nearby forest areas for permanent agriculture, such as oil palm and rubber plantations, as compared to subsistence farming of crops like rice and vegetables (Martin et al., 2002). This exposes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to high light intensity, resulting in elevated temperatures and reduced relative humidity, the conditions that do not reflect the natural habitat characteristics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The combination of community activities and the resulting changes to habitat conditions poses a significant threat to the survival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and may disrupt the ecological balance of their natural ecosystems (</w:t>
      </w:r>
      <w:proofErr w:type="spellStart"/>
      <w:r>
        <w:rPr>
          <w:rFonts w:ascii="Times New Roman" w:eastAsia="Times New Roman" w:hAnsi="Times New Roman" w:cs="Times New Roman"/>
          <w:sz w:val="24"/>
          <w:szCs w:val="24"/>
        </w:rPr>
        <w:t>Shumsky</w:t>
      </w:r>
      <w:proofErr w:type="spellEnd"/>
      <w:r>
        <w:rPr>
          <w:rFonts w:ascii="Times New Roman" w:eastAsia="Times New Roman" w:hAnsi="Times New Roman" w:cs="Times New Roman"/>
          <w:sz w:val="24"/>
          <w:szCs w:val="24"/>
        </w:rPr>
        <w:t xml:space="preserve"> et al., 2014). </w:t>
      </w:r>
    </w:p>
    <w:p w14:paraId="39C25A13"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high diversity and ecological importance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in Sabah, particularly within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their habitats are increasingly threatened by both climate change phenomena and social-ecological pressure, including land conservation for agriculture and community harvesting practices. These disturbances have altered the natural environmental conditions essential for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survival. However, currently no comprehensive assessment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has been conducted within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Park. Such an assessment is crucial to inform mitigation strategies for habitats within the park. Therefore, this study aims to identify the vulnerability level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to social-ecological activities within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Park area and its surrounding borders by adapting and modifying standard vulnerability assessment tools.</w:t>
      </w:r>
    </w:p>
    <w:p w14:paraId="70064EA3" w14:textId="77777777" w:rsidR="00F736FC" w:rsidRDefault="00103CC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D03A4D9" w14:textId="77777777" w:rsidR="00F736FC" w:rsidRDefault="00F736FC">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4FD7E662" w14:textId="77777777" w:rsidR="00F736FC" w:rsidRDefault="00103CC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and study area </w:t>
      </w:r>
    </w:p>
    <w:p w14:paraId="28AE175E" w14:textId="77777777" w:rsidR="00F736FC" w:rsidRDefault="00103CC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9C33BDA" w14:textId="77777777" w:rsidR="00F736FC" w:rsidRDefault="00103CC2">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Study area</w:t>
      </w:r>
    </w:p>
    <w:p w14:paraId="11DBF7B5" w14:textId="77777777" w:rsidR="00F736FC" w:rsidRDefault="00F736FC">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3EBAA89B" w14:textId="77777777" w:rsidR="00F736FC" w:rsidRDefault="00103CC2">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field survey was conducted from May 29 to June 4 of 2023 to validate the status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and assess its vulnerability to social-ecology in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The study </w:t>
      </w:r>
      <w:r>
        <w:rPr>
          <w:rFonts w:ascii="Times New Roman" w:eastAsia="Times New Roman" w:hAnsi="Times New Roman" w:cs="Times New Roman"/>
          <w:sz w:val="24"/>
          <w:szCs w:val="24"/>
        </w:rPr>
        <w:lastRenderedPageBreak/>
        <w:t xml:space="preserve">site covers six locations within the management area of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(Figure 1); namely A (</w:t>
      </w:r>
      <w:proofErr w:type="spellStart"/>
      <w:r>
        <w:rPr>
          <w:rFonts w:ascii="Times New Roman" w:eastAsia="Times New Roman" w:hAnsi="Times New Roman" w:cs="Times New Roman"/>
          <w:sz w:val="24"/>
          <w:szCs w:val="24"/>
        </w:rPr>
        <w:t>Losou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Podi</w:t>
      </w:r>
      <w:proofErr w:type="spellEnd"/>
      <w:r>
        <w:rPr>
          <w:rFonts w:ascii="Times New Roman" w:eastAsia="Times New Roman" w:hAnsi="Times New Roman" w:cs="Times New Roman"/>
          <w:sz w:val="24"/>
          <w:szCs w:val="24"/>
        </w:rPr>
        <w:t>) (6.342629° N, 116.621312° E), B (</w:t>
      </w:r>
      <w:proofErr w:type="spellStart"/>
      <w:r>
        <w:rPr>
          <w:rFonts w:ascii="Times New Roman" w:eastAsia="Times New Roman" w:hAnsi="Times New Roman" w:cs="Times New Roman"/>
          <w:sz w:val="24"/>
          <w:szCs w:val="24"/>
        </w:rPr>
        <w:t>Sayap</w:t>
      </w:r>
      <w:proofErr w:type="spellEnd"/>
      <w:r>
        <w:rPr>
          <w:rFonts w:ascii="Times New Roman" w:eastAsia="Times New Roman" w:hAnsi="Times New Roman" w:cs="Times New Roman"/>
          <w:sz w:val="24"/>
          <w:szCs w:val="24"/>
        </w:rPr>
        <w:t>) (6.14487° N, 116.5681° E), C (Poring) (6.064751° N, 116.690599° E), D (</w:t>
      </w:r>
      <w:proofErr w:type="spellStart"/>
      <w:r>
        <w:rPr>
          <w:rFonts w:ascii="Times New Roman" w:eastAsia="Times New Roman" w:hAnsi="Times New Roman" w:cs="Times New Roman"/>
          <w:sz w:val="24"/>
          <w:szCs w:val="24"/>
        </w:rPr>
        <w:t>Monggis</w:t>
      </w:r>
      <w:proofErr w:type="spellEnd"/>
      <w:r>
        <w:rPr>
          <w:rFonts w:ascii="Times New Roman" w:eastAsia="Times New Roman" w:hAnsi="Times New Roman" w:cs="Times New Roman"/>
          <w:sz w:val="24"/>
          <w:szCs w:val="24"/>
        </w:rPr>
        <w:t>) (6.1997° N, 116.74815° E), E (</w:t>
      </w:r>
      <w:proofErr w:type="spellStart"/>
      <w:r>
        <w:rPr>
          <w:rFonts w:ascii="Times New Roman" w:eastAsia="Times New Roman" w:hAnsi="Times New Roman" w:cs="Times New Roman"/>
          <w:sz w:val="24"/>
          <w:szCs w:val="24"/>
        </w:rPr>
        <w:t>Serinsim</w:t>
      </w:r>
      <w:proofErr w:type="spellEnd"/>
      <w:r>
        <w:rPr>
          <w:rFonts w:ascii="Times New Roman" w:eastAsia="Times New Roman" w:hAnsi="Times New Roman" w:cs="Times New Roman"/>
          <w:sz w:val="24"/>
          <w:szCs w:val="24"/>
        </w:rPr>
        <w:t>) (6.29203° N, 116.695454° E) and, F (</w:t>
      </w:r>
      <w:proofErr w:type="spellStart"/>
      <w:r>
        <w:rPr>
          <w:rFonts w:ascii="Times New Roman" w:eastAsia="Times New Roman" w:hAnsi="Times New Roman" w:cs="Times New Roman"/>
          <w:sz w:val="24"/>
          <w:szCs w:val="24"/>
        </w:rPr>
        <w:t>Nalapak</w:t>
      </w:r>
      <w:proofErr w:type="spellEnd"/>
      <w:r>
        <w:rPr>
          <w:rFonts w:ascii="Times New Roman" w:eastAsia="Times New Roman" w:hAnsi="Times New Roman" w:cs="Times New Roman"/>
          <w:sz w:val="24"/>
          <w:szCs w:val="24"/>
        </w:rPr>
        <w:t xml:space="preserve">) (6.48013° N, 116.63612° E). The total area of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Park is approximately 475 km², making it a reservoir of high biological diversity (</w:t>
      </w:r>
      <w:proofErr w:type="spellStart"/>
      <w:r>
        <w:rPr>
          <w:rFonts w:ascii="Times New Roman" w:eastAsia="Times New Roman" w:hAnsi="Times New Roman" w:cs="Times New Roman"/>
          <w:sz w:val="24"/>
          <w:szCs w:val="24"/>
        </w:rPr>
        <w:t>Beaman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Beaman</w:t>
      </w:r>
      <w:proofErr w:type="spellEnd"/>
      <w:r>
        <w:rPr>
          <w:rFonts w:ascii="Times New Roman" w:eastAsia="Times New Roman" w:hAnsi="Times New Roman" w:cs="Times New Roman"/>
          <w:sz w:val="24"/>
          <w:szCs w:val="24"/>
        </w:rPr>
        <w:t xml:space="preserve">, 1998).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Park was designated as a World Heritage Site in 2000 to conserve and preserve the flora and fauna within its boundaries. It was </w:t>
      </w:r>
      <w:proofErr w:type="spellStart"/>
      <w:r>
        <w:rPr>
          <w:rFonts w:ascii="Times New Roman" w:eastAsia="Times New Roman" w:hAnsi="Times New Roman" w:cs="Times New Roman"/>
          <w:sz w:val="24"/>
          <w:szCs w:val="24"/>
        </w:rPr>
        <w:t>futher</w:t>
      </w:r>
      <w:proofErr w:type="spellEnd"/>
      <w:r>
        <w:rPr>
          <w:rFonts w:ascii="Times New Roman" w:eastAsia="Times New Roman" w:hAnsi="Times New Roman" w:cs="Times New Roman"/>
          <w:sz w:val="24"/>
          <w:szCs w:val="24"/>
        </w:rPr>
        <w:t xml:space="preserve"> recognized as a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in 2023. This park is adjacent to hundreds of villages of indigenous people of North Borneo, who rely on the nearby forest for their daily activities and livelihoods.</w:t>
      </w:r>
    </w:p>
    <w:p w14:paraId="19E31196" w14:textId="77777777" w:rsidR="00F736FC" w:rsidRDefault="00F736FC">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p>
    <w:p w14:paraId="372661B6" w14:textId="77777777" w:rsidR="00F736FC" w:rsidRDefault="00103CC2">
      <w:pPr>
        <w:keepNext/>
        <w:spacing w:after="0"/>
        <w:ind w:left="1" w:hanging="3"/>
        <w:jc w:val="center"/>
        <w:rPr>
          <w:rFonts w:ascii="Georgia" w:eastAsia="Georgia" w:hAnsi="Georgia" w:cs="Georgia"/>
          <w:sz w:val="28"/>
          <w:szCs w:val="28"/>
        </w:rPr>
      </w:pPr>
      <w:r>
        <w:rPr>
          <w:rFonts w:ascii="Georgia" w:eastAsia="Georgia" w:hAnsi="Georgia" w:cs="Georgia"/>
          <w:noProof/>
          <w:sz w:val="28"/>
          <w:szCs w:val="28"/>
          <w:lang w:val="en-MY"/>
        </w:rPr>
        <w:drawing>
          <wp:inline distT="0" distB="0" distL="0" distR="0" wp14:anchorId="73128BA4" wp14:editId="29841195">
            <wp:extent cx="5229932" cy="3589658"/>
            <wp:effectExtent l="0" t="0" r="0" b="0"/>
            <wp:docPr id="11904836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229932" cy="3589658"/>
                    </a:xfrm>
                    <a:prstGeom prst="rect">
                      <a:avLst/>
                    </a:prstGeom>
                    <a:ln/>
                  </pic:spPr>
                </pic:pic>
              </a:graphicData>
            </a:graphic>
          </wp:inline>
        </w:drawing>
      </w:r>
    </w:p>
    <w:p w14:paraId="567F6220" w14:textId="77777777" w:rsidR="00F736FC" w:rsidRDefault="00F736FC">
      <w:pPr>
        <w:pBdr>
          <w:top w:val="nil"/>
          <w:left w:val="nil"/>
          <w:bottom w:val="nil"/>
          <w:right w:val="nil"/>
          <w:between w:val="nil"/>
        </w:pBdr>
        <w:spacing w:after="0"/>
        <w:ind w:left="5" w:hanging="7"/>
        <w:jc w:val="center"/>
        <w:rPr>
          <w:rFonts w:ascii="Times New Roman" w:eastAsia="Times New Roman" w:hAnsi="Times New Roman" w:cs="Times New Roman"/>
          <w:b/>
          <w:color w:val="000000"/>
          <w:sz w:val="24"/>
          <w:szCs w:val="24"/>
        </w:rPr>
      </w:pPr>
    </w:p>
    <w:p w14:paraId="6FE44BC0" w14:textId="77777777" w:rsidR="00F736FC" w:rsidRDefault="00103CC2">
      <w:pPr>
        <w:pBdr>
          <w:top w:val="nil"/>
          <w:left w:val="nil"/>
          <w:bottom w:val="nil"/>
          <w:right w:val="nil"/>
          <w:between w:val="nil"/>
        </w:pBdr>
        <w:spacing w:after="0"/>
        <w:ind w:left="5" w:hanging="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Figure 1.</w:t>
      </w:r>
      <w:r>
        <w:rPr>
          <w:rFonts w:ascii="Times New Roman" w:eastAsia="Times New Roman" w:hAnsi="Times New Roman" w:cs="Times New Roman"/>
          <w:color w:val="000000"/>
          <w:sz w:val="24"/>
          <w:szCs w:val="24"/>
        </w:rPr>
        <w:t xml:space="preserve"> Location of site visit areas around </w:t>
      </w:r>
      <w:proofErr w:type="spellStart"/>
      <w:r>
        <w:rPr>
          <w:rFonts w:ascii="Times New Roman" w:eastAsia="Times New Roman" w:hAnsi="Times New Roman" w:cs="Times New Roman"/>
          <w:color w:val="000000"/>
          <w:sz w:val="24"/>
          <w:szCs w:val="24"/>
        </w:rPr>
        <w:t>Kinabalu</w:t>
      </w:r>
      <w:proofErr w:type="spellEnd"/>
      <w:r>
        <w:rPr>
          <w:rFonts w:ascii="Times New Roman" w:eastAsia="Times New Roman" w:hAnsi="Times New Roman" w:cs="Times New Roman"/>
          <w:color w:val="000000"/>
          <w:sz w:val="24"/>
          <w:szCs w:val="24"/>
        </w:rPr>
        <w:t xml:space="preserve"> UNESCO Global </w:t>
      </w:r>
      <w:proofErr w:type="spellStart"/>
      <w:r>
        <w:rPr>
          <w:rFonts w:ascii="Times New Roman" w:eastAsia="Times New Roman" w:hAnsi="Times New Roman" w:cs="Times New Roman"/>
          <w:color w:val="000000"/>
          <w:sz w:val="24"/>
          <w:szCs w:val="24"/>
        </w:rPr>
        <w:t>Geopark</w:t>
      </w:r>
      <w:proofErr w:type="spellEnd"/>
    </w:p>
    <w:p w14:paraId="243AF4B2" w14:textId="77777777" w:rsidR="00F736FC" w:rsidRDefault="00F736FC">
      <w:pPr>
        <w:spacing w:after="0" w:line="240" w:lineRule="auto"/>
        <w:ind w:hanging="2"/>
        <w:jc w:val="both"/>
        <w:rPr>
          <w:rFonts w:ascii="Times New Roman" w:eastAsia="Times New Roman" w:hAnsi="Times New Roman" w:cs="Times New Roman"/>
          <w:sz w:val="24"/>
          <w:szCs w:val="24"/>
        </w:rPr>
      </w:pPr>
    </w:p>
    <w:p w14:paraId="04CA1288" w14:textId="77777777" w:rsidR="00F736FC" w:rsidRDefault="00103CC2">
      <w:pPr>
        <w:pBdr>
          <w:top w:val="nil"/>
          <w:left w:val="nil"/>
          <w:bottom w:val="nil"/>
          <w:right w:val="nil"/>
          <w:between w:val="nil"/>
        </w:pBdr>
        <w:spacing w:after="0" w:line="240" w:lineRule="auto"/>
        <w:ind w:hanging="2"/>
        <w:jc w:val="both"/>
        <w:rPr>
          <w:rFonts w:ascii="Times New Roman" w:eastAsia="Times New Roman" w:hAnsi="Times New Roman" w:cs="Times New Roman"/>
          <w:i/>
          <w:color w:val="EE0000"/>
          <w:sz w:val="24"/>
          <w:szCs w:val="24"/>
        </w:rPr>
      </w:pPr>
      <w:r>
        <w:rPr>
          <w:rFonts w:ascii="Times New Roman" w:eastAsia="Times New Roman" w:hAnsi="Times New Roman" w:cs="Times New Roman"/>
          <w:i/>
          <w:sz w:val="24"/>
          <w:szCs w:val="24"/>
        </w:rPr>
        <w:t xml:space="preserve">Social-ecological activities assessment on </w:t>
      </w:r>
      <w:proofErr w:type="spellStart"/>
      <w:r>
        <w:rPr>
          <w:rFonts w:ascii="Times New Roman" w:eastAsia="Times New Roman" w:hAnsi="Times New Roman" w:cs="Times New Roman"/>
          <w:i/>
          <w:sz w:val="24"/>
          <w:szCs w:val="24"/>
        </w:rPr>
        <w:t>Araceae</w:t>
      </w:r>
      <w:proofErr w:type="spellEnd"/>
    </w:p>
    <w:p w14:paraId="573591EB" w14:textId="77777777" w:rsidR="00F736FC" w:rsidRDefault="00F736FC">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3D2BCC26" w14:textId="77777777" w:rsidR="00F736FC" w:rsidRDefault="00103CC2">
      <w:pPr>
        <w:pBdr>
          <w:top w:val="nil"/>
          <w:left w:val="nil"/>
          <w:bottom w:val="nil"/>
          <w:right w:val="nil"/>
          <w:between w:val="nil"/>
        </w:pBdr>
        <w:spacing w:after="0" w:line="240" w:lineRule="auto"/>
        <w:ind w:hanging="2"/>
        <w:jc w:val="both"/>
      </w:pPr>
      <w:r>
        <w:rPr>
          <w:rFonts w:ascii="Times New Roman" w:eastAsia="Times New Roman" w:hAnsi="Times New Roman" w:cs="Times New Roman"/>
          <w:sz w:val="24"/>
          <w:szCs w:val="24"/>
        </w:rPr>
        <w:t xml:space="preserve">The assessment employed in this research is a combination of adapted and modified from the Coastal Integrity Vulnerability Assessment Tool (CIVAT) developed by </w:t>
      </w:r>
      <w:proofErr w:type="spellStart"/>
      <w:r>
        <w:rPr>
          <w:rFonts w:ascii="Times New Roman" w:eastAsia="Times New Roman" w:hAnsi="Times New Roman" w:cs="Times New Roman"/>
          <w:sz w:val="24"/>
          <w:szCs w:val="24"/>
        </w:rPr>
        <w:t>Siringan</w:t>
      </w:r>
      <w:proofErr w:type="spellEnd"/>
      <w:r>
        <w:rPr>
          <w:rFonts w:ascii="Times New Roman" w:eastAsia="Times New Roman" w:hAnsi="Times New Roman" w:cs="Times New Roman"/>
          <w:sz w:val="24"/>
          <w:szCs w:val="24"/>
        </w:rPr>
        <w:t xml:space="preserve"> et al. (2012), and the Social-Ecological Resilience (SER) framework proposed by </w:t>
      </w:r>
      <w:proofErr w:type="spellStart"/>
      <w:r>
        <w:rPr>
          <w:rFonts w:ascii="Times New Roman" w:eastAsia="Times New Roman" w:hAnsi="Times New Roman" w:cs="Times New Roman"/>
          <w:sz w:val="24"/>
          <w:szCs w:val="24"/>
        </w:rPr>
        <w:t>Sowman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Raemaekers</w:t>
      </w:r>
      <w:proofErr w:type="spellEnd"/>
      <w:r>
        <w:rPr>
          <w:rFonts w:ascii="Times New Roman" w:eastAsia="Times New Roman" w:hAnsi="Times New Roman" w:cs="Times New Roman"/>
          <w:sz w:val="24"/>
          <w:szCs w:val="24"/>
        </w:rPr>
        <w:t xml:space="preserve"> (2018). CIVAT is structured around three main components (Figure 2), namely exposure, sensitivity, and adaptive capacity, which are also detailed in Appendices A, B, and C respectively. These components evaluate the potential impact of climate change </w:t>
      </w:r>
      <w:r>
        <w:rPr>
          <w:rFonts w:ascii="Times New Roman" w:eastAsia="Times New Roman" w:hAnsi="Times New Roman" w:cs="Times New Roman"/>
          <w:color w:val="000000"/>
          <w:sz w:val="24"/>
          <w:szCs w:val="24"/>
        </w:rPr>
        <w:t xml:space="preserve">(IPCC, 2007). Meanwhile the SER framework is used to examine the extent to which community activities </w:t>
      </w:r>
      <w:r>
        <w:rPr>
          <w:rFonts w:ascii="Times New Roman" w:eastAsia="Times New Roman" w:hAnsi="Times New Roman" w:cs="Times New Roman"/>
          <w:sz w:val="24"/>
          <w:szCs w:val="24"/>
        </w:rPr>
        <w:t>affect</w:t>
      </w:r>
      <w:r>
        <w:rPr>
          <w:rFonts w:ascii="Times New Roman" w:eastAsia="Times New Roman" w:hAnsi="Times New Roman" w:cs="Times New Roman"/>
          <w:color w:val="000000"/>
          <w:sz w:val="24"/>
          <w:szCs w:val="24"/>
        </w:rPr>
        <w:t xml:space="preserve"> the habitat and </w:t>
      </w:r>
      <w:r>
        <w:rPr>
          <w:rFonts w:ascii="Times New Roman" w:eastAsia="Times New Roman" w:hAnsi="Times New Roman" w:cs="Times New Roman"/>
          <w:sz w:val="24"/>
          <w:szCs w:val="24"/>
        </w:rPr>
        <w:t>ecosystem</w:t>
      </w:r>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Araceae</w:t>
      </w:r>
      <w:proofErr w:type="spellEnd"/>
      <w:r>
        <w:rPr>
          <w:rFonts w:ascii="Times New Roman" w:eastAsia="Times New Roman" w:hAnsi="Times New Roman" w:cs="Times New Roman"/>
          <w:color w:val="000000"/>
          <w:sz w:val="24"/>
          <w:szCs w:val="24"/>
        </w:rPr>
        <w:t>, allowing for the iden</w:t>
      </w:r>
      <w:r w:rsidR="00226E2A">
        <w:rPr>
          <w:rFonts w:ascii="Times New Roman" w:eastAsia="Times New Roman" w:hAnsi="Times New Roman" w:cs="Times New Roman"/>
          <w:color w:val="000000"/>
          <w:sz w:val="24"/>
          <w:szCs w:val="24"/>
        </w:rPr>
        <w:t xml:space="preserve">tification of species specific </w:t>
      </w:r>
      <w:r>
        <w:rPr>
          <w:rFonts w:ascii="Times New Roman" w:eastAsia="Times New Roman" w:hAnsi="Times New Roman" w:cs="Times New Roman"/>
          <w:color w:val="000000"/>
          <w:sz w:val="24"/>
          <w:szCs w:val="24"/>
        </w:rPr>
        <w:t>adaptive responses (</w:t>
      </w:r>
      <w:proofErr w:type="spellStart"/>
      <w:r>
        <w:rPr>
          <w:rFonts w:ascii="Times New Roman" w:eastAsia="Times New Roman" w:hAnsi="Times New Roman" w:cs="Times New Roman"/>
          <w:color w:val="000000"/>
          <w:sz w:val="24"/>
          <w:szCs w:val="24"/>
        </w:rPr>
        <w:t>Shumsky</w:t>
      </w:r>
      <w:proofErr w:type="spellEnd"/>
      <w:r>
        <w:rPr>
          <w:rFonts w:ascii="Times New Roman" w:eastAsia="Times New Roman" w:hAnsi="Times New Roman" w:cs="Times New Roman"/>
          <w:color w:val="000000"/>
          <w:sz w:val="24"/>
          <w:szCs w:val="24"/>
        </w:rPr>
        <w:t xml:space="preserve"> et al., 2014)</w:t>
      </w:r>
      <w:r>
        <w:rPr>
          <w:rFonts w:ascii="Times New Roman" w:eastAsia="Times New Roman" w:hAnsi="Times New Roman" w:cs="Times New Roman"/>
          <w:sz w:val="24"/>
          <w:szCs w:val="24"/>
        </w:rPr>
        <w:t xml:space="preserve">. The criteria for each component were modified to reflect the environment characteristics specific to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referencing studies by </w:t>
      </w:r>
      <w:proofErr w:type="spellStart"/>
      <w:r>
        <w:rPr>
          <w:rFonts w:ascii="Times New Roman" w:eastAsia="Times New Roman" w:hAnsi="Times New Roman" w:cs="Times New Roman"/>
          <w:sz w:val="24"/>
          <w:szCs w:val="24"/>
        </w:rPr>
        <w:t>Acebey</w:t>
      </w:r>
      <w:proofErr w:type="spellEnd"/>
      <w:r>
        <w:rPr>
          <w:rFonts w:ascii="Times New Roman" w:eastAsia="Times New Roman" w:hAnsi="Times New Roman" w:cs="Times New Roman"/>
          <w:sz w:val="24"/>
          <w:szCs w:val="24"/>
        </w:rPr>
        <w:t xml:space="preserve"> et al. (2010), Boyce et al</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(2010), Noor </w:t>
      </w:r>
      <w:proofErr w:type="spellStart"/>
      <w:r>
        <w:rPr>
          <w:rFonts w:ascii="Times New Roman" w:eastAsia="Times New Roman" w:hAnsi="Times New Roman" w:cs="Times New Roman"/>
          <w:sz w:val="24"/>
          <w:szCs w:val="24"/>
        </w:rPr>
        <w:t>Liyana</w:t>
      </w:r>
      <w:proofErr w:type="spellEnd"/>
      <w:r>
        <w:rPr>
          <w:rFonts w:ascii="Times New Roman" w:eastAsia="Times New Roman" w:hAnsi="Times New Roman" w:cs="Times New Roman"/>
          <w:sz w:val="24"/>
          <w:szCs w:val="24"/>
        </w:rPr>
        <w:t xml:space="preserve"> et al. (2020), Wong and </w:t>
      </w:r>
      <w:proofErr w:type="spellStart"/>
      <w:r>
        <w:rPr>
          <w:rFonts w:ascii="Times New Roman" w:eastAsia="Times New Roman" w:hAnsi="Times New Roman" w:cs="Times New Roman"/>
          <w:sz w:val="24"/>
          <w:szCs w:val="24"/>
        </w:rPr>
        <w:t>Joling</w:t>
      </w:r>
      <w:proofErr w:type="spellEnd"/>
      <w:r>
        <w:rPr>
          <w:rFonts w:ascii="Times New Roman" w:eastAsia="Times New Roman" w:hAnsi="Times New Roman" w:cs="Times New Roman"/>
          <w:sz w:val="24"/>
          <w:szCs w:val="24"/>
        </w:rPr>
        <w:t xml:space="preserve"> (2021), </w:t>
      </w:r>
      <w:proofErr w:type="spellStart"/>
      <w:r>
        <w:rPr>
          <w:rFonts w:ascii="Times New Roman" w:eastAsia="Times New Roman" w:hAnsi="Times New Roman" w:cs="Times New Roman"/>
          <w:sz w:val="24"/>
          <w:szCs w:val="24"/>
        </w:rPr>
        <w:t>Zulhazman</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Zulhazman</w:t>
      </w:r>
      <w:proofErr w:type="spellEnd"/>
      <w:r>
        <w:rPr>
          <w:rFonts w:ascii="Times New Roman" w:eastAsia="Times New Roman" w:hAnsi="Times New Roman" w:cs="Times New Roman"/>
          <w:sz w:val="24"/>
          <w:szCs w:val="24"/>
        </w:rPr>
        <w:t xml:space="preserve">, Abas, et al. </w:t>
      </w:r>
      <w:r>
        <w:rPr>
          <w:rFonts w:ascii="Times New Roman" w:eastAsia="Times New Roman" w:hAnsi="Times New Roman" w:cs="Times New Roman"/>
          <w:sz w:val="24"/>
          <w:szCs w:val="24"/>
        </w:rPr>
        <w:lastRenderedPageBreak/>
        <w:t xml:space="preserve">(2021), and </w:t>
      </w:r>
      <w:proofErr w:type="spellStart"/>
      <w:r>
        <w:rPr>
          <w:rFonts w:ascii="Times New Roman" w:eastAsia="Times New Roman" w:hAnsi="Times New Roman" w:cs="Times New Roman"/>
          <w:sz w:val="24"/>
          <w:szCs w:val="24"/>
        </w:rPr>
        <w:t>Zulhazman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Aweng</w:t>
      </w:r>
      <w:proofErr w:type="spellEnd"/>
      <w:r>
        <w:rPr>
          <w:rFonts w:ascii="Times New Roman" w:eastAsia="Times New Roman" w:hAnsi="Times New Roman" w:cs="Times New Roman"/>
          <w:sz w:val="24"/>
          <w:szCs w:val="24"/>
        </w:rPr>
        <w:t xml:space="preserve">, et al. (2021). Each component includes several criteria scored ranging from 1 to 5, categorized as low (1 and 2 points), medium (3 and 4 points), and high (5 points). The cumulative scores across these components determine the overall vulnerability level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species in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and inform subsequent conservation strategies. </w:t>
      </w:r>
    </w:p>
    <w:p w14:paraId="5443973C" w14:textId="77777777" w:rsidR="00F736FC" w:rsidRDefault="00F736FC">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400DB2F0" w14:textId="77777777" w:rsidR="00F736FC" w:rsidRDefault="00103CC2">
      <w:pPr>
        <w:keepNext/>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MY"/>
        </w:rPr>
        <w:drawing>
          <wp:inline distT="0" distB="0" distL="0" distR="0" wp14:anchorId="4AA35679" wp14:editId="77393586">
            <wp:extent cx="5728970" cy="2195830"/>
            <wp:effectExtent l="0" t="0" r="0" b="0"/>
            <wp:docPr id="11904836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28970" cy="2195830"/>
                    </a:xfrm>
                    <a:prstGeom prst="rect">
                      <a:avLst/>
                    </a:prstGeom>
                    <a:ln/>
                  </pic:spPr>
                </pic:pic>
              </a:graphicData>
            </a:graphic>
          </wp:inline>
        </w:drawing>
      </w:r>
    </w:p>
    <w:p w14:paraId="6896685E" w14:textId="77777777" w:rsidR="00F736FC" w:rsidRDefault="00103CC2">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IPCC, 2007</w:t>
      </w:r>
    </w:p>
    <w:p w14:paraId="6D2ECD6A" w14:textId="77777777" w:rsidR="00F736FC" w:rsidRDefault="00F736FC">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p w14:paraId="378B5198" w14:textId="77777777" w:rsidR="00F736FC" w:rsidRDefault="00103CC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Figure 2.</w:t>
      </w:r>
      <w:r>
        <w:rPr>
          <w:rFonts w:ascii="Times New Roman" w:eastAsia="Times New Roman" w:hAnsi="Times New Roman" w:cs="Times New Roman"/>
          <w:color w:val="000000"/>
          <w:sz w:val="24"/>
          <w:szCs w:val="24"/>
        </w:rPr>
        <w:t xml:space="preserve"> Vulnerability to climate change results from the interaction of exposure and sensitivity with adaptive capacity </w:t>
      </w:r>
    </w:p>
    <w:p w14:paraId="76C6183F" w14:textId="77777777" w:rsidR="00F736FC" w:rsidRDefault="00F736FC">
      <w:pPr>
        <w:ind w:hanging="2"/>
      </w:pPr>
    </w:p>
    <w:p w14:paraId="289D1589" w14:textId="77777777" w:rsidR="00F736FC" w:rsidRDefault="00103CC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w:t>
      </w:r>
      <w:proofErr w:type="spellStart"/>
      <w:r>
        <w:rPr>
          <w:rFonts w:ascii="Times New Roman" w:eastAsia="Times New Roman" w:hAnsi="Times New Roman" w:cs="Times New Roman"/>
          <w:color w:val="000000"/>
          <w:sz w:val="24"/>
          <w:szCs w:val="24"/>
        </w:rPr>
        <w:t>Foden</w:t>
      </w:r>
      <w:proofErr w:type="spellEnd"/>
      <w:r>
        <w:rPr>
          <w:rFonts w:ascii="Times New Roman" w:eastAsia="Times New Roman" w:hAnsi="Times New Roman" w:cs="Times New Roman"/>
          <w:color w:val="000000"/>
          <w:sz w:val="24"/>
          <w:szCs w:val="24"/>
        </w:rPr>
        <w:t xml:space="preserve"> and Young (2016), exposure is defined as changes in habitat and areas occupied by the </w:t>
      </w:r>
      <w:proofErr w:type="spellStart"/>
      <w:r>
        <w:rPr>
          <w:rFonts w:ascii="Times New Roman" w:eastAsia="Times New Roman" w:hAnsi="Times New Roman" w:cs="Times New Roman"/>
          <w:color w:val="000000"/>
          <w:sz w:val="24"/>
          <w:szCs w:val="24"/>
        </w:rPr>
        <w:t>Araceae</w:t>
      </w:r>
      <w:proofErr w:type="spellEnd"/>
      <w:r>
        <w:rPr>
          <w:rFonts w:ascii="Times New Roman" w:eastAsia="Times New Roman" w:hAnsi="Times New Roman" w:cs="Times New Roman"/>
          <w:color w:val="000000"/>
          <w:sz w:val="24"/>
          <w:szCs w:val="24"/>
        </w:rPr>
        <w:t xml:space="preserve"> species. This component includes the change of the nature and magnitude or amount of </w:t>
      </w:r>
      <w:proofErr w:type="spellStart"/>
      <w:r>
        <w:rPr>
          <w:rFonts w:ascii="Times New Roman" w:eastAsia="Times New Roman" w:hAnsi="Times New Roman" w:cs="Times New Roman"/>
          <w:color w:val="000000"/>
          <w:sz w:val="24"/>
          <w:szCs w:val="24"/>
        </w:rPr>
        <w:t>Araceae</w:t>
      </w:r>
      <w:proofErr w:type="spellEnd"/>
      <w:r>
        <w:rPr>
          <w:rFonts w:ascii="Times New Roman" w:eastAsia="Times New Roman" w:hAnsi="Times New Roman" w:cs="Times New Roman"/>
          <w:color w:val="000000"/>
          <w:sz w:val="24"/>
          <w:szCs w:val="24"/>
        </w:rPr>
        <w:t xml:space="preserve">. The change encompasses both direct and indirect microclimate variables. The climatic variables applied in this study are temperature, precipitation, light density, elevation, and relative humidity based on </w:t>
      </w:r>
      <w:proofErr w:type="spellStart"/>
      <w:r>
        <w:rPr>
          <w:rFonts w:ascii="Times New Roman" w:eastAsia="Times New Roman" w:hAnsi="Times New Roman" w:cs="Times New Roman"/>
          <w:color w:val="000000"/>
          <w:sz w:val="24"/>
          <w:szCs w:val="24"/>
        </w:rPr>
        <w:t>Acebey</w:t>
      </w:r>
      <w:proofErr w:type="spellEnd"/>
      <w:r>
        <w:rPr>
          <w:rFonts w:ascii="Times New Roman" w:eastAsia="Times New Roman" w:hAnsi="Times New Roman" w:cs="Times New Roman"/>
          <w:color w:val="000000"/>
          <w:sz w:val="24"/>
          <w:szCs w:val="24"/>
        </w:rPr>
        <w:t xml:space="preserve"> et al. (2010), Boyce et al. (2010), </w:t>
      </w:r>
      <w:proofErr w:type="spellStart"/>
      <w:r>
        <w:rPr>
          <w:rFonts w:ascii="Times New Roman" w:eastAsia="Times New Roman" w:hAnsi="Times New Roman" w:cs="Times New Roman"/>
          <w:color w:val="000000"/>
          <w:sz w:val="24"/>
          <w:szCs w:val="24"/>
        </w:rPr>
        <w:t>Kitayama</w:t>
      </w:r>
      <w:proofErr w:type="spellEnd"/>
      <w:r>
        <w:rPr>
          <w:rFonts w:ascii="Times New Roman" w:eastAsia="Times New Roman" w:hAnsi="Times New Roman" w:cs="Times New Roman"/>
          <w:color w:val="000000"/>
          <w:sz w:val="24"/>
          <w:szCs w:val="24"/>
        </w:rPr>
        <w:t xml:space="preserve"> et al</w:t>
      </w:r>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(2014), Nor </w:t>
      </w:r>
      <w:proofErr w:type="spellStart"/>
      <w:r>
        <w:rPr>
          <w:rFonts w:ascii="Times New Roman" w:eastAsia="Times New Roman" w:hAnsi="Times New Roman" w:cs="Times New Roman"/>
          <w:color w:val="000000"/>
          <w:sz w:val="24"/>
          <w:szCs w:val="24"/>
        </w:rPr>
        <w:t>Rasyidah</w:t>
      </w:r>
      <w:proofErr w:type="spellEnd"/>
      <w:r>
        <w:rPr>
          <w:rFonts w:ascii="Times New Roman" w:eastAsia="Times New Roman" w:hAnsi="Times New Roman" w:cs="Times New Roman"/>
          <w:color w:val="000000"/>
          <w:sz w:val="24"/>
          <w:szCs w:val="24"/>
        </w:rPr>
        <w:t xml:space="preserve"> (2022), Wong and </w:t>
      </w:r>
      <w:proofErr w:type="spellStart"/>
      <w:r>
        <w:rPr>
          <w:rFonts w:ascii="Times New Roman" w:eastAsia="Times New Roman" w:hAnsi="Times New Roman" w:cs="Times New Roman"/>
          <w:color w:val="000000"/>
          <w:sz w:val="24"/>
          <w:szCs w:val="24"/>
        </w:rPr>
        <w:t>Joling</w:t>
      </w:r>
      <w:proofErr w:type="spellEnd"/>
      <w:r>
        <w:rPr>
          <w:rFonts w:ascii="Times New Roman" w:eastAsia="Times New Roman" w:hAnsi="Times New Roman" w:cs="Times New Roman"/>
          <w:color w:val="000000"/>
          <w:sz w:val="24"/>
          <w:szCs w:val="24"/>
        </w:rPr>
        <w:t xml:space="preserve"> (2021) and </w:t>
      </w:r>
      <w:proofErr w:type="spellStart"/>
      <w:r>
        <w:rPr>
          <w:rFonts w:ascii="Times New Roman" w:eastAsia="Times New Roman" w:hAnsi="Times New Roman" w:cs="Times New Roman"/>
          <w:color w:val="000000"/>
          <w:sz w:val="24"/>
          <w:szCs w:val="24"/>
        </w:rPr>
        <w:t>Zulhazman</w:t>
      </w:r>
      <w:proofErr w:type="spellEnd"/>
      <w:r>
        <w:rPr>
          <w:rFonts w:ascii="Times New Roman" w:eastAsia="Times New Roman" w:hAnsi="Times New Roman" w:cs="Times New Roman"/>
          <w:color w:val="000000"/>
          <w:sz w:val="24"/>
          <w:szCs w:val="24"/>
        </w:rPr>
        <w:t xml:space="preserve"> (2020). These are closely associated with meteorological changes and climate variability. </w:t>
      </w:r>
    </w:p>
    <w:p w14:paraId="2D4FEAEF" w14:textId="77777777" w:rsidR="00F736FC" w:rsidRDefault="00103CC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sensitivity on the other hand, reflects the degree to which </w:t>
      </w:r>
      <w:proofErr w:type="spellStart"/>
      <w:r>
        <w:rPr>
          <w:rFonts w:ascii="Times New Roman" w:eastAsia="Times New Roman" w:hAnsi="Times New Roman" w:cs="Times New Roman"/>
          <w:color w:val="000000"/>
          <w:sz w:val="24"/>
          <w:szCs w:val="24"/>
        </w:rPr>
        <w:t>Araceae</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habitats</w:t>
      </w:r>
      <w:r>
        <w:rPr>
          <w:rFonts w:ascii="Times New Roman" w:eastAsia="Times New Roman" w:hAnsi="Times New Roman" w:cs="Times New Roman"/>
          <w:color w:val="000000"/>
          <w:sz w:val="24"/>
          <w:szCs w:val="24"/>
        </w:rPr>
        <w:t xml:space="preserve"> are affected by environmental changes, particularly those induced by </w:t>
      </w:r>
      <w:r>
        <w:rPr>
          <w:rFonts w:ascii="Times New Roman" w:eastAsia="Times New Roman" w:hAnsi="Times New Roman" w:cs="Times New Roman"/>
          <w:sz w:val="24"/>
          <w:szCs w:val="24"/>
        </w:rPr>
        <w:t>humans</w:t>
      </w:r>
      <w:r>
        <w:rPr>
          <w:rFonts w:ascii="Times New Roman" w:eastAsia="Times New Roman" w:hAnsi="Times New Roman" w:cs="Times New Roman"/>
          <w:color w:val="000000"/>
          <w:sz w:val="24"/>
          <w:szCs w:val="24"/>
        </w:rPr>
        <w:t xml:space="preserve">. It captures the response and resilience of the species to such </w:t>
      </w:r>
      <w:proofErr w:type="gramStart"/>
      <w:r>
        <w:rPr>
          <w:rFonts w:ascii="Times New Roman" w:eastAsia="Times New Roman" w:hAnsi="Times New Roman" w:cs="Times New Roman"/>
          <w:color w:val="000000"/>
          <w:sz w:val="24"/>
          <w:szCs w:val="24"/>
        </w:rPr>
        <w:t>changes  (</w:t>
      </w:r>
      <w:proofErr w:type="gramEnd"/>
      <w:r>
        <w:rPr>
          <w:rFonts w:ascii="Times New Roman" w:eastAsia="Times New Roman" w:hAnsi="Times New Roman" w:cs="Times New Roman"/>
          <w:color w:val="000000"/>
          <w:sz w:val="24"/>
          <w:szCs w:val="24"/>
        </w:rPr>
        <w:t>Glick</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et al., 2011). The criteria used to assess sensitivity were adapted from </w:t>
      </w:r>
      <w:proofErr w:type="spellStart"/>
      <w:r>
        <w:rPr>
          <w:rFonts w:ascii="Times New Roman" w:eastAsia="Times New Roman" w:hAnsi="Times New Roman" w:cs="Times New Roman"/>
          <w:color w:val="000000"/>
          <w:sz w:val="24"/>
          <w:szCs w:val="24"/>
        </w:rPr>
        <w:t>Baral</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Ghimire</w:t>
      </w:r>
      <w:proofErr w:type="spellEnd"/>
      <w:r>
        <w:rPr>
          <w:rFonts w:ascii="Times New Roman" w:eastAsia="Times New Roman" w:hAnsi="Times New Roman" w:cs="Times New Roman"/>
          <w:color w:val="000000"/>
          <w:sz w:val="24"/>
          <w:szCs w:val="24"/>
        </w:rPr>
        <w:t xml:space="preserve"> (2020), Noor </w:t>
      </w:r>
      <w:proofErr w:type="spellStart"/>
      <w:r>
        <w:rPr>
          <w:rFonts w:ascii="Times New Roman" w:eastAsia="Times New Roman" w:hAnsi="Times New Roman" w:cs="Times New Roman"/>
          <w:color w:val="000000"/>
          <w:sz w:val="24"/>
          <w:szCs w:val="24"/>
        </w:rPr>
        <w:t>Liyana</w:t>
      </w:r>
      <w:proofErr w:type="spellEnd"/>
      <w:r>
        <w:rPr>
          <w:rFonts w:ascii="Times New Roman" w:eastAsia="Times New Roman" w:hAnsi="Times New Roman" w:cs="Times New Roman"/>
          <w:color w:val="000000"/>
          <w:sz w:val="24"/>
          <w:szCs w:val="24"/>
        </w:rPr>
        <w:t xml:space="preserve"> et al. (2020), </w:t>
      </w:r>
      <w:proofErr w:type="spellStart"/>
      <w:r>
        <w:rPr>
          <w:rFonts w:ascii="Times New Roman" w:eastAsia="Times New Roman" w:hAnsi="Times New Roman" w:cs="Times New Roman"/>
          <w:color w:val="000000"/>
          <w:sz w:val="24"/>
          <w:szCs w:val="24"/>
        </w:rPr>
        <w:t>Zulhazman</w:t>
      </w:r>
      <w:proofErr w:type="spellEnd"/>
      <w:r>
        <w:rPr>
          <w:rFonts w:ascii="Times New Roman" w:eastAsia="Times New Roman" w:hAnsi="Times New Roman" w:cs="Times New Roman"/>
          <w:color w:val="000000"/>
          <w:sz w:val="24"/>
          <w:szCs w:val="24"/>
        </w:rPr>
        <w:t xml:space="preserve"> (2020), </w:t>
      </w:r>
      <w:proofErr w:type="spellStart"/>
      <w:r>
        <w:rPr>
          <w:rFonts w:ascii="Times New Roman" w:eastAsia="Times New Roman" w:hAnsi="Times New Roman" w:cs="Times New Roman"/>
          <w:color w:val="000000"/>
          <w:sz w:val="24"/>
          <w:szCs w:val="24"/>
        </w:rPr>
        <w:t>Zulhazman</w:t>
      </w:r>
      <w:proofErr w:type="spellEnd"/>
      <w:r>
        <w:rPr>
          <w:rFonts w:ascii="Times New Roman" w:eastAsia="Times New Roman" w:hAnsi="Times New Roman" w:cs="Times New Roman"/>
          <w:color w:val="000000"/>
          <w:sz w:val="24"/>
          <w:szCs w:val="24"/>
        </w:rPr>
        <w:t xml:space="preserve">, Abas, et al. (2021), Wong and </w:t>
      </w:r>
      <w:proofErr w:type="spellStart"/>
      <w:r>
        <w:rPr>
          <w:rFonts w:ascii="Times New Roman" w:eastAsia="Times New Roman" w:hAnsi="Times New Roman" w:cs="Times New Roman"/>
          <w:color w:val="000000"/>
          <w:sz w:val="24"/>
          <w:szCs w:val="24"/>
        </w:rPr>
        <w:t>Joling</w:t>
      </w:r>
      <w:proofErr w:type="spellEnd"/>
      <w:r>
        <w:rPr>
          <w:rFonts w:ascii="Times New Roman" w:eastAsia="Times New Roman" w:hAnsi="Times New Roman" w:cs="Times New Roman"/>
          <w:color w:val="000000"/>
          <w:sz w:val="24"/>
          <w:szCs w:val="24"/>
        </w:rPr>
        <w:t xml:space="preserve"> (2021), and </w:t>
      </w:r>
      <w:proofErr w:type="spellStart"/>
      <w:r>
        <w:rPr>
          <w:rFonts w:ascii="Times New Roman" w:eastAsia="Times New Roman" w:hAnsi="Times New Roman" w:cs="Times New Roman"/>
          <w:color w:val="000000"/>
          <w:sz w:val="24"/>
          <w:szCs w:val="24"/>
        </w:rPr>
        <w:t>Zulhazman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Aweng</w:t>
      </w:r>
      <w:proofErr w:type="spellEnd"/>
      <w:r>
        <w:rPr>
          <w:rFonts w:ascii="Times New Roman" w:eastAsia="Times New Roman" w:hAnsi="Times New Roman" w:cs="Times New Roman"/>
          <w:color w:val="000000"/>
          <w:sz w:val="24"/>
          <w:szCs w:val="24"/>
        </w:rPr>
        <w:t xml:space="preserve">, et al. (2021) focus on habitat disturbances and ecological pressures resulting from human land use. The specific interactions between </w:t>
      </w:r>
      <w:proofErr w:type="spellStart"/>
      <w:r>
        <w:rPr>
          <w:rFonts w:ascii="Times New Roman" w:eastAsia="Times New Roman" w:hAnsi="Times New Roman" w:cs="Times New Roman"/>
          <w:color w:val="000000"/>
          <w:sz w:val="24"/>
          <w:szCs w:val="24"/>
        </w:rPr>
        <w:t>Araceae</w:t>
      </w:r>
      <w:proofErr w:type="spellEnd"/>
      <w:r>
        <w:rPr>
          <w:rFonts w:ascii="Times New Roman" w:eastAsia="Times New Roman" w:hAnsi="Times New Roman" w:cs="Times New Roman"/>
          <w:color w:val="000000"/>
          <w:sz w:val="24"/>
          <w:szCs w:val="24"/>
        </w:rPr>
        <w:t xml:space="preserve"> and anthropogenic factors are outlined in </w:t>
      </w:r>
      <w:r>
        <w:rPr>
          <w:rFonts w:ascii="Times New Roman" w:eastAsia="Times New Roman" w:hAnsi="Times New Roman" w:cs="Times New Roman"/>
          <w:sz w:val="24"/>
          <w:szCs w:val="24"/>
        </w:rPr>
        <w:t>Table 1</w:t>
      </w:r>
      <w:r>
        <w:rPr>
          <w:rFonts w:ascii="Times New Roman" w:eastAsia="Times New Roman" w:hAnsi="Times New Roman" w:cs="Times New Roman"/>
          <w:color w:val="000000"/>
          <w:sz w:val="24"/>
          <w:szCs w:val="24"/>
        </w:rPr>
        <w:t xml:space="preserve">, with reference to works by Castellani and Sal (2012), </w:t>
      </w:r>
      <w:proofErr w:type="spellStart"/>
      <w:r>
        <w:rPr>
          <w:rFonts w:ascii="Times New Roman" w:eastAsia="Times New Roman" w:hAnsi="Times New Roman" w:cs="Times New Roman"/>
          <w:color w:val="000000"/>
          <w:sz w:val="24"/>
          <w:szCs w:val="24"/>
        </w:rPr>
        <w:t>Martire</w:t>
      </w:r>
      <w:proofErr w:type="spellEnd"/>
      <w:r>
        <w:rPr>
          <w:rFonts w:ascii="Times New Roman" w:eastAsia="Times New Roman" w:hAnsi="Times New Roman" w:cs="Times New Roman"/>
          <w:color w:val="000000"/>
          <w:sz w:val="24"/>
          <w:szCs w:val="24"/>
        </w:rPr>
        <w:t xml:space="preserve"> et al. (2015), and </w:t>
      </w:r>
      <w:proofErr w:type="spellStart"/>
      <w:r>
        <w:rPr>
          <w:rFonts w:ascii="Times New Roman" w:eastAsia="Times New Roman" w:hAnsi="Times New Roman" w:cs="Times New Roman"/>
          <w:color w:val="000000"/>
          <w:sz w:val="24"/>
          <w:szCs w:val="24"/>
        </w:rPr>
        <w:t>Wallenfang</w:t>
      </w:r>
      <w:proofErr w:type="spellEnd"/>
      <w:r>
        <w:rPr>
          <w:rFonts w:ascii="Times New Roman" w:eastAsia="Times New Roman" w:hAnsi="Times New Roman" w:cs="Times New Roman"/>
          <w:color w:val="000000"/>
          <w:sz w:val="24"/>
          <w:szCs w:val="24"/>
        </w:rPr>
        <w:t xml:space="preserve"> et al. (2015) </w:t>
      </w:r>
    </w:p>
    <w:p w14:paraId="6DF49535" w14:textId="77777777" w:rsidR="00F736FC" w:rsidRDefault="00F736FC">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5B0D0FE8" w14:textId="2CF92213" w:rsidR="00F736FC" w:rsidRDefault="00103CC2" w:rsidP="00B9779B">
      <w:pPr>
        <w:spacing w:after="0" w:line="240" w:lineRule="auto"/>
        <w:ind w:hanging="2"/>
        <w:jc w:val="center"/>
        <w:rPr>
          <w:rFonts w:ascii="Times New Roman" w:eastAsia="Times New Roman" w:hAnsi="Times New Roman" w:cs="Times New Roman"/>
          <w:b/>
          <w:sz w:val="24"/>
          <w:szCs w:val="24"/>
        </w:rPr>
      </w:pPr>
      <w:r w:rsidRPr="00B9779B">
        <w:rPr>
          <w:rFonts w:ascii="Times New Roman" w:eastAsia="Times New Roman" w:hAnsi="Times New Roman" w:cs="Times New Roman"/>
          <w:b/>
          <w:sz w:val="24"/>
          <w:szCs w:val="24"/>
        </w:rPr>
        <w:t xml:space="preserve">Table 1. </w:t>
      </w:r>
      <w:r w:rsidR="00B9779B" w:rsidRPr="00927C1D">
        <w:rPr>
          <w:rFonts w:ascii="Times New Roman" w:eastAsia="Times New Roman" w:hAnsi="Times New Roman" w:cs="Times New Roman"/>
          <w:bCs/>
          <w:sz w:val="24"/>
          <w:szCs w:val="24"/>
        </w:rPr>
        <w:t>Sensitivity component rubrics</w:t>
      </w:r>
    </w:p>
    <w:p w14:paraId="5E3E3ADE" w14:textId="77777777" w:rsidR="00B9779B" w:rsidRPr="00B9779B" w:rsidRDefault="00B9779B" w:rsidP="00B9779B">
      <w:pPr>
        <w:spacing w:after="0" w:line="240" w:lineRule="auto"/>
        <w:ind w:hanging="2"/>
        <w:jc w:val="center"/>
        <w:rPr>
          <w:rFonts w:ascii="Times New Roman" w:eastAsia="Times New Roman" w:hAnsi="Times New Roman" w:cs="Times New Roman"/>
          <w:b/>
          <w:sz w:val="24"/>
          <w:szCs w:val="24"/>
        </w:rPr>
      </w:pPr>
    </w:p>
    <w:tbl>
      <w:tblPr>
        <w:tblStyle w:val="a0"/>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540"/>
        <w:gridCol w:w="1846"/>
        <w:gridCol w:w="1359"/>
        <w:gridCol w:w="1253"/>
        <w:gridCol w:w="1346"/>
        <w:gridCol w:w="1214"/>
        <w:gridCol w:w="1541"/>
      </w:tblGrid>
      <w:tr w:rsidR="00F736FC" w:rsidRPr="00CF0052" w14:paraId="6B95EBDE" w14:textId="77777777" w:rsidTr="00CF0052">
        <w:trPr>
          <w:jc w:val="center"/>
        </w:trPr>
        <w:tc>
          <w:tcPr>
            <w:tcW w:w="2921" w:type="dxa"/>
            <w:gridSpan w:val="3"/>
            <w:shd w:val="clear" w:color="auto" w:fill="8DB3E2" w:themeFill="text2" w:themeFillTint="66"/>
            <w:vAlign w:val="center"/>
          </w:tcPr>
          <w:p w14:paraId="1F2828A6" w14:textId="036D7F25" w:rsidR="00F736FC" w:rsidRPr="00CF0052" w:rsidRDefault="00CF0052">
            <w:pPr>
              <w:spacing w:line="276" w:lineRule="auto"/>
              <w:ind w:hanging="2"/>
              <w:jc w:val="center"/>
              <w:rPr>
                <w:rFonts w:ascii="Times New Roman" w:eastAsia="Times New Roman" w:hAnsi="Times New Roman" w:cs="Times New Roman"/>
                <w:b/>
                <w:sz w:val="24"/>
                <w:szCs w:val="20"/>
              </w:rPr>
            </w:pPr>
            <w:bookmarkStart w:id="2" w:name="_heading=h.1mfz0l78o13k" w:colFirst="0" w:colLast="0"/>
            <w:bookmarkEnd w:id="2"/>
            <w:r w:rsidRPr="00CF0052">
              <w:rPr>
                <w:rFonts w:ascii="Times New Roman" w:eastAsia="Times New Roman" w:hAnsi="Times New Roman" w:cs="Times New Roman"/>
                <w:b/>
                <w:sz w:val="24"/>
                <w:szCs w:val="20"/>
              </w:rPr>
              <w:t>Sensitivity c</w:t>
            </w:r>
            <w:r w:rsidR="00103CC2" w:rsidRPr="00CF0052">
              <w:rPr>
                <w:rFonts w:ascii="Times New Roman" w:eastAsia="Times New Roman" w:hAnsi="Times New Roman" w:cs="Times New Roman"/>
                <w:b/>
                <w:sz w:val="24"/>
                <w:szCs w:val="20"/>
              </w:rPr>
              <w:t>riteria</w:t>
            </w:r>
          </w:p>
        </w:tc>
        <w:tc>
          <w:tcPr>
            <w:tcW w:w="2612" w:type="dxa"/>
            <w:gridSpan w:val="2"/>
            <w:shd w:val="clear" w:color="auto" w:fill="8DB3E2" w:themeFill="text2" w:themeFillTint="66"/>
            <w:vAlign w:val="center"/>
          </w:tcPr>
          <w:p w14:paraId="62AC3B53" w14:textId="77777777"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Low (1-2)</w:t>
            </w:r>
          </w:p>
        </w:tc>
        <w:tc>
          <w:tcPr>
            <w:tcW w:w="2560" w:type="dxa"/>
            <w:gridSpan w:val="2"/>
            <w:shd w:val="clear" w:color="auto" w:fill="8DB3E2" w:themeFill="text2" w:themeFillTint="66"/>
            <w:vAlign w:val="center"/>
          </w:tcPr>
          <w:p w14:paraId="046CC2E3" w14:textId="77777777"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Medium (3-4)</w:t>
            </w:r>
          </w:p>
        </w:tc>
        <w:tc>
          <w:tcPr>
            <w:tcW w:w="1541" w:type="dxa"/>
            <w:shd w:val="clear" w:color="auto" w:fill="8DB3E2" w:themeFill="text2" w:themeFillTint="66"/>
            <w:vAlign w:val="center"/>
          </w:tcPr>
          <w:p w14:paraId="5B7D28DF" w14:textId="77777777"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High (5)</w:t>
            </w:r>
          </w:p>
        </w:tc>
      </w:tr>
      <w:tr w:rsidR="00F736FC" w:rsidRPr="00CF0052" w14:paraId="5A51A344" w14:textId="77777777" w:rsidTr="00CF0052">
        <w:trPr>
          <w:jc w:val="center"/>
        </w:trPr>
        <w:tc>
          <w:tcPr>
            <w:tcW w:w="535" w:type="dxa"/>
            <w:vMerge w:val="restart"/>
            <w:vAlign w:val="center"/>
          </w:tcPr>
          <w:p w14:paraId="7186A353" w14:textId="77777777" w:rsidR="00F736FC" w:rsidRPr="00CF0052" w:rsidRDefault="00F736FC">
            <w:pPr>
              <w:spacing w:line="276" w:lineRule="auto"/>
              <w:ind w:hanging="2"/>
              <w:jc w:val="center"/>
              <w:rPr>
                <w:rFonts w:ascii="Times New Roman" w:eastAsia="Times New Roman" w:hAnsi="Times New Roman" w:cs="Times New Roman"/>
                <w:b/>
                <w:sz w:val="24"/>
                <w:szCs w:val="20"/>
              </w:rPr>
            </w:pPr>
          </w:p>
          <w:p w14:paraId="553494C5" w14:textId="77777777" w:rsidR="00F736FC" w:rsidRPr="00CF0052" w:rsidRDefault="00F736FC">
            <w:pPr>
              <w:spacing w:line="276" w:lineRule="auto"/>
              <w:ind w:hanging="2"/>
              <w:jc w:val="center"/>
              <w:rPr>
                <w:rFonts w:ascii="Times New Roman" w:eastAsia="Times New Roman" w:hAnsi="Times New Roman" w:cs="Times New Roman"/>
                <w:b/>
                <w:sz w:val="24"/>
                <w:szCs w:val="20"/>
              </w:rPr>
            </w:pPr>
          </w:p>
          <w:p w14:paraId="5D3C3FE0" w14:textId="77777777" w:rsidR="00F736FC" w:rsidRPr="00CF0052" w:rsidRDefault="00F736FC">
            <w:pPr>
              <w:spacing w:line="276" w:lineRule="auto"/>
              <w:ind w:hanging="2"/>
              <w:jc w:val="center"/>
              <w:rPr>
                <w:rFonts w:ascii="Times New Roman" w:eastAsia="Times New Roman" w:hAnsi="Times New Roman" w:cs="Times New Roman"/>
                <w:b/>
                <w:sz w:val="24"/>
                <w:szCs w:val="20"/>
              </w:rPr>
            </w:pPr>
          </w:p>
          <w:p w14:paraId="6B6B6D4F" w14:textId="4CA4C59F" w:rsidR="00F736FC" w:rsidRPr="00CF0052" w:rsidRDefault="00CF0052">
            <w:pPr>
              <w:spacing w:line="276" w:lineRule="auto"/>
              <w:ind w:hanging="2"/>
              <w:jc w:val="center"/>
              <w:rPr>
                <w:rFonts w:ascii="Times New Roman" w:eastAsia="Times New Roman" w:hAnsi="Times New Roman" w:cs="Times New Roman"/>
                <w:b/>
                <w:sz w:val="24"/>
                <w:szCs w:val="20"/>
              </w:rPr>
            </w:pPr>
            <w:r w:rsidRPr="00CF0052">
              <w:rPr>
                <w:noProof/>
                <w:sz w:val="24"/>
                <w:lang w:val="en-MY"/>
              </w:rPr>
              <mc:AlternateContent>
                <mc:Choice Requires="wps">
                  <w:drawing>
                    <wp:anchor distT="45720" distB="45720" distL="114300" distR="114300" simplePos="0" relativeHeight="251658240" behindDoc="0" locked="0" layoutInCell="1" hidden="0" allowOverlap="1" wp14:anchorId="68C74027" wp14:editId="792CAEF9">
                      <wp:simplePos x="0" y="0"/>
                      <wp:positionH relativeFrom="column">
                        <wp:posOffset>-17780</wp:posOffset>
                      </wp:positionH>
                      <wp:positionV relativeFrom="paragraph">
                        <wp:posOffset>214630</wp:posOffset>
                      </wp:positionV>
                      <wp:extent cx="287655" cy="1581150"/>
                      <wp:effectExtent l="0" t="0" r="0" b="0"/>
                      <wp:wrapSquare wrapText="bothSides" distT="45720" distB="45720" distL="114300" distR="114300"/>
                      <wp:docPr id="1190483621" name="Rectangle 1190483621"/>
                      <wp:cNvGraphicFramePr/>
                      <a:graphic xmlns:a="http://schemas.openxmlformats.org/drawingml/2006/main">
                        <a:graphicData uri="http://schemas.microsoft.com/office/word/2010/wordprocessingShape">
                          <wps:wsp>
                            <wps:cNvSpPr/>
                            <wps:spPr>
                              <a:xfrm>
                                <a:off x="0" y="0"/>
                                <a:ext cx="287655" cy="1581150"/>
                              </a:xfrm>
                              <a:prstGeom prst="rect">
                                <a:avLst/>
                              </a:prstGeom>
                              <a:solidFill>
                                <a:srgbClr val="FFFFFF"/>
                              </a:solidFill>
                              <a:ln>
                                <a:noFill/>
                              </a:ln>
                            </wps:spPr>
                            <wps:txbx>
                              <w:txbxContent>
                                <w:p w14:paraId="685E82B2" w14:textId="77777777" w:rsidR="00F736FC" w:rsidRDefault="00103CC2">
                                  <w:pPr>
                                    <w:spacing w:line="275" w:lineRule="auto"/>
                                    <w:ind w:hanging="2"/>
                                    <w:jc w:val="center"/>
                                    <w:textDirection w:val="btLr"/>
                                  </w:pPr>
                                  <w:r>
                                    <w:rPr>
                                      <w:rFonts w:ascii="Times New Roman" w:eastAsia="Times New Roman" w:hAnsi="Times New Roman" w:cs="Times New Roman"/>
                                      <w:b/>
                                      <w:color w:val="000000"/>
                                      <w:sz w:val="20"/>
                                    </w:rPr>
                                    <w:t>INTRINSIC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C74027" id="Rectangle 1190483621" o:spid="_x0000_s1026" style="position:absolute;left:0;text-align:left;margin-left:-1.4pt;margin-top:16.9pt;width:22.65pt;height:12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" stroked="f">
                      <v:textbox inset="2.53958mm,1.2694mm,2.53958mm,1.2694mm">
                        <w:txbxContent>
                          <w:p w14:paraId="685E82B2" w14:textId="77777777" w:rsidR="00F736FC" w:rsidRDefault="00103CC2">
                            <w:pPr>
                              <w:spacing w:line="275" w:lineRule="auto"/>
                              <w:ind w:hanging="2"/>
                              <w:jc w:val="center"/>
                              <w:textDirection w:val="btLr"/>
                            </w:pPr>
                            <w:r>
                              <w:rPr>
                                <w:rFonts w:ascii="Times New Roman" w:eastAsia="Times New Roman" w:hAnsi="Times New Roman" w:cs="Times New Roman"/>
                                <w:b/>
                                <w:color w:val="000000"/>
                                <w:sz w:val="20"/>
                              </w:rPr>
                              <w:t>INTRINSIC</w:t>
                            </w:r>
                          </w:p>
                        </w:txbxContent>
                      </v:textbox>
                      <w10:wrap type="square"/>
                    </v:rect>
                  </w:pict>
                </mc:Fallback>
              </mc:AlternateContent>
            </w:r>
          </w:p>
          <w:p w14:paraId="134D4FFC" w14:textId="4264C23F" w:rsidR="00F736FC" w:rsidRPr="00CF0052" w:rsidRDefault="00F736FC">
            <w:pPr>
              <w:spacing w:line="276" w:lineRule="auto"/>
              <w:ind w:hanging="2"/>
              <w:jc w:val="center"/>
              <w:rPr>
                <w:rFonts w:ascii="Times New Roman" w:eastAsia="Times New Roman" w:hAnsi="Times New Roman" w:cs="Times New Roman"/>
                <w:b/>
                <w:sz w:val="24"/>
                <w:szCs w:val="20"/>
              </w:rPr>
            </w:pPr>
          </w:p>
          <w:p w14:paraId="180239C3" w14:textId="552E0988" w:rsidR="00F736FC" w:rsidRPr="00CF0052" w:rsidRDefault="00F736FC">
            <w:pPr>
              <w:spacing w:line="276" w:lineRule="auto"/>
              <w:ind w:hanging="2"/>
              <w:jc w:val="center"/>
              <w:rPr>
                <w:rFonts w:ascii="Times New Roman" w:eastAsia="Times New Roman" w:hAnsi="Times New Roman" w:cs="Times New Roman"/>
                <w:b/>
                <w:sz w:val="24"/>
                <w:szCs w:val="20"/>
              </w:rPr>
            </w:pPr>
          </w:p>
        </w:tc>
        <w:tc>
          <w:tcPr>
            <w:tcW w:w="540" w:type="dxa"/>
            <w:vAlign w:val="center"/>
          </w:tcPr>
          <w:p w14:paraId="286E9EB2" w14:textId="77777777"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lastRenderedPageBreak/>
              <w:t>1</w:t>
            </w:r>
          </w:p>
        </w:tc>
        <w:tc>
          <w:tcPr>
            <w:tcW w:w="1846" w:type="dxa"/>
            <w:vAlign w:val="center"/>
          </w:tcPr>
          <w:p w14:paraId="36CAD6A0"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Microhabitat</w:t>
            </w:r>
          </w:p>
        </w:tc>
        <w:tc>
          <w:tcPr>
            <w:tcW w:w="2612" w:type="dxa"/>
            <w:gridSpan w:val="2"/>
            <w:vAlign w:val="center"/>
          </w:tcPr>
          <w:p w14:paraId="1E98884D"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River bank</w:t>
            </w:r>
          </w:p>
        </w:tc>
        <w:tc>
          <w:tcPr>
            <w:tcW w:w="2560" w:type="dxa"/>
            <w:gridSpan w:val="2"/>
            <w:vAlign w:val="center"/>
          </w:tcPr>
          <w:p w14:paraId="5CB1B315"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Ridge</w:t>
            </w:r>
          </w:p>
        </w:tc>
        <w:tc>
          <w:tcPr>
            <w:tcW w:w="1541" w:type="dxa"/>
            <w:vAlign w:val="center"/>
          </w:tcPr>
          <w:p w14:paraId="283026EA"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Waterlogged</w:t>
            </w:r>
          </w:p>
        </w:tc>
      </w:tr>
      <w:tr w:rsidR="00F736FC" w:rsidRPr="00CF0052" w14:paraId="5B9365B7" w14:textId="77777777" w:rsidTr="00CF0052">
        <w:trPr>
          <w:jc w:val="center"/>
        </w:trPr>
        <w:tc>
          <w:tcPr>
            <w:tcW w:w="535" w:type="dxa"/>
            <w:vMerge/>
            <w:vAlign w:val="center"/>
          </w:tcPr>
          <w:p w14:paraId="08F153C1" w14:textId="77777777" w:rsidR="00F736FC" w:rsidRPr="00CF0052" w:rsidRDefault="00F736FC">
            <w:pPr>
              <w:widowControl w:val="0"/>
              <w:spacing w:line="276" w:lineRule="auto"/>
              <w:ind w:firstLine="0"/>
              <w:rPr>
                <w:rFonts w:ascii="Times New Roman" w:eastAsia="Times New Roman" w:hAnsi="Times New Roman" w:cs="Times New Roman"/>
                <w:sz w:val="24"/>
                <w:szCs w:val="20"/>
              </w:rPr>
            </w:pPr>
          </w:p>
        </w:tc>
        <w:tc>
          <w:tcPr>
            <w:tcW w:w="540" w:type="dxa"/>
            <w:vAlign w:val="center"/>
          </w:tcPr>
          <w:p w14:paraId="2D26C3BE" w14:textId="77777777"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2</w:t>
            </w:r>
          </w:p>
        </w:tc>
        <w:tc>
          <w:tcPr>
            <w:tcW w:w="1846" w:type="dxa"/>
            <w:vAlign w:val="center"/>
          </w:tcPr>
          <w:p w14:paraId="43302571"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Distant from river (m)</w:t>
            </w:r>
          </w:p>
        </w:tc>
        <w:tc>
          <w:tcPr>
            <w:tcW w:w="1359" w:type="dxa"/>
            <w:vAlign w:val="center"/>
          </w:tcPr>
          <w:p w14:paraId="29193C97"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&lt;400</w:t>
            </w:r>
          </w:p>
        </w:tc>
        <w:tc>
          <w:tcPr>
            <w:tcW w:w="1253" w:type="dxa"/>
            <w:vAlign w:val="center"/>
          </w:tcPr>
          <w:p w14:paraId="48362CD8"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400-800</w:t>
            </w:r>
          </w:p>
        </w:tc>
        <w:tc>
          <w:tcPr>
            <w:tcW w:w="1346" w:type="dxa"/>
            <w:vAlign w:val="center"/>
          </w:tcPr>
          <w:p w14:paraId="616338F4"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801-1200</w:t>
            </w:r>
          </w:p>
        </w:tc>
        <w:tc>
          <w:tcPr>
            <w:tcW w:w="1214" w:type="dxa"/>
            <w:vAlign w:val="center"/>
          </w:tcPr>
          <w:p w14:paraId="368CC45B"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1201-1500</w:t>
            </w:r>
          </w:p>
        </w:tc>
        <w:tc>
          <w:tcPr>
            <w:tcW w:w="1541" w:type="dxa"/>
            <w:vAlign w:val="center"/>
          </w:tcPr>
          <w:p w14:paraId="5155971F"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&gt;1500</w:t>
            </w:r>
          </w:p>
        </w:tc>
      </w:tr>
      <w:tr w:rsidR="00F736FC" w:rsidRPr="00CF0052" w14:paraId="014BEB56" w14:textId="77777777" w:rsidTr="00CF0052">
        <w:trPr>
          <w:jc w:val="center"/>
        </w:trPr>
        <w:tc>
          <w:tcPr>
            <w:tcW w:w="535" w:type="dxa"/>
            <w:vMerge/>
            <w:vAlign w:val="center"/>
          </w:tcPr>
          <w:p w14:paraId="40B1F512" w14:textId="77777777" w:rsidR="00F736FC" w:rsidRPr="00CF0052" w:rsidRDefault="00F736FC">
            <w:pPr>
              <w:widowControl w:val="0"/>
              <w:spacing w:line="276" w:lineRule="auto"/>
              <w:ind w:firstLine="0"/>
              <w:rPr>
                <w:rFonts w:ascii="Times New Roman" w:eastAsia="Times New Roman" w:hAnsi="Times New Roman" w:cs="Times New Roman"/>
                <w:sz w:val="24"/>
                <w:szCs w:val="20"/>
              </w:rPr>
            </w:pPr>
          </w:p>
        </w:tc>
        <w:tc>
          <w:tcPr>
            <w:tcW w:w="540" w:type="dxa"/>
            <w:vAlign w:val="center"/>
          </w:tcPr>
          <w:p w14:paraId="06139A58" w14:textId="71CDCC05"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3</w:t>
            </w:r>
          </w:p>
        </w:tc>
        <w:tc>
          <w:tcPr>
            <w:tcW w:w="1846" w:type="dxa"/>
            <w:vAlign w:val="center"/>
          </w:tcPr>
          <w:p w14:paraId="3914DD8A"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Canopy cover</w:t>
            </w:r>
          </w:p>
          <w:p w14:paraId="7083BA1E"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 seedling)</w:t>
            </w:r>
          </w:p>
        </w:tc>
        <w:tc>
          <w:tcPr>
            <w:tcW w:w="2612" w:type="dxa"/>
            <w:gridSpan w:val="2"/>
            <w:vAlign w:val="center"/>
          </w:tcPr>
          <w:p w14:paraId="0887F994"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&lt;25</w:t>
            </w:r>
          </w:p>
        </w:tc>
        <w:tc>
          <w:tcPr>
            <w:tcW w:w="2560" w:type="dxa"/>
            <w:gridSpan w:val="2"/>
            <w:vAlign w:val="center"/>
          </w:tcPr>
          <w:p w14:paraId="637E4CCC"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25-75</w:t>
            </w:r>
          </w:p>
        </w:tc>
        <w:tc>
          <w:tcPr>
            <w:tcW w:w="1541" w:type="dxa"/>
            <w:vAlign w:val="center"/>
          </w:tcPr>
          <w:p w14:paraId="7F552A7D"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&gt;75</w:t>
            </w:r>
          </w:p>
        </w:tc>
      </w:tr>
      <w:tr w:rsidR="00F736FC" w:rsidRPr="00CF0052" w14:paraId="79923BC3" w14:textId="77777777" w:rsidTr="00CF0052">
        <w:trPr>
          <w:jc w:val="center"/>
        </w:trPr>
        <w:tc>
          <w:tcPr>
            <w:tcW w:w="535" w:type="dxa"/>
            <w:vMerge/>
            <w:vAlign w:val="center"/>
          </w:tcPr>
          <w:p w14:paraId="588FE156" w14:textId="77777777" w:rsidR="00F736FC" w:rsidRPr="00CF0052" w:rsidRDefault="00F736FC">
            <w:pPr>
              <w:widowControl w:val="0"/>
              <w:spacing w:line="276" w:lineRule="auto"/>
              <w:ind w:firstLine="0"/>
              <w:rPr>
                <w:rFonts w:ascii="Times New Roman" w:eastAsia="Times New Roman" w:hAnsi="Times New Roman" w:cs="Times New Roman"/>
                <w:sz w:val="24"/>
                <w:szCs w:val="20"/>
              </w:rPr>
            </w:pPr>
          </w:p>
        </w:tc>
        <w:tc>
          <w:tcPr>
            <w:tcW w:w="540" w:type="dxa"/>
            <w:vAlign w:val="center"/>
          </w:tcPr>
          <w:p w14:paraId="22C488B2" w14:textId="77777777"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4</w:t>
            </w:r>
          </w:p>
        </w:tc>
        <w:tc>
          <w:tcPr>
            <w:tcW w:w="1846" w:type="dxa"/>
            <w:vAlign w:val="center"/>
          </w:tcPr>
          <w:p w14:paraId="68BCDB8B"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Soil texture (geomorphology)</w:t>
            </w:r>
          </w:p>
        </w:tc>
        <w:tc>
          <w:tcPr>
            <w:tcW w:w="1359" w:type="dxa"/>
            <w:vAlign w:val="center"/>
          </w:tcPr>
          <w:p w14:paraId="303F5D41"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Boulder, sandy &amp; good water flow</w:t>
            </w:r>
          </w:p>
        </w:tc>
        <w:tc>
          <w:tcPr>
            <w:tcW w:w="1253" w:type="dxa"/>
            <w:vAlign w:val="center"/>
          </w:tcPr>
          <w:p w14:paraId="09E966D3"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Boulder, sandy &amp; good water flow</w:t>
            </w:r>
          </w:p>
        </w:tc>
        <w:tc>
          <w:tcPr>
            <w:tcW w:w="1346" w:type="dxa"/>
            <w:vAlign w:val="center"/>
          </w:tcPr>
          <w:p w14:paraId="5A1A68D2"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Sandy &amp; dry</w:t>
            </w:r>
          </w:p>
        </w:tc>
        <w:tc>
          <w:tcPr>
            <w:tcW w:w="1214" w:type="dxa"/>
            <w:vAlign w:val="center"/>
          </w:tcPr>
          <w:p w14:paraId="423414A9"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Clay &amp; watery</w:t>
            </w:r>
          </w:p>
        </w:tc>
        <w:tc>
          <w:tcPr>
            <w:tcW w:w="1541" w:type="dxa"/>
            <w:vAlign w:val="center"/>
          </w:tcPr>
          <w:p w14:paraId="63095F19"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Clay &amp; dry</w:t>
            </w:r>
          </w:p>
        </w:tc>
      </w:tr>
      <w:tr w:rsidR="00F736FC" w:rsidRPr="00CF0052" w14:paraId="4938FA09" w14:textId="77777777" w:rsidTr="00CF0052">
        <w:trPr>
          <w:jc w:val="center"/>
        </w:trPr>
        <w:tc>
          <w:tcPr>
            <w:tcW w:w="535" w:type="dxa"/>
            <w:vMerge/>
            <w:vAlign w:val="center"/>
          </w:tcPr>
          <w:p w14:paraId="7A0BA771" w14:textId="77777777" w:rsidR="00F736FC" w:rsidRPr="00CF0052" w:rsidRDefault="00F736FC">
            <w:pPr>
              <w:widowControl w:val="0"/>
              <w:spacing w:line="276" w:lineRule="auto"/>
              <w:ind w:firstLine="0"/>
              <w:rPr>
                <w:rFonts w:ascii="Times New Roman" w:eastAsia="Times New Roman" w:hAnsi="Times New Roman" w:cs="Times New Roman"/>
                <w:sz w:val="24"/>
                <w:szCs w:val="20"/>
              </w:rPr>
            </w:pPr>
          </w:p>
        </w:tc>
        <w:tc>
          <w:tcPr>
            <w:tcW w:w="540" w:type="dxa"/>
            <w:vAlign w:val="center"/>
          </w:tcPr>
          <w:p w14:paraId="2C2380C7" w14:textId="77777777"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5</w:t>
            </w:r>
          </w:p>
        </w:tc>
        <w:tc>
          <w:tcPr>
            <w:tcW w:w="1846" w:type="dxa"/>
            <w:vAlign w:val="center"/>
          </w:tcPr>
          <w:p w14:paraId="69102D54"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Slope area (</w:t>
            </w:r>
            <w:r w:rsidRPr="00CF0052">
              <w:rPr>
                <w:rFonts w:ascii="Times New Roman" w:eastAsia="Times New Roman" w:hAnsi="Times New Roman" w:cs="Times New Roman"/>
                <w:sz w:val="24"/>
                <w:szCs w:val="20"/>
                <w:vertAlign w:val="superscript"/>
              </w:rPr>
              <w:t>0</w:t>
            </w:r>
            <w:r w:rsidRPr="00CF0052">
              <w:rPr>
                <w:rFonts w:ascii="Times New Roman" w:eastAsia="Times New Roman" w:hAnsi="Times New Roman" w:cs="Times New Roman"/>
                <w:sz w:val="24"/>
                <w:szCs w:val="20"/>
              </w:rPr>
              <w:t>)</w:t>
            </w:r>
          </w:p>
        </w:tc>
        <w:tc>
          <w:tcPr>
            <w:tcW w:w="1359" w:type="dxa"/>
            <w:vAlign w:val="center"/>
          </w:tcPr>
          <w:p w14:paraId="2CA7E3F5"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&gt;55</w:t>
            </w:r>
          </w:p>
        </w:tc>
        <w:tc>
          <w:tcPr>
            <w:tcW w:w="1253" w:type="dxa"/>
            <w:vAlign w:val="center"/>
          </w:tcPr>
          <w:p w14:paraId="3FE0EBD2"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41-55</w:t>
            </w:r>
          </w:p>
        </w:tc>
        <w:tc>
          <w:tcPr>
            <w:tcW w:w="1346" w:type="dxa"/>
            <w:vAlign w:val="center"/>
          </w:tcPr>
          <w:p w14:paraId="32C3AB82"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26-40</w:t>
            </w:r>
          </w:p>
        </w:tc>
        <w:tc>
          <w:tcPr>
            <w:tcW w:w="1214" w:type="dxa"/>
            <w:vAlign w:val="center"/>
          </w:tcPr>
          <w:p w14:paraId="17977A5D"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10-25</w:t>
            </w:r>
          </w:p>
        </w:tc>
        <w:tc>
          <w:tcPr>
            <w:tcW w:w="1541" w:type="dxa"/>
            <w:vAlign w:val="center"/>
          </w:tcPr>
          <w:p w14:paraId="293DF6FC"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&lt;10</w:t>
            </w:r>
          </w:p>
        </w:tc>
      </w:tr>
      <w:tr w:rsidR="00F736FC" w:rsidRPr="00CF0052" w14:paraId="3ADF3D7A" w14:textId="77777777" w:rsidTr="00CF0052">
        <w:trPr>
          <w:jc w:val="center"/>
        </w:trPr>
        <w:tc>
          <w:tcPr>
            <w:tcW w:w="535" w:type="dxa"/>
            <w:vMerge/>
            <w:vAlign w:val="center"/>
          </w:tcPr>
          <w:p w14:paraId="29DD18F7" w14:textId="77777777" w:rsidR="00F736FC" w:rsidRPr="00CF0052" w:rsidRDefault="00F736FC">
            <w:pPr>
              <w:widowControl w:val="0"/>
              <w:spacing w:line="276" w:lineRule="auto"/>
              <w:ind w:firstLine="0"/>
              <w:rPr>
                <w:rFonts w:ascii="Times New Roman" w:eastAsia="Times New Roman" w:hAnsi="Times New Roman" w:cs="Times New Roman"/>
                <w:sz w:val="24"/>
                <w:szCs w:val="20"/>
              </w:rPr>
            </w:pPr>
          </w:p>
        </w:tc>
        <w:tc>
          <w:tcPr>
            <w:tcW w:w="540" w:type="dxa"/>
            <w:vAlign w:val="center"/>
          </w:tcPr>
          <w:p w14:paraId="22139293" w14:textId="77777777"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6</w:t>
            </w:r>
          </w:p>
        </w:tc>
        <w:tc>
          <w:tcPr>
            <w:tcW w:w="1846" w:type="dxa"/>
            <w:vAlign w:val="center"/>
          </w:tcPr>
          <w:p w14:paraId="63EAD8E2"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Forest layer</w:t>
            </w:r>
          </w:p>
        </w:tc>
        <w:tc>
          <w:tcPr>
            <w:tcW w:w="1359" w:type="dxa"/>
            <w:vAlign w:val="center"/>
          </w:tcPr>
          <w:p w14:paraId="438F3AE1"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Forest floor</w:t>
            </w:r>
          </w:p>
        </w:tc>
        <w:tc>
          <w:tcPr>
            <w:tcW w:w="1253" w:type="dxa"/>
            <w:vAlign w:val="center"/>
          </w:tcPr>
          <w:p w14:paraId="68D2AF57"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Understory layer</w:t>
            </w:r>
          </w:p>
        </w:tc>
        <w:tc>
          <w:tcPr>
            <w:tcW w:w="2560" w:type="dxa"/>
            <w:gridSpan w:val="2"/>
            <w:vAlign w:val="center"/>
          </w:tcPr>
          <w:p w14:paraId="759D8221"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Canopy layer</w:t>
            </w:r>
          </w:p>
        </w:tc>
        <w:tc>
          <w:tcPr>
            <w:tcW w:w="1541" w:type="dxa"/>
            <w:vAlign w:val="center"/>
          </w:tcPr>
          <w:p w14:paraId="369630E9"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Emergent layer</w:t>
            </w:r>
          </w:p>
        </w:tc>
      </w:tr>
      <w:tr w:rsidR="00F736FC" w:rsidRPr="00CF0052" w14:paraId="044145A5" w14:textId="77777777" w:rsidTr="00CF0052">
        <w:trPr>
          <w:jc w:val="center"/>
        </w:trPr>
        <w:tc>
          <w:tcPr>
            <w:tcW w:w="535" w:type="dxa"/>
            <w:vMerge/>
            <w:vAlign w:val="center"/>
          </w:tcPr>
          <w:p w14:paraId="21463B34" w14:textId="77777777" w:rsidR="00F736FC" w:rsidRPr="00CF0052" w:rsidRDefault="00F736FC">
            <w:pPr>
              <w:widowControl w:val="0"/>
              <w:spacing w:line="276" w:lineRule="auto"/>
              <w:ind w:firstLine="0"/>
              <w:rPr>
                <w:rFonts w:ascii="Times New Roman" w:eastAsia="Times New Roman" w:hAnsi="Times New Roman" w:cs="Times New Roman"/>
                <w:sz w:val="24"/>
                <w:szCs w:val="20"/>
              </w:rPr>
            </w:pPr>
          </w:p>
        </w:tc>
        <w:tc>
          <w:tcPr>
            <w:tcW w:w="540" w:type="dxa"/>
            <w:vAlign w:val="center"/>
          </w:tcPr>
          <w:p w14:paraId="1E59F11D" w14:textId="77777777"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7</w:t>
            </w:r>
          </w:p>
        </w:tc>
        <w:tc>
          <w:tcPr>
            <w:tcW w:w="1846" w:type="dxa"/>
            <w:vAlign w:val="center"/>
          </w:tcPr>
          <w:p w14:paraId="7B83BA5A"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The type of forest</w:t>
            </w:r>
          </w:p>
        </w:tc>
        <w:tc>
          <w:tcPr>
            <w:tcW w:w="1359" w:type="dxa"/>
            <w:vAlign w:val="center"/>
          </w:tcPr>
          <w:p w14:paraId="07910037"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Undisturbed forest/ virgin forest</w:t>
            </w:r>
          </w:p>
        </w:tc>
        <w:tc>
          <w:tcPr>
            <w:tcW w:w="1253" w:type="dxa"/>
            <w:vAlign w:val="center"/>
          </w:tcPr>
          <w:p w14:paraId="60C1F8A6"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Less disturbed forest (recovery)</w:t>
            </w:r>
          </w:p>
        </w:tc>
        <w:tc>
          <w:tcPr>
            <w:tcW w:w="1346" w:type="dxa"/>
            <w:vAlign w:val="center"/>
          </w:tcPr>
          <w:p w14:paraId="0C6CDAC4"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Disturbed forest (recovery)</w:t>
            </w:r>
          </w:p>
        </w:tc>
        <w:tc>
          <w:tcPr>
            <w:tcW w:w="1214" w:type="dxa"/>
            <w:vAlign w:val="center"/>
          </w:tcPr>
          <w:p w14:paraId="4711383E"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Disturbed forest</w:t>
            </w:r>
          </w:p>
        </w:tc>
        <w:tc>
          <w:tcPr>
            <w:tcW w:w="1541" w:type="dxa"/>
            <w:vAlign w:val="center"/>
          </w:tcPr>
          <w:p w14:paraId="7AA76E59"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Very disturbed forest</w:t>
            </w:r>
          </w:p>
        </w:tc>
      </w:tr>
      <w:tr w:rsidR="00F736FC" w:rsidRPr="00CF0052" w14:paraId="04D18A04" w14:textId="77777777" w:rsidTr="00CF0052">
        <w:trPr>
          <w:jc w:val="center"/>
        </w:trPr>
        <w:tc>
          <w:tcPr>
            <w:tcW w:w="535" w:type="dxa"/>
            <w:vMerge w:val="restart"/>
            <w:vAlign w:val="center"/>
          </w:tcPr>
          <w:p w14:paraId="5719816A" w14:textId="7B871BE7" w:rsidR="00F736FC" w:rsidRPr="00CF0052" w:rsidRDefault="00F736FC">
            <w:pPr>
              <w:spacing w:line="276" w:lineRule="auto"/>
              <w:ind w:hanging="2"/>
              <w:jc w:val="center"/>
              <w:rPr>
                <w:rFonts w:ascii="Times New Roman" w:eastAsia="Times New Roman" w:hAnsi="Times New Roman" w:cs="Times New Roman"/>
                <w:b/>
                <w:sz w:val="24"/>
                <w:szCs w:val="20"/>
              </w:rPr>
            </w:pPr>
          </w:p>
          <w:p w14:paraId="08869B60" w14:textId="77777777" w:rsidR="00F736FC" w:rsidRPr="00CF0052" w:rsidRDefault="00F736FC">
            <w:pPr>
              <w:spacing w:line="276" w:lineRule="auto"/>
              <w:ind w:hanging="2"/>
              <w:jc w:val="center"/>
              <w:rPr>
                <w:rFonts w:ascii="Times New Roman" w:eastAsia="Times New Roman" w:hAnsi="Times New Roman" w:cs="Times New Roman"/>
                <w:b/>
                <w:sz w:val="24"/>
                <w:szCs w:val="20"/>
              </w:rPr>
            </w:pPr>
          </w:p>
          <w:p w14:paraId="2F035983" w14:textId="2669289B" w:rsidR="00F736FC" w:rsidRPr="00CF0052" w:rsidRDefault="00F736FC">
            <w:pPr>
              <w:spacing w:line="276" w:lineRule="auto"/>
              <w:ind w:hanging="2"/>
              <w:jc w:val="center"/>
              <w:rPr>
                <w:rFonts w:ascii="Times New Roman" w:eastAsia="Times New Roman" w:hAnsi="Times New Roman" w:cs="Times New Roman"/>
                <w:b/>
                <w:sz w:val="24"/>
                <w:szCs w:val="20"/>
              </w:rPr>
            </w:pPr>
          </w:p>
          <w:p w14:paraId="2E8DD3CD" w14:textId="0946681B" w:rsidR="00F736FC" w:rsidRPr="00CF0052" w:rsidRDefault="00CF0052">
            <w:pPr>
              <w:spacing w:line="276" w:lineRule="auto"/>
              <w:ind w:hanging="2"/>
              <w:jc w:val="center"/>
              <w:rPr>
                <w:rFonts w:ascii="Times New Roman" w:eastAsia="Times New Roman" w:hAnsi="Times New Roman" w:cs="Times New Roman"/>
                <w:b/>
                <w:sz w:val="24"/>
                <w:szCs w:val="20"/>
              </w:rPr>
            </w:pPr>
            <w:r w:rsidRPr="00CF0052">
              <w:rPr>
                <w:noProof/>
                <w:sz w:val="24"/>
                <w:lang w:val="en-MY"/>
              </w:rPr>
              <mc:AlternateContent>
                <mc:Choice Requires="wps">
                  <w:drawing>
                    <wp:anchor distT="45720" distB="45720" distL="114300" distR="114300" simplePos="0" relativeHeight="251659264" behindDoc="0" locked="0" layoutInCell="1" hidden="0" allowOverlap="1" wp14:anchorId="569BC0E5" wp14:editId="03D8013B">
                      <wp:simplePos x="0" y="0"/>
                      <wp:positionH relativeFrom="column">
                        <wp:posOffset>-27305</wp:posOffset>
                      </wp:positionH>
                      <wp:positionV relativeFrom="paragraph">
                        <wp:posOffset>339725</wp:posOffset>
                      </wp:positionV>
                      <wp:extent cx="302895" cy="1590675"/>
                      <wp:effectExtent l="0" t="0" r="1905" b="9525"/>
                      <wp:wrapSquare wrapText="bothSides" distT="45720" distB="45720" distL="114300" distR="114300"/>
                      <wp:docPr id="1190483614" name="Rectangle 1190483614"/>
                      <wp:cNvGraphicFramePr/>
                      <a:graphic xmlns:a="http://schemas.openxmlformats.org/drawingml/2006/main">
                        <a:graphicData uri="http://schemas.microsoft.com/office/word/2010/wordprocessingShape">
                          <wps:wsp>
                            <wps:cNvSpPr/>
                            <wps:spPr>
                              <a:xfrm>
                                <a:off x="0" y="0"/>
                                <a:ext cx="302895" cy="1590675"/>
                              </a:xfrm>
                              <a:prstGeom prst="rect">
                                <a:avLst/>
                              </a:prstGeom>
                              <a:solidFill>
                                <a:srgbClr val="FFFFFF"/>
                              </a:solidFill>
                              <a:ln>
                                <a:noFill/>
                              </a:ln>
                            </wps:spPr>
                            <wps:txbx>
                              <w:txbxContent>
                                <w:p w14:paraId="0E20546F" w14:textId="77777777" w:rsidR="00F736FC" w:rsidRDefault="00103CC2">
                                  <w:pPr>
                                    <w:spacing w:line="275" w:lineRule="auto"/>
                                    <w:ind w:hanging="2"/>
                                    <w:jc w:val="center"/>
                                    <w:textDirection w:val="btLr"/>
                                  </w:pPr>
                                  <w:r>
                                    <w:rPr>
                                      <w:rFonts w:ascii="Times New Roman" w:eastAsia="Times New Roman" w:hAnsi="Times New Roman" w:cs="Times New Roman"/>
                                      <w:b/>
                                      <w:color w:val="000000"/>
                                      <w:sz w:val="20"/>
                                    </w:rPr>
                                    <w:t>EXTRINSIC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9BC0E5" id="Rectangle 1190483614" o:spid="_x0000_s1027" style="position:absolute;left:0;text-align:left;margin-left:-2.15pt;margin-top:26.75pt;width:23.85pt;height:12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" stroked="f">
                      <v:textbox inset="2.53958mm,1.2694mm,2.53958mm,1.2694mm">
                        <w:txbxContent>
                          <w:p w14:paraId="0E20546F" w14:textId="77777777" w:rsidR="00F736FC" w:rsidRDefault="00103CC2">
                            <w:pPr>
                              <w:spacing w:line="275" w:lineRule="auto"/>
                              <w:ind w:hanging="2"/>
                              <w:jc w:val="center"/>
                              <w:textDirection w:val="btLr"/>
                            </w:pPr>
                            <w:r>
                              <w:rPr>
                                <w:rFonts w:ascii="Times New Roman" w:eastAsia="Times New Roman" w:hAnsi="Times New Roman" w:cs="Times New Roman"/>
                                <w:b/>
                                <w:color w:val="000000"/>
                                <w:sz w:val="20"/>
                              </w:rPr>
                              <w:t>EXTRINSIC</w:t>
                            </w:r>
                          </w:p>
                        </w:txbxContent>
                      </v:textbox>
                      <w10:wrap type="square"/>
                    </v:rect>
                  </w:pict>
                </mc:Fallback>
              </mc:AlternateContent>
            </w:r>
          </w:p>
        </w:tc>
        <w:tc>
          <w:tcPr>
            <w:tcW w:w="540" w:type="dxa"/>
            <w:vAlign w:val="center"/>
          </w:tcPr>
          <w:p w14:paraId="120337D1" w14:textId="77777777"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8</w:t>
            </w:r>
          </w:p>
        </w:tc>
        <w:tc>
          <w:tcPr>
            <w:tcW w:w="1846" w:type="dxa"/>
            <w:vAlign w:val="center"/>
          </w:tcPr>
          <w:p w14:paraId="20810653"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Distant to buffer zone</w:t>
            </w:r>
          </w:p>
        </w:tc>
        <w:tc>
          <w:tcPr>
            <w:tcW w:w="2612" w:type="dxa"/>
            <w:gridSpan w:val="2"/>
            <w:vAlign w:val="center"/>
          </w:tcPr>
          <w:p w14:paraId="10DC56E0"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&gt;2km</w:t>
            </w:r>
          </w:p>
        </w:tc>
        <w:tc>
          <w:tcPr>
            <w:tcW w:w="2560" w:type="dxa"/>
            <w:gridSpan w:val="2"/>
            <w:vAlign w:val="center"/>
          </w:tcPr>
          <w:p w14:paraId="6FFD961B"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1-2km</w:t>
            </w:r>
          </w:p>
        </w:tc>
        <w:tc>
          <w:tcPr>
            <w:tcW w:w="1541" w:type="dxa"/>
            <w:vAlign w:val="center"/>
          </w:tcPr>
          <w:p w14:paraId="6E7475A1"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&lt;1km</w:t>
            </w:r>
          </w:p>
        </w:tc>
      </w:tr>
      <w:tr w:rsidR="00F736FC" w:rsidRPr="00CF0052" w14:paraId="6C0C5FFB" w14:textId="77777777" w:rsidTr="00CF0052">
        <w:trPr>
          <w:jc w:val="center"/>
        </w:trPr>
        <w:tc>
          <w:tcPr>
            <w:tcW w:w="535" w:type="dxa"/>
            <w:vMerge/>
            <w:vAlign w:val="center"/>
          </w:tcPr>
          <w:p w14:paraId="75A87DE9" w14:textId="77777777" w:rsidR="00F736FC" w:rsidRPr="00CF0052" w:rsidRDefault="00F736FC">
            <w:pPr>
              <w:widowControl w:val="0"/>
              <w:spacing w:line="276" w:lineRule="auto"/>
              <w:ind w:firstLine="0"/>
              <w:rPr>
                <w:rFonts w:ascii="Times New Roman" w:eastAsia="Times New Roman" w:hAnsi="Times New Roman" w:cs="Times New Roman"/>
                <w:sz w:val="24"/>
                <w:szCs w:val="20"/>
              </w:rPr>
            </w:pPr>
          </w:p>
        </w:tc>
        <w:tc>
          <w:tcPr>
            <w:tcW w:w="540" w:type="dxa"/>
            <w:vAlign w:val="center"/>
          </w:tcPr>
          <w:p w14:paraId="5BF35844" w14:textId="77777777"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9</w:t>
            </w:r>
          </w:p>
        </w:tc>
        <w:tc>
          <w:tcPr>
            <w:tcW w:w="1846" w:type="dxa"/>
            <w:vAlign w:val="center"/>
          </w:tcPr>
          <w:p w14:paraId="218E1607"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Ecotourism</w:t>
            </w:r>
          </w:p>
        </w:tc>
        <w:tc>
          <w:tcPr>
            <w:tcW w:w="1359" w:type="dxa"/>
            <w:vAlign w:val="center"/>
          </w:tcPr>
          <w:p w14:paraId="62EFBE8B"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No ecotourism activity</w:t>
            </w:r>
          </w:p>
        </w:tc>
        <w:tc>
          <w:tcPr>
            <w:tcW w:w="1253" w:type="dxa"/>
            <w:vAlign w:val="center"/>
          </w:tcPr>
          <w:p w14:paraId="226DB696" w14:textId="77777777" w:rsidR="00F736FC" w:rsidRPr="00CF0052" w:rsidRDefault="00103CC2">
            <w:pPr>
              <w:spacing w:line="276" w:lineRule="auto"/>
              <w:ind w:hanging="2"/>
              <w:jc w:val="center"/>
              <w:rPr>
                <w:rFonts w:ascii="Times New Roman" w:eastAsia="Times New Roman" w:hAnsi="Times New Roman" w:cs="Times New Roman"/>
                <w:sz w:val="24"/>
                <w:szCs w:val="20"/>
              </w:rPr>
            </w:pPr>
            <w:proofErr w:type="spellStart"/>
            <w:r w:rsidRPr="00CF0052">
              <w:rPr>
                <w:rFonts w:ascii="Times New Roman" w:eastAsia="Times New Roman" w:hAnsi="Times New Roman" w:cs="Times New Roman"/>
                <w:sz w:val="24"/>
                <w:szCs w:val="20"/>
              </w:rPr>
              <w:t>Ecofarm</w:t>
            </w:r>
            <w:proofErr w:type="spellEnd"/>
            <w:r w:rsidRPr="00CF0052">
              <w:rPr>
                <w:rFonts w:ascii="Times New Roman" w:eastAsia="Times New Roman" w:hAnsi="Times New Roman" w:cs="Times New Roman"/>
                <w:sz w:val="24"/>
                <w:szCs w:val="20"/>
              </w:rPr>
              <w:t xml:space="preserve"> &amp; homestay</w:t>
            </w:r>
          </w:p>
        </w:tc>
        <w:tc>
          <w:tcPr>
            <w:tcW w:w="1346" w:type="dxa"/>
            <w:vAlign w:val="center"/>
          </w:tcPr>
          <w:p w14:paraId="66025508"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Picnic along the river</w:t>
            </w:r>
          </w:p>
        </w:tc>
        <w:tc>
          <w:tcPr>
            <w:tcW w:w="1214" w:type="dxa"/>
            <w:vAlign w:val="center"/>
          </w:tcPr>
          <w:p w14:paraId="02850B1F"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Camping &amp; picnicking</w:t>
            </w:r>
          </w:p>
        </w:tc>
        <w:tc>
          <w:tcPr>
            <w:tcW w:w="1541" w:type="dxa"/>
            <w:vAlign w:val="center"/>
          </w:tcPr>
          <w:p w14:paraId="4508575D"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Trekking &amp; hiking, camping</w:t>
            </w:r>
          </w:p>
        </w:tc>
      </w:tr>
      <w:tr w:rsidR="00F736FC" w:rsidRPr="00CF0052" w14:paraId="31F3F7DE" w14:textId="77777777" w:rsidTr="00CF0052">
        <w:trPr>
          <w:jc w:val="center"/>
        </w:trPr>
        <w:tc>
          <w:tcPr>
            <w:tcW w:w="535" w:type="dxa"/>
            <w:vMerge/>
            <w:vAlign w:val="center"/>
          </w:tcPr>
          <w:p w14:paraId="31CAFED2" w14:textId="77777777" w:rsidR="00F736FC" w:rsidRPr="00CF0052" w:rsidRDefault="00F736FC">
            <w:pPr>
              <w:widowControl w:val="0"/>
              <w:spacing w:line="276" w:lineRule="auto"/>
              <w:ind w:firstLine="0"/>
              <w:rPr>
                <w:rFonts w:ascii="Times New Roman" w:eastAsia="Times New Roman" w:hAnsi="Times New Roman" w:cs="Times New Roman"/>
                <w:sz w:val="24"/>
                <w:szCs w:val="20"/>
              </w:rPr>
            </w:pPr>
          </w:p>
        </w:tc>
        <w:tc>
          <w:tcPr>
            <w:tcW w:w="540" w:type="dxa"/>
            <w:vAlign w:val="center"/>
          </w:tcPr>
          <w:p w14:paraId="539E81A6" w14:textId="41BA19EB"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10</w:t>
            </w:r>
          </w:p>
        </w:tc>
        <w:tc>
          <w:tcPr>
            <w:tcW w:w="1846" w:type="dxa"/>
            <w:vAlign w:val="center"/>
          </w:tcPr>
          <w:p w14:paraId="02E0A276"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Type of crops</w:t>
            </w:r>
          </w:p>
        </w:tc>
        <w:tc>
          <w:tcPr>
            <w:tcW w:w="2612" w:type="dxa"/>
            <w:gridSpan w:val="2"/>
            <w:vAlign w:val="center"/>
          </w:tcPr>
          <w:p w14:paraId="7EC54495"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Short terms (paddy, vegetable)</w:t>
            </w:r>
          </w:p>
        </w:tc>
        <w:tc>
          <w:tcPr>
            <w:tcW w:w="2560" w:type="dxa"/>
            <w:gridSpan w:val="2"/>
            <w:vAlign w:val="center"/>
          </w:tcPr>
          <w:p w14:paraId="70E4FF6A"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Mixed crops (rubber tree, fruits &amp; vegetable)</w:t>
            </w:r>
          </w:p>
        </w:tc>
        <w:tc>
          <w:tcPr>
            <w:tcW w:w="1541" w:type="dxa"/>
            <w:vAlign w:val="center"/>
          </w:tcPr>
          <w:p w14:paraId="1C277D05"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Long terms (oil palms, rubber tree)</w:t>
            </w:r>
          </w:p>
        </w:tc>
      </w:tr>
      <w:tr w:rsidR="00F736FC" w:rsidRPr="00CF0052" w14:paraId="4CE21FE8" w14:textId="77777777" w:rsidTr="00CF0052">
        <w:trPr>
          <w:jc w:val="center"/>
        </w:trPr>
        <w:tc>
          <w:tcPr>
            <w:tcW w:w="535" w:type="dxa"/>
            <w:vMerge/>
            <w:vAlign w:val="center"/>
          </w:tcPr>
          <w:p w14:paraId="7778CB53" w14:textId="77777777" w:rsidR="00F736FC" w:rsidRPr="00CF0052" w:rsidRDefault="00F736FC">
            <w:pPr>
              <w:widowControl w:val="0"/>
              <w:spacing w:line="276" w:lineRule="auto"/>
              <w:ind w:firstLine="0"/>
              <w:rPr>
                <w:rFonts w:ascii="Times New Roman" w:eastAsia="Times New Roman" w:hAnsi="Times New Roman" w:cs="Times New Roman"/>
                <w:sz w:val="24"/>
                <w:szCs w:val="20"/>
              </w:rPr>
            </w:pPr>
          </w:p>
        </w:tc>
        <w:tc>
          <w:tcPr>
            <w:tcW w:w="540" w:type="dxa"/>
            <w:vAlign w:val="center"/>
          </w:tcPr>
          <w:p w14:paraId="701D1A86" w14:textId="77777777"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11</w:t>
            </w:r>
          </w:p>
        </w:tc>
        <w:tc>
          <w:tcPr>
            <w:tcW w:w="1846" w:type="dxa"/>
            <w:vAlign w:val="center"/>
          </w:tcPr>
          <w:p w14:paraId="278F6BC3"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Number of visitors</w:t>
            </w:r>
          </w:p>
        </w:tc>
        <w:tc>
          <w:tcPr>
            <w:tcW w:w="2612" w:type="dxa"/>
            <w:gridSpan w:val="2"/>
            <w:vAlign w:val="center"/>
          </w:tcPr>
          <w:p w14:paraId="4425CCAA"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No outsider tourist</w:t>
            </w:r>
          </w:p>
        </w:tc>
        <w:tc>
          <w:tcPr>
            <w:tcW w:w="2560" w:type="dxa"/>
            <w:gridSpan w:val="2"/>
            <w:vAlign w:val="center"/>
          </w:tcPr>
          <w:p w14:paraId="792971C4"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Limit the number of tourist</w:t>
            </w:r>
          </w:p>
        </w:tc>
        <w:tc>
          <w:tcPr>
            <w:tcW w:w="1541" w:type="dxa"/>
            <w:vAlign w:val="center"/>
          </w:tcPr>
          <w:p w14:paraId="45FE6E81"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No limit of number for tourist</w:t>
            </w:r>
          </w:p>
        </w:tc>
      </w:tr>
      <w:tr w:rsidR="00F736FC" w:rsidRPr="00CF0052" w14:paraId="361E0224" w14:textId="77777777" w:rsidTr="00CF0052">
        <w:trPr>
          <w:jc w:val="center"/>
        </w:trPr>
        <w:tc>
          <w:tcPr>
            <w:tcW w:w="535" w:type="dxa"/>
            <w:vMerge/>
            <w:vAlign w:val="center"/>
          </w:tcPr>
          <w:p w14:paraId="19EEE758" w14:textId="77777777" w:rsidR="00F736FC" w:rsidRPr="00CF0052" w:rsidRDefault="00F736FC">
            <w:pPr>
              <w:widowControl w:val="0"/>
              <w:spacing w:line="276" w:lineRule="auto"/>
              <w:ind w:firstLine="0"/>
              <w:rPr>
                <w:rFonts w:ascii="Times New Roman" w:eastAsia="Times New Roman" w:hAnsi="Times New Roman" w:cs="Times New Roman"/>
                <w:sz w:val="24"/>
                <w:szCs w:val="20"/>
              </w:rPr>
            </w:pPr>
          </w:p>
        </w:tc>
        <w:tc>
          <w:tcPr>
            <w:tcW w:w="540" w:type="dxa"/>
            <w:vAlign w:val="center"/>
          </w:tcPr>
          <w:p w14:paraId="7D2DC932" w14:textId="77777777" w:rsidR="00F736FC" w:rsidRPr="00CF0052" w:rsidRDefault="00103CC2">
            <w:pPr>
              <w:spacing w:line="276" w:lineRule="auto"/>
              <w:ind w:hanging="2"/>
              <w:jc w:val="center"/>
              <w:rPr>
                <w:rFonts w:ascii="Times New Roman" w:eastAsia="Times New Roman" w:hAnsi="Times New Roman" w:cs="Times New Roman"/>
                <w:b/>
                <w:sz w:val="24"/>
                <w:szCs w:val="20"/>
              </w:rPr>
            </w:pPr>
            <w:r w:rsidRPr="00CF0052">
              <w:rPr>
                <w:rFonts w:ascii="Times New Roman" w:eastAsia="Times New Roman" w:hAnsi="Times New Roman" w:cs="Times New Roman"/>
                <w:b/>
                <w:sz w:val="24"/>
                <w:szCs w:val="20"/>
              </w:rPr>
              <w:t>12</w:t>
            </w:r>
          </w:p>
        </w:tc>
        <w:tc>
          <w:tcPr>
            <w:tcW w:w="1846" w:type="dxa"/>
            <w:vAlign w:val="center"/>
          </w:tcPr>
          <w:p w14:paraId="608C8623" w14:textId="77777777" w:rsidR="00F736FC" w:rsidRPr="00CF0052" w:rsidRDefault="00103CC2">
            <w:pPr>
              <w:spacing w:line="276" w:lineRule="auto"/>
              <w:ind w:hanging="2"/>
              <w:jc w:val="center"/>
              <w:rPr>
                <w:rFonts w:ascii="Times New Roman" w:eastAsia="Times New Roman" w:hAnsi="Times New Roman" w:cs="Times New Roman"/>
                <w:i/>
                <w:sz w:val="24"/>
                <w:szCs w:val="20"/>
              </w:rPr>
            </w:pPr>
            <w:r w:rsidRPr="00CF0052">
              <w:rPr>
                <w:rFonts w:ascii="Times New Roman" w:eastAsia="Times New Roman" w:hAnsi="Times New Roman" w:cs="Times New Roman"/>
                <w:sz w:val="24"/>
                <w:szCs w:val="20"/>
              </w:rPr>
              <w:t>Years of land used</w:t>
            </w:r>
          </w:p>
        </w:tc>
        <w:tc>
          <w:tcPr>
            <w:tcW w:w="1359" w:type="dxa"/>
            <w:vAlign w:val="center"/>
          </w:tcPr>
          <w:p w14:paraId="0A02DA0A"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&lt;1</w:t>
            </w:r>
          </w:p>
        </w:tc>
        <w:tc>
          <w:tcPr>
            <w:tcW w:w="1253" w:type="dxa"/>
            <w:vAlign w:val="center"/>
          </w:tcPr>
          <w:p w14:paraId="2A7365A2"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1-3</w:t>
            </w:r>
          </w:p>
        </w:tc>
        <w:tc>
          <w:tcPr>
            <w:tcW w:w="1346" w:type="dxa"/>
            <w:vAlign w:val="center"/>
          </w:tcPr>
          <w:p w14:paraId="280ED3F1"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4-6</w:t>
            </w:r>
          </w:p>
        </w:tc>
        <w:tc>
          <w:tcPr>
            <w:tcW w:w="1214" w:type="dxa"/>
            <w:vAlign w:val="center"/>
          </w:tcPr>
          <w:p w14:paraId="5BE58117"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7-9</w:t>
            </w:r>
          </w:p>
        </w:tc>
        <w:tc>
          <w:tcPr>
            <w:tcW w:w="1541" w:type="dxa"/>
            <w:vAlign w:val="center"/>
          </w:tcPr>
          <w:p w14:paraId="0E964692" w14:textId="77777777" w:rsidR="00F736FC" w:rsidRPr="00CF0052" w:rsidRDefault="00103CC2">
            <w:pPr>
              <w:spacing w:line="276" w:lineRule="auto"/>
              <w:ind w:hanging="2"/>
              <w:jc w:val="center"/>
              <w:rPr>
                <w:rFonts w:ascii="Times New Roman" w:eastAsia="Times New Roman" w:hAnsi="Times New Roman" w:cs="Times New Roman"/>
                <w:sz w:val="24"/>
                <w:szCs w:val="20"/>
              </w:rPr>
            </w:pPr>
            <w:r w:rsidRPr="00CF0052">
              <w:rPr>
                <w:rFonts w:ascii="Times New Roman" w:eastAsia="Times New Roman" w:hAnsi="Times New Roman" w:cs="Times New Roman"/>
                <w:sz w:val="24"/>
                <w:szCs w:val="20"/>
              </w:rPr>
              <w:t>&gt;9</w:t>
            </w:r>
          </w:p>
        </w:tc>
      </w:tr>
    </w:tbl>
    <w:p w14:paraId="3844F446" w14:textId="74827A8F" w:rsidR="00F736FC" w:rsidRPr="00415817" w:rsidRDefault="00103CC2" w:rsidP="00415817">
      <w:pPr>
        <w:spacing w:after="0" w:line="240" w:lineRule="auto"/>
        <w:ind w:left="5" w:hanging="7"/>
        <w:jc w:val="both"/>
        <w:rPr>
          <w:rFonts w:ascii="Georgia" w:eastAsia="Georgia" w:hAnsi="Georgia" w:cs="Georgia"/>
          <w:b/>
          <w:sz w:val="24"/>
          <w:szCs w:val="24"/>
        </w:rPr>
      </w:pPr>
      <w:r w:rsidRPr="00415817">
        <w:rPr>
          <w:rFonts w:ascii="Times New Roman" w:eastAsia="Times New Roman" w:hAnsi="Times New Roman" w:cs="Times New Roman"/>
          <w:sz w:val="24"/>
          <w:szCs w:val="24"/>
        </w:rPr>
        <w:t>Source: Castellani &amp; Sal</w:t>
      </w:r>
      <w:r w:rsidR="005C730A">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2012</w:t>
      </w:r>
      <w:r w:rsidR="005C730A">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Martire</w:t>
      </w:r>
      <w:proofErr w:type="spellEnd"/>
      <w:r w:rsidRPr="00415817">
        <w:rPr>
          <w:rFonts w:ascii="Times New Roman" w:eastAsia="Times New Roman" w:hAnsi="Times New Roman" w:cs="Times New Roman"/>
          <w:sz w:val="24"/>
          <w:szCs w:val="24"/>
        </w:rPr>
        <w:t xml:space="preserve"> et al.</w:t>
      </w:r>
      <w:r w:rsidR="005C730A">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2015</w:t>
      </w:r>
      <w:r w:rsidR="005C730A">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Wallenfang</w:t>
      </w:r>
      <w:proofErr w:type="spellEnd"/>
      <w:r w:rsidRPr="00415817">
        <w:rPr>
          <w:rFonts w:ascii="Times New Roman" w:eastAsia="Times New Roman" w:hAnsi="Times New Roman" w:cs="Times New Roman"/>
          <w:sz w:val="24"/>
          <w:szCs w:val="24"/>
        </w:rPr>
        <w:t xml:space="preserve"> et al.</w:t>
      </w:r>
      <w:r w:rsidR="005C730A">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2015</w:t>
      </w:r>
      <w:r w:rsidR="005C730A">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Baral</w:t>
      </w:r>
      <w:proofErr w:type="spellEnd"/>
      <w:r w:rsidRPr="00415817">
        <w:rPr>
          <w:rFonts w:ascii="Times New Roman" w:eastAsia="Times New Roman" w:hAnsi="Times New Roman" w:cs="Times New Roman"/>
          <w:sz w:val="24"/>
          <w:szCs w:val="24"/>
        </w:rPr>
        <w:t xml:space="preserve"> &amp; </w:t>
      </w:r>
      <w:proofErr w:type="spellStart"/>
      <w:r w:rsidRPr="00415817">
        <w:rPr>
          <w:rFonts w:ascii="Times New Roman" w:eastAsia="Times New Roman" w:hAnsi="Times New Roman" w:cs="Times New Roman"/>
          <w:sz w:val="24"/>
          <w:szCs w:val="24"/>
        </w:rPr>
        <w:t>Ghimire</w:t>
      </w:r>
      <w:proofErr w:type="spellEnd"/>
      <w:r w:rsidRPr="00415817">
        <w:rPr>
          <w:rFonts w:ascii="Times New Roman" w:eastAsia="Times New Roman" w:hAnsi="Times New Roman" w:cs="Times New Roman"/>
          <w:sz w:val="24"/>
          <w:szCs w:val="24"/>
        </w:rPr>
        <w:t xml:space="preserve"> 2020</w:t>
      </w:r>
      <w:r w:rsidR="005C730A">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Noor </w:t>
      </w:r>
      <w:proofErr w:type="spellStart"/>
      <w:r w:rsidRPr="00415817">
        <w:rPr>
          <w:rFonts w:ascii="Times New Roman" w:eastAsia="Times New Roman" w:hAnsi="Times New Roman" w:cs="Times New Roman"/>
          <w:sz w:val="24"/>
          <w:szCs w:val="24"/>
        </w:rPr>
        <w:t>Liyana</w:t>
      </w:r>
      <w:proofErr w:type="spellEnd"/>
      <w:r w:rsidRPr="00415817">
        <w:rPr>
          <w:rFonts w:ascii="Times New Roman" w:eastAsia="Times New Roman" w:hAnsi="Times New Roman" w:cs="Times New Roman"/>
          <w:sz w:val="24"/>
          <w:szCs w:val="24"/>
        </w:rPr>
        <w:t xml:space="preserve"> et al</w:t>
      </w:r>
      <w:r w:rsidR="005C730A">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2020</w:t>
      </w:r>
      <w:r w:rsidR="005C730A">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Zulhazman</w:t>
      </w:r>
      <w:proofErr w:type="spellEnd"/>
      <w:r w:rsidR="005C730A">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2020</w:t>
      </w:r>
      <w:r w:rsidR="005C730A">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Wong &amp; </w:t>
      </w:r>
      <w:proofErr w:type="spellStart"/>
      <w:r w:rsidRPr="00415817">
        <w:rPr>
          <w:rFonts w:ascii="Times New Roman" w:eastAsia="Times New Roman" w:hAnsi="Times New Roman" w:cs="Times New Roman"/>
          <w:sz w:val="24"/>
          <w:szCs w:val="24"/>
        </w:rPr>
        <w:t>Joling</w:t>
      </w:r>
      <w:proofErr w:type="spellEnd"/>
      <w:r w:rsidR="005C730A">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2021</w:t>
      </w:r>
      <w:r w:rsidR="005C730A">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Zulhazman</w:t>
      </w:r>
      <w:proofErr w:type="spellEnd"/>
      <w:r w:rsidR="005C730A">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et al.</w:t>
      </w:r>
      <w:r w:rsidR="005C730A">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2021</w:t>
      </w:r>
      <w:r w:rsidR="005C730A">
        <w:rPr>
          <w:rFonts w:ascii="Times New Roman" w:eastAsia="Times New Roman" w:hAnsi="Times New Roman" w:cs="Times New Roman"/>
          <w:sz w:val="24"/>
          <w:szCs w:val="24"/>
        </w:rPr>
        <w:t>a;</w:t>
      </w:r>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dan</w:t>
      </w:r>
      <w:proofErr w:type="spellEnd"/>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Zulhazman</w:t>
      </w:r>
      <w:proofErr w:type="spellEnd"/>
      <w:r w:rsidR="005C730A">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et al.</w:t>
      </w:r>
      <w:r w:rsidR="005C730A">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2021</w:t>
      </w:r>
      <w:r w:rsidR="005C730A">
        <w:rPr>
          <w:rFonts w:ascii="Times New Roman" w:eastAsia="Times New Roman" w:hAnsi="Times New Roman" w:cs="Times New Roman"/>
          <w:sz w:val="24"/>
          <w:szCs w:val="24"/>
        </w:rPr>
        <w:t>b</w:t>
      </w:r>
    </w:p>
    <w:p w14:paraId="485BE910" w14:textId="77777777" w:rsidR="00F736FC" w:rsidRDefault="00F736FC" w:rsidP="00415817">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14:paraId="0908D72B" w14:textId="77777777" w:rsidR="00F736FC" w:rsidRDefault="00103CC2">
      <w:pPr>
        <w:pBdr>
          <w:top w:val="nil"/>
          <w:left w:val="nil"/>
          <w:bottom w:val="nil"/>
          <w:right w:val="nil"/>
          <w:between w:val="nil"/>
        </w:pBdr>
        <w:spacing w:after="0" w:line="240" w:lineRule="auto"/>
        <w:ind w:left="5" w:hanging="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Adaptive capacity is defined as the ability of species, habitats, or ecosystems to mitigate or avoid the detrimental effects of meteorological factors change through mechanisms such as dispersal, colonization of more suitable areas, plastic ecological responses, or evolutionary adaptation (</w:t>
      </w:r>
      <w:proofErr w:type="spellStart"/>
      <w:r>
        <w:rPr>
          <w:rFonts w:ascii="Times New Roman" w:eastAsia="Times New Roman" w:hAnsi="Times New Roman" w:cs="Times New Roman"/>
          <w:color w:val="000000"/>
          <w:sz w:val="24"/>
          <w:szCs w:val="24"/>
        </w:rPr>
        <w:t>Foden</w:t>
      </w:r>
      <w:proofErr w:type="spellEnd"/>
      <w:r>
        <w:rPr>
          <w:rFonts w:ascii="Times New Roman" w:eastAsia="Times New Roman" w:hAnsi="Times New Roman" w:cs="Times New Roman"/>
          <w:color w:val="000000"/>
          <w:sz w:val="24"/>
          <w:szCs w:val="24"/>
        </w:rPr>
        <w:t xml:space="preserve"> &amp; Young, 2016). According to Glick et al. (2011), adaptive capacity is shaped by both internal biological traits and external environmental factors. The specific criteria applied to assess adaptive capacity in this study are detailed in </w:t>
      </w:r>
      <w:r>
        <w:rPr>
          <w:rFonts w:ascii="Times New Roman" w:eastAsia="Times New Roman" w:hAnsi="Times New Roman" w:cs="Times New Roman"/>
          <w:sz w:val="24"/>
          <w:szCs w:val="24"/>
        </w:rPr>
        <w:t>Table 2</w:t>
      </w:r>
      <w:r>
        <w:rPr>
          <w:rFonts w:ascii="Times New Roman" w:eastAsia="Times New Roman" w:hAnsi="Times New Roman" w:cs="Times New Roman"/>
          <w:color w:val="000000"/>
          <w:sz w:val="24"/>
          <w:szCs w:val="24"/>
        </w:rPr>
        <w:t>.</w:t>
      </w:r>
    </w:p>
    <w:p w14:paraId="3333439F" w14:textId="4CCE3892" w:rsidR="00F736FC" w:rsidRDefault="00F736FC">
      <w:pPr>
        <w:pBdr>
          <w:top w:val="nil"/>
          <w:left w:val="nil"/>
          <w:bottom w:val="nil"/>
          <w:right w:val="nil"/>
          <w:between w:val="nil"/>
        </w:pBdr>
        <w:spacing w:after="0" w:line="240" w:lineRule="auto"/>
        <w:ind w:left="5" w:hanging="7"/>
        <w:jc w:val="both"/>
        <w:rPr>
          <w:rFonts w:ascii="Times New Roman" w:eastAsia="Times New Roman" w:hAnsi="Times New Roman" w:cs="Times New Roman"/>
          <w:sz w:val="24"/>
          <w:szCs w:val="24"/>
        </w:rPr>
      </w:pPr>
    </w:p>
    <w:p w14:paraId="1E5D07A4" w14:textId="71FAE6CE" w:rsidR="00CF0052" w:rsidRDefault="00CF0052">
      <w:pPr>
        <w:pBdr>
          <w:top w:val="nil"/>
          <w:left w:val="nil"/>
          <w:bottom w:val="nil"/>
          <w:right w:val="nil"/>
          <w:between w:val="nil"/>
        </w:pBdr>
        <w:spacing w:after="0" w:line="240" w:lineRule="auto"/>
        <w:ind w:left="5" w:hanging="7"/>
        <w:jc w:val="both"/>
        <w:rPr>
          <w:rFonts w:ascii="Times New Roman" w:eastAsia="Times New Roman" w:hAnsi="Times New Roman" w:cs="Times New Roman"/>
          <w:sz w:val="24"/>
          <w:szCs w:val="24"/>
        </w:rPr>
      </w:pPr>
    </w:p>
    <w:p w14:paraId="417570EF" w14:textId="77777777" w:rsidR="00CF0052" w:rsidRDefault="00CF0052">
      <w:pPr>
        <w:pBdr>
          <w:top w:val="nil"/>
          <w:left w:val="nil"/>
          <w:bottom w:val="nil"/>
          <w:right w:val="nil"/>
          <w:between w:val="nil"/>
        </w:pBdr>
        <w:spacing w:after="0" w:line="240" w:lineRule="auto"/>
        <w:ind w:left="5" w:hanging="7"/>
        <w:jc w:val="both"/>
        <w:rPr>
          <w:rFonts w:ascii="Times New Roman" w:eastAsia="Times New Roman" w:hAnsi="Times New Roman" w:cs="Times New Roman"/>
          <w:sz w:val="24"/>
          <w:szCs w:val="24"/>
        </w:rPr>
      </w:pPr>
    </w:p>
    <w:p w14:paraId="50B5EAAD" w14:textId="0988B898" w:rsidR="00F736FC" w:rsidRDefault="00103CC2" w:rsidP="00927C1D">
      <w:pPr>
        <w:spacing w:after="0" w:line="240" w:lineRule="auto"/>
        <w:ind w:hanging="2"/>
        <w:jc w:val="center"/>
        <w:rPr>
          <w:rFonts w:ascii="Times New Roman" w:eastAsia="Times New Roman" w:hAnsi="Times New Roman" w:cs="Times New Roman"/>
          <w:b/>
          <w:sz w:val="24"/>
          <w:szCs w:val="24"/>
        </w:rPr>
      </w:pPr>
      <w:r w:rsidRPr="00927C1D">
        <w:rPr>
          <w:rFonts w:ascii="Times New Roman" w:eastAsia="Times New Roman" w:hAnsi="Times New Roman" w:cs="Times New Roman"/>
          <w:b/>
          <w:sz w:val="24"/>
          <w:szCs w:val="24"/>
        </w:rPr>
        <w:lastRenderedPageBreak/>
        <w:t xml:space="preserve">Table 2. </w:t>
      </w:r>
      <w:r w:rsidR="00927C1D" w:rsidRPr="00927C1D">
        <w:rPr>
          <w:rFonts w:ascii="Times New Roman" w:eastAsia="Times New Roman" w:hAnsi="Times New Roman" w:cs="Times New Roman"/>
          <w:bCs/>
          <w:sz w:val="24"/>
          <w:szCs w:val="24"/>
        </w:rPr>
        <w:t>Adaptive capacity component rubrics</w:t>
      </w:r>
    </w:p>
    <w:p w14:paraId="6E8571C6" w14:textId="77777777" w:rsidR="00927C1D" w:rsidRPr="00927C1D" w:rsidRDefault="00927C1D" w:rsidP="00927C1D">
      <w:pPr>
        <w:spacing w:after="0" w:line="240" w:lineRule="auto"/>
        <w:ind w:hanging="2"/>
        <w:jc w:val="center"/>
        <w:rPr>
          <w:rFonts w:ascii="Times New Roman" w:eastAsia="Times New Roman" w:hAnsi="Times New Roman" w:cs="Times New Roman"/>
          <w:b/>
          <w:sz w:val="24"/>
          <w:szCs w:val="24"/>
        </w:rPr>
      </w:pPr>
    </w:p>
    <w:tbl>
      <w:tblPr>
        <w:tblStyle w:val="a1"/>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
        <w:gridCol w:w="536"/>
        <w:gridCol w:w="2167"/>
        <w:gridCol w:w="1114"/>
        <w:gridCol w:w="1167"/>
        <w:gridCol w:w="1262"/>
        <w:gridCol w:w="1134"/>
        <w:gridCol w:w="1418"/>
        <w:gridCol w:w="141"/>
      </w:tblGrid>
      <w:tr w:rsidR="00F736FC" w:rsidRPr="00CF0052" w14:paraId="0FFE2BB6" w14:textId="77777777" w:rsidTr="00CF0052">
        <w:trPr>
          <w:jc w:val="center"/>
        </w:trPr>
        <w:tc>
          <w:tcPr>
            <w:tcW w:w="3398" w:type="dxa"/>
            <w:gridSpan w:val="3"/>
            <w:shd w:val="clear" w:color="auto" w:fill="8DB3E2" w:themeFill="text2" w:themeFillTint="66"/>
            <w:vAlign w:val="center"/>
          </w:tcPr>
          <w:p w14:paraId="6DF8C65D"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Criteria</w:t>
            </w:r>
          </w:p>
        </w:tc>
        <w:tc>
          <w:tcPr>
            <w:tcW w:w="2281" w:type="dxa"/>
            <w:gridSpan w:val="2"/>
            <w:shd w:val="clear" w:color="auto" w:fill="8DB3E2" w:themeFill="text2" w:themeFillTint="66"/>
            <w:vAlign w:val="center"/>
          </w:tcPr>
          <w:p w14:paraId="7BDEBD9D"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Low (1-2)</w:t>
            </w:r>
          </w:p>
        </w:tc>
        <w:tc>
          <w:tcPr>
            <w:tcW w:w="2396" w:type="dxa"/>
            <w:gridSpan w:val="2"/>
            <w:shd w:val="clear" w:color="auto" w:fill="8DB3E2" w:themeFill="text2" w:themeFillTint="66"/>
            <w:vAlign w:val="center"/>
          </w:tcPr>
          <w:p w14:paraId="2B1D3C87"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Medium (3-4)</w:t>
            </w:r>
          </w:p>
        </w:tc>
        <w:tc>
          <w:tcPr>
            <w:tcW w:w="1559" w:type="dxa"/>
            <w:gridSpan w:val="2"/>
            <w:shd w:val="clear" w:color="auto" w:fill="8DB3E2" w:themeFill="text2" w:themeFillTint="66"/>
            <w:vAlign w:val="center"/>
          </w:tcPr>
          <w:p w14:paraId="1BA7D0B3"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High (5)</w:t>
            </w:r>
          </w:p>
        </w:tc>
      </w:tr>
      <w:tr w:rsidR="00F736FC" w:rsidRPr="00CF0052" w14:paraId="0FD1F45C" w14:textId="77777777" w:rsidTr="00CF0052">
        <w:trPr>
          <w:gridAfter w:val="1"/>
          <w:wAfter w:w="141" w:type="dxa"/>
          <w:jc w:val="center"/>
        </w:trPr>
        <w:tc>
          <w:tcPr>
            <w:tcW w:w="695" w:type="dxa"/>
            <w:vMerge w:val="restart"/>
            <w:vAlign w:val="center"/>
          </w:tcPr>
          <w:p w14:paraId="24DF9FF0" w14:textId="5B8A7608" w:rsidR="00F736FC" w:rsidRPr="00CF0052" w:rsidRDefault="00CF0052">
            <w:pPr>
              <w:spacing w:line="276" w:lineRule="auto"/>
              <w:ind w:hanging="2"/>
              <w:jc w:val="center"/>
              <w:rPr>
                <w:rFonts w:ascii="Times New Roman" w:eastAsia="Times New Roman" w:hAnsi="Times New Roman" w:cs="Times New Roman"/>
                <w:b/>
                <w:sz w:val="24"/>
                <w:szCs w:val="24"/>
              </w:rPr>
            </w:pPr>
            <w:bookmarkStart w:id="3" w:name="_heading=h.i9iy7aucm6zk" w:colFirst="0" w:colLast="0"/>
            <w:bookmarkEnd w:id="3"/>
            <w:r w:rsidRPr="00CF0052">
              <w:rPr>
                <w:rFonts w:ascii="Times New Roman" w:hAnsi="Times New Roman" w:cs="Times New Roman"/>
                <w:noProof/>
                <w:sz w:val="24"/>
                <w:szCs w:val="24"/>
                <w:lang w:val="en-MY"/>
              </w:rPr>
              <mc:AlternateContent>
                <mc:Choice Requires="wps">
                  <w:drawing>
                    <wp:anchor distT="45720" distB="45720" distL="114300" distR="114300" simplePos="0" relativeHeight="251660288" behindDoc="0" locked="0" layoutInCell="1" hidden="0" allowOverlap="1" wp14:anchorId="3CF7B166" wp14:editId="641F8E90">
                      <wp:simplePos x="0" y="0"/>
                      <wp:positionH relativeFrom="column">
                        <wp:posOffset>-16510</wp:posOffset>
                      </wp:positionH>
                      <wp:positionV relativeFrom="paragraph">
                        <wp:posOffset>-1976120</wp:posOffset>
                      </wp:positionV>
                      <wp:extent cx="287655" cy="1571625"/>
                      <wp:effectExtent l="0" t="0" r="0" b="9525"/>
                      <wp:wrapSquare wrapText="bothSides" distT="45720" distB="45720" distL="114300" distR="114300"/>
                      <wp:docPr id="1190483618" name="Rectangle 1190483618"/>
                      <wp:cNvGraphicFramePr/>
                      <a:graphic xmlns:a="http://schemas.openxmlformats.org/drawingml/2006/main">
                        <a:graphicData uri="http://schemas.microsoft.com/office/word/2010/wordprocessingShape">
                          <wps:wsp>
                            <wps:cNvSpPr/>
                            <wps:spPr>
                              <a:xfrm>
                                <a:off x="0" y="0"/>
                                <a:ext cx="287655" cy="1571625"/>
                              </a:xfrm>
                              <a:prstGeom prst="rect">
                                <a:avLst/>
                              </a:prstGeom>
                              <a:solidFill>
                                <a:srgbClr val="FFFFFF"/>
                              </a:solidFill>
                              <a:ln>
                                <a:noFill/>
                              </a:ln>
                            </wps:spPr>
                            <wps:txbx>
                              <w:txbxContent>
                                <w:p w14:paraId="708CA281" w14:textId="77777777" w:rsidR="00F736FC" w:rsidRDefault="00103CC2">
                                  <w:pPr>
                                    <w:spacing w:line="275" w:lineRule="auto"/>
                                    <w:ind w:hanging="2"/>
                                    <w:jc w:val="center"/>
                                    <w:textDirection w:val="btLr"/>
                                  </w:pPr>
                                  <w:r>
                                    <w:rPr>
                                      <w:rFonts w:ascii="Times New Roman" w:eastAsia="Times New Roman" w:hAnsi="Times New Roman" w:cs="Times New Roman"/>
                                      <w:b/>
                                      <w:color w:val="000000"/>
                                      <w:sz w:val="20"/>
                                    </w:rPr>
                                    <w:t>INTRINSIC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F7B166" id="Rectangle 1190483618" o:spid="_x0000_s1028" style="position:absolute;left:0;text-align:left;margin-left:-1.3pt;margin-top:-155.6pt;width:22.65pt;height:12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" stroked="f">
                      <v:textbox inset="2.53958mm,1.2694mm,2.53958mm,1.2694mm">
                        <w:txbxContent>
                          <w:p w14:paraId="708CA281" w14:textId="77777777" w:rsidR="00F736FC" w:rsidRDefault="00103CC2">
                            <w:pPr>
                              <w:spacing w:line="275" w:lineRule="auto"/>
                              <w:ind w:hanging="2"/>
                              <w:jc w:val="center"/>
                              <w:textDirection w:val="btLr"/>
                            </w:pPr>
                            <w:r>
                              <w:rPr>
                                <w:rFonts w:ascii="Times New Roman" w:eastAsia="Times New Roman" w:hAnsi="Times New Roman" w:cs="Times New Roman"/>
                                <w:b/>
                                <w:color w:val="000000"/>
                                <w:sz w:val="20"/>
                              </w:rPr>
                              <w:t>INTRINSIC</w:t>
                            </w:r>
                          </w:p>
                        </w:txbxContent>
                      </v:textbox>
                      <w10:wrap type="square"/>
                    </v:rect>
                  </w:pict>
                </mc:Fallback>
              </mc:AlternateContent>
            </w:r>
          </w:p>
        </w:tc>
        <w:tc>
          <w:tcPr>
            <w:tcW w:w="536" w:type="dxa"/>
            <w:vAlign w:val="center"/>
          </w:tcPr>
          <w:p w14:paraId="32078438"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1</w:t>
            </w:r>
          </w:p>
        </w:tc>
        <w:tc>
          <w:tcPr>
            <w:tcW w:w="2167" w:type="dxa"/>
            <w:vAlign w:val="center"/>
          </w:tcPr>
          <w:p w14:paraId="65681D80"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The type of forest</w:t>
            </w:r>
          </w:p>
        </w:tc>
        <w:tc>
          <w:tcPr>
            <w:tcW w:w="1114" w:type="dxa"/>
            <w:vAlign w:val="center"/>
          </w:tcPr>
          <w:p w14:paraId="6640AA70"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Very disturbed forest</w:t>
            </w:r>
          </w:p>
        </w:tc>
        <w:tc>
          <w:tcPr>
            <w:tcW w:w="1167" w:type="dxa"/>
            <w:vAlign w:val="center"/>
          </w:tcPr>
          <w:p w14:paraId="59D77CF4"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Disturbed forest</w:t>
            </w:r>
          </w:p>
        </w:tc>
        <w:tc>
          <w:tcPr>
            <w:tcW w:w="1262" w:type="dxa"/>
            <w:vAlign w:val="center"/>
          </w:tcPr>
          <w:p w14:paraId="3AE1768E"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Disturbed forest (recovery)</w:t>
            </w:r>
          </w:p>
        </w:tc>
        <w:tc>
          <w:tcPr>
            <w:tcW w:w="1134" w:type="dxa"/>
            <w:vAlign w:val="center"/>
          </w:tcPr>
          <w:p w14:paraId="768DFE39"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Less disturbed forest (recovery)</w:t>
            </w:r>
          </w:p>
        </w:tc>
        <w:tc>
          <w:tcPr>
            <w:tcW w:w="1418" w:type="dxa"/>
            <w:vAlign w:val="center"/>
          </w:tcPr>
          <w:p w14:paraId="405ECC57"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Undisturbed forest/ virgin forest</w:t>
            </w:r>
          </w:p>
        </w:tc>
      </w:tr>
      <w:tr w:rsidR="00F736FC" w:rsidRPr="00CF0052" w14:paraId="1794A0EA" w14:textId="77777777" w:rsidTr="00CF0052">
        <w:trPr>
          <w:gridAfter w:val="1"/>
          <w:wAfter w:w="141" w:type="dxa"/>
          <w:jc w:val="center"/>
        </w:trPr>
        <w:tc>
          <w:tcPr>
            <w:tcW w:w="695" w:type="dxa"/>
            <w:vMerge/>
            <w:vAlign w:val="center"/>
          </w:tcPr>
          <w:p w14:paraId="04981D3B" w14:textId="77777777" w:rsidR="00F736FC" w:rsidRPr="00CF0052" w:rsidRDefault="00F736FC">
            <w:pPr>
              <w:widowControl w:val="0"/>
              <w:spacing w:line="276" w:lineRule="auto"/>
              <w:ind w:firstLine="0"/>
              <w:rPr>
                <w:rFonts w:ascii="Times New Roman" w:eastAsia="Times New Roman" w:hAnsi="Times New Roman" w:cs="Times New Roman"/>
                <w:sz w:val="24"/>
                <w:szCs w:val="24"/>
              </w:rPr>
            </w:pPr>
          </w:p>
        </w:tc>
        <w:tc>
          <w:tcPr>
            <w:tcW w:w="536" w:type="dxa"/>
            <w:vAlign w:val="center"/>
          </w:tcPr>
          <w:p w14:paraId="5AA60F90"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2</w:t>
            </w:r>
          </w:p>
        </w:tc>
        <w:tc>
          <w:tcPr>
            <w:tcW w:w="2167" w:type="dxa"/>
            <w:vAlign w:val="center"/>
          </w:tcPr>
          <w:p w14:paraId="2FAFEAD2"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Forest layer</w:t>
            </w:r>
          </w:p>
        </w:tc>
        <w:tc>
          <w:tcPr>
            <w:tcW w:w="1114" w:type="dxa"/>
            <w:vAlign w:val="center"/>
          </w:tcPr>
          <w:p w14:paraId="0AD03629"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Emergent layer</w:t>
            </w:r>
          </w:p>
        </w:tc>
        <w:tc>
          <w:tcPr>
            <w:tcW w:w="1167" w:type="dxa"/>
            <w:vAlign w:val="center"/>
          </w:tcPr>
          <w:p w14:paraId="70BA7B63"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Canopy layer</w:t>
            </w:r>
          </w:p>
        </w:tc>
        <w:tc>
          <w:tcPr>
            <w:tcW w:w="2396" w:type="dxa"/>
            <w:gridSpan w:val="2"/>
            <w:vAlign w:val="center"/>
          </w:tcPr>
          <w:p w14:paraId="3D1C8385"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Understory layer</w:t>
            </w:r>
          </w:p>
        </w:tc>
        <w:tc>
          <w:tcPr>
            <w:tcW w:w="1418" w:type="dxa"/>
            <w:vAlign w:val="center"/>
          </w:tcPr>
          <w:p w14:paraId="09EE5737"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Forest floor</w:t>
            </w:r>
          </w:p>
        </w:tc>
      </w:tr>
      <w:tr w:rsidR="00F736FC" w:rsidRPr="00CF0052" w14:paraId="1384BFCC" w14:textId="77777777" w:rsidTr="00CF0052">
        <w:trPr>
          <w:gridAfter w:val="1"/>
          <w:wAfter w:w="141" w:type="dxa"/>
          <w:jc w:val="center"/>
        </w:trPr>
        <w:tc>
          <w:tcPr>
            <w:tcW w:w="695" w:type="dxa"/>
            <w:vMerge/>
            <w:vAlign w:val="center"/>
          </w:tcPr>
          <w:p w14:paraId="3BEDF2DF" w14:textId="77777777" w:rsidR="00F736FC" w:rsidRPr="00CF0052" w:rsidRDefault="00F736FC">
            <w:pPr>
              <w:widowControl w:val="0"/>
              <w:spacing w:line="276" w:lineRule="auto"/>
              <w:ind w:firstLine="0"/>
              <w:rPr>
                <w:rFonts w:ascii="Times New Roman" w:eastAsia="Times New Roman" w:hAnsi="Times New Roman" w:cs="Times New Roman"/>
                <w:sz w:val="24"/>
                <w:szCs w:val="24"/>
              </w:rPr>
            </w:pPr>
          </w:p>
        </w:tc>
        <w:tc>
          <w:tcPr>
            <w:tcW w:w="536" w:type="dxa"/>
            <w:vAlign w:val="center"/>
          </w:tcPr>
          <w:p w14:paraId="328B21E4" w14:textId="632F32D3"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3</w:t>
            </w:r>
          </w:p>
        </w:tc>
        <w:tc>
          <w:tcPr>
            <w:tcW w:w="2167" w:type="dxa"/>
            <w:vAlign w:val="center"/>
          </w:tcPr>
          <w:p w14:paraId="1E9FE93E"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Soil texture</w:t>
            </w:r>
          </w:p>
        </w:tc>
        <w:tc>
          <w:tcPr>
            <w:tcW w:w="1114" w:type="dxa"/>
            <w:vAlign w:val="center"/>
          </w:tcPr>
          <w:p w14:paraId="77C3B8F3"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Clay &amp; dry</w:t>
            </w:r>
          </w:p>
        </w:tc>
        <w:tc>
          <w:tcPr>
            <w:tcW w:w="1167" w:type="dxa"/>
            <w:vAlign w:val="center"/>
          </w:tcPr>
          <w:p w14:paraId="2A9B42C8"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Clay &amp; watery</w:t>
            </w:r>
          </w:p>
        </w:tc>
        <w:tc>
          <w:tcPr>
            <w:tcW w:w="1262" w:type="dxa"/>
            <w:vAlign w:val="center"/>
          </w:tcPr>
          <w:p w14:paraId="215DB9EA"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Sandy &amp; dry</w:t>
            </w:r>
          </w:p>
        </w:tc>
        <w:tc>
          <w:tcPr>
            <w:tcW w:w="1134" w:type="dxa"/>
            <w:vAlign w:val="center"/>
          </w:tcPr>
          <w:p w14:paraId="23B215E2"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Boulder, sandy &amp; good water flow</w:t>
            </w:r>
          </w:p>
        </w:tc>
        <w:tc>
          <w:tcPr>
            <w:tcW w:w="1418" w:type="dxa"/>
            <w:vAlign w:val="center"/>
          </w:tcPr>
          <w:p w14:paraId="01FE4AB5"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Boulder, sandy &amp; good water flow</w:t>
            </w:r>
          </w:p>
        </w:tc>
      </w:tr>
      <w:tr w:rsidR="00F736FC" w:rsidRPr="00CF0052" w14:paraId="0B6DF591" w14:textId="77777777" w:rsidTr="00CF0052">
        <w:trPr>
          <w:gridAfter w:val="1"/>
          <w:wAfter w:w="141" w:type="dxa"/>
          <w:jc w:val="center"/>
        </w:trPr>
        <w:tc>
          <w:tcPr>
            <w:tcW w:w="695" w:type="dxa"/>
            <w:vMerge/>
            <w:vAlign w:val="center"/>
          </w:tcPr>
          <w:p w14:paraId="66BEB7DF" w14:textId="77777777" w:rsidR="00F736FC" w:rsidRPr="00CF0052" w:rsidRDefault="00F736FC">
            <w:pPr>
              <w:widowControl w:val="0"/>
              <w:spacing w:line="276" w:lineRule="auto"/>
              <w:ind w:firstLine="0"/>
              <w:rPr>
                <w:rFonts w:ascii="Times New Roman" w:eastAsia="Times New Roman" w:hAnsi="Times New Roman" w:cs="Times New Roman"/>
                <w:sz w:val="24"/>
                <w:szCs w:val="24"/>
              </w:rPr>
            </w:pPr>
          </w:p>
        </w:tc>
        <w:tc>
          <w:tcPr>
            <w:tcW w:w="536" w:type="dxa"/>
            <w:vAlign w:val="center"/>
          </w:tcPr>
          <w:p w14:paraId="3DA0D0C9"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4</w:t>
            </w:r>
          </w:p>
        </w:tc>
        <w:tc>
          <w:tcPr>
            <w:tcW w:w="2167" w:type="dxa"/>
            <w:vAlign w:val="center"/>
          </w:tcPr>
          <w:p w14:paraId="5D7682A3"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Slope area (</w:t>
            </w:r>
            <w:r w:rsidRPr="00CF0052">
              <w:rPr>
                <w:rFonts w:ascii="Times New Roman" w:eastAsia="Times New Roman" w:hAnsi="Times New Roman" w:cs="Times New Roman"/>
                <w:sz w:val="24"/>
                <w:szCs w:val="24"/>
                <w:vertAlign w:val="superscript"/>
              </w:rPr>
              <w:t>0</w:t>
            </w:r>
            <w:r w:rsidRPr="00CF0052">
              <w:rPr>
                <w:rFonts w:ascii="Times New Roman" w:eastAsia="Times New Roman" w:hAnsi="Times New Roman" w:cs="Times New Roman"/>
                <w:sz w:val="24"/>
                <w:szCs w:val="24"/>
              </w:rPr>
              <w:t>)</w:t>
            </w:r>
          </w:p>
        </w:tc>
        <w:tc>
          <w:tcPr>
            <w:tcW w:w="1114" w:type="dxa"/>
            <w:vAlign w:val="center"/>
          </w:tcPr>
          <w:p w14:paraId="267E9C54" w14:textId="77777777" w:rsidR="00F736FC" w:rsidRPr="00CF0052" w:rsidRDefault="00F736FC">
            <w:pPr>
              <w:spacing w:line="276" w:lineRule="auto"/>
              <w:ind w:hanging="2"/>
              <w:jc w:val="center"/>
              <w:rPr>
                <w:rFonts w:ascii="Times New Roman" w:eastAsia="Times New Roman" w:hAnsi="Times New Roman" w:cs="Times New Roman"/>
                <w:sz w:val="24"/>
                <w:szCs w:val="24"/>
              </w:rPr>
            </w:pPr>
          </w:p>
          <w:p w14:paraId="624018AE"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&lt;10</w:t>
            </w:r>
          </w:p>
          <w:p w14:paraId="4FFFC711" w14:textId="77777777" w:rsidR="00F736FC" w:rsidRPr="00CF0052" w:rsidRDefault="00F736FC">
            <w:pPr>
              <w:spacing w:line="276" w:lineRule="auto"/>
              <w:ind w:hanging="2"/>
              <w:jc w:val="center"/>
              <w:rPr>
                <w:rFonts w:ascii="Times New Roman" w:eastAsia="Times New Roman" w:hAnsi="Times New Roman" w:cs="Times New Roman"/>
                <w:sz w:val="24"/>
                <w:szCs w:val="24"/>
              </w:rPr>
            </w:pPr>
          </w:p>
        </w:tc>
        <w:tc>
          <w:tcPr>
            <w:tcW w:w="1167" w:type="dxa"/>
            <w:vAlign w:val="center"/>
          </w:tcPr>
          <w:p w14:paraId="2284BAAF"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10-25</w:t>
            </w:r>
          </w:p>
        </w:tc>
        <w:tc>
          <w:tcPr>
            <w:tcW w:w="1262" w:type="dxa"/>
            <w:vAlign w:val="center"/>
          </w:tcPr>
          <w:p w14:paraId="58FA8771"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26-40</w:t>
            </w:r>
          </w:p>
        </w:tc>
        <w:tc>
          <w:tcPr>
            <w:tcW w:w="1134" w:type="dxa"/>
            <w:vAlign w:val="center"/>
          </w:tcPr>
          <w:p w14:paraId="1E2AD8EA"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41-55</w:t>
            </w:r>
          </w:p>
        </w:tc>
        <w:tc>
          <w:tcPr>
            <w:tcW w:w="1418" w:type="dxa"/>
            <w:vAlign w:val="center"/>
          </w:tcPr>
          <w:p w14:paraId="6CD03AD5"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&gt;55</w:t>
            </w:r>
          </w:p>
        </w:tc>
      </w:tr>
      <w:tr w:rsidR="00F736FC" w:rsidRPr="00CF0052" w14:paraId="56AC2790" w14:textId="77777777" w:rsidTr="00CF0052">
        <w:trPr>
          <w:gridAfter w:val="1"/>
          <w:wAfter w:w="141" w:type="dxa"/>
          <w:jc w:val="center"/>
        </w:trPr>
        <w:tc>
          <w:tcPr>
            <w:tcW w:w="695" w:type="dxa"/>
            <w:vMerge/>
            <w:vAlign w:val="center"/>
          </w:tcPr>
          <w:p w14:paraId="14727CA4" w14:textId="77777777" w:rsidR="00F736FC" w:rsidRPr="00CF0052" w:rsidRDefault="00F736FC">
            <w:pPr>
              <w:widowControl w:val="0"/>
              <w:spacing w:line="276" w:lineRule="auto"/>
              <w:ind w:firstLine="0"/>
              <w:rPr>
                <w:rFonts w:ascii="Times New Roman" w:eastAsia="Times New Roman" w:hAnsi="Times New Roman" w:cs="Times New Roman"/>
                <w:sz w:val="24"/>
                <w:szCs w:val="24"/>
              </w:rPr>
            </w:pPr>
          </w:p>
        </w:tc>
        <w:tc>
          <w:tcPr>
            <w:tcW w:w="536" w:type="dxa"/>
            <w:vAlign w:val="center"/>
          </w:tcPr>
          <w:p w14:paraId="07246591"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5</w:t>
            </w:r>
          </w:p>
        </w:tc>
        <w:tc>
          <w:tcPr>
            <w:tcW w:w="2167" w:type="dxa"/>
            <w:vAlign w:val="center"/>
          </w:tcPr>
          <w:p w14:paraId="1A5911D1"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Distant to the close river (m)</w:t>
            </w:r>
          </w:p>
        </w:tc>
        <w:tc>
          <w:tcPr>
            <w:tcW w:w="1114" w:type="dxa"/>
            <w:vAlign w:val="center"/>
          </w:tcPr>
          <w:p w14:paraId="660D43DC"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&gt;1500</w:t>
            </w:r>
          </w:p>
        </w:tc>
        <w:tc>
          <w:tcPr>
            <w:tcW w:w="1167" w:type="dxa"/>
            <w:vAlign w:val="center"/>
          </w:tcPr>
          <w:p w14:paraId="25F12CF5"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1201-1500</w:t>
            </w:r>
          </w:p>
        </w:tc>
        <w:tc>
          <w:tcPr>
            <w:tcW w:w="1262" w:type="dxa"/>
            <w:vAlign w:val="center"/>
          </w:tcPr>
          <w:p w14:paraId="30568B45"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801-1200</w:t>
            </w:r>
          </w:p>
        </w:tc>
        <w:tc>
          <w:tcPr>
            <w:tcW w:w="1134" w:type="dxa"/>
            <w:vAlign w:val="center"/>
          </w:tcPr>
          <w:p w14:paraId="0329AEDC"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400-800</w:t>
            </w:r>
          </w:p>
        </w:tc>
        <w:tc>
          <w:tcPr>
            <w:tcW w:w="1418" w:type="dxa"/>
            <w:vAlign w:val="center"/>
          </w:tcPr>
          <w:p w14:paraId="7125EAC3"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&lt;400</w:t>
            </w:r>
          </w:p>
        </w:tc>
      </w:tr>
      <w:tr w:rsidR="00F736FC" w:rsidRPr="00CF0052" w14:paraId="63732A4C" w14:textId="77777777" w:rsidTr="00CF0052">
        <w:trPr>
          <w:gridAfter w:val="1"/>
          <w:wAfter w:w="141" w:type="dxa"/>
          <w:jc w:val="center"/>
        </w:trPr>
        <w:tc>
          <w:tcPr>
            <w:tcW w:w="695" w:type="dxa"/>
            <w:vMerge/>
            <w:vAlign w:val="center"/>
          </w:tcPr>
          <w:p w14:paraId="25769F4C" w14:textId="77777777" w:rsidR="00F736FC" w:rsidRPr="00CF0052" w:rsidRDefault="00F736FC">
            <w:pPr>
              <w:widowControl w:val="0"/>
              <w:spacing w:line="276" w:lineRule="auto"/>
              <w:ind w:firstLine="0"/>
              <w:rPr>
                <w:rFonts w:ascii="Times New Roman" w:eastAsia="Times New Roman" w:hAnsi="Times New Roman" w:cs="Times New Roman"/>
                <w:sz w:val="24"/>
                <w:szCs w:val="24"/>
              </w:rPr>
            </w:pPr>
          </w:p>
        </w:tc>
        <w:tc>
          <w:tcPr>
            <w:tcW w:w="536" w:type="dxa"/>
            <w:vAlign w:val="center"/>
          </w:tcPr>
          <w:p w14:paraId="52C9F43C"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6</w:t>
            </w:r>
          </w:p>
        </w:tc>
        <w:tc>
          <w:tcPr>
            <w:tcW w:w="2167" w:type="dxa"/>
            <w:vAlign w:val="center"/>
          </w:tcPr>
          <w:p w14:paraId="28AB8288"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 xml:space="preserve">Canopy cover </w:t>
            </w:r>
          </w:p>
          <w:p w14:paraId="56BB61FD"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 seedling)</w:t>
            </w:r>
          </w:p>
        </w:tc>
        <w:tc>
          <w:tcPr>
            <w:tcW w:w="2281" w:type="dxa"/>
            <w:gridSpan w:val="2"/>
            <w:vAlign w:val="center"/>
          </w:tcPr>
          <w:p w14:paraId="6DAB04CB"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&gt;75</w:t>
            </w:r>
          </w:p>
        </w:tc>
        <w:tc>
          <w:tcPr>
            <w:tcW w:w="2396" w:type="dxa"/>
            <w:gridSpan w:val="2"/>
            <w:vAlign w:val="center"/>
          </w:tcPr>
          <w:p w14:paraId="54E3D070"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25-75</w:t>
            </w:r>
          </w:p>
        </w:tc>
        <w:tc>
          <w:tcPr>
            <w:tcW w:w="1418" w:type="dxa"/>
            <w:vAlign w:val="center"/>
          </w:tcPr>
          <w:p w14:paraId="42C039B8"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&lt;25</w:t>
            </w:r>
          </w:p>
        </w:tc>
      </w:tr>
      <w:tr w:rsidR="00F736FC" w:rsidRPr="00CF0052" w14:paraId="3F8A1E19" w14:textId="77777777" w:rsidTr="00CF0052">
        <w:trPr>
          <w:gridAfter w:val="1"/>
          <w:wAfter w:w="141" w:type="dxa"/>
          <w:jc w:val="center"/>
        </w:trPr>
        <w:tc>
          <w:tcPr>
            <w:tcW w:w="695" w:type="dxa"/>
            <w:vMerge/>
            <w:vAlign w:val="center"/>
          </w:tcPr>
          <w:p w14:paraId="542A995F" w14:textId="77777777" w:rsidR="00F736FC" w:rsidRPr="00CF0052" w:rsidRDefault="00F736FC">
            <w:pPr>
              <w:widowControl w:val="0"/>
              <w:spacing w:line="276" w:lineRule="auto"/>
              <w:ind w:firstLine="0"/>
              <w:rPr>
                <w:rFonts w:ascii="Times New Roman" w:eastAsia="Times New Roman" w:hAnsi="Times New Roman" w:cs="Times New Roman"/>
                <w:sz w:val="24"/>
                <w:szCs w:val="24"/>
              </w:rPr>
            </w:pPr>
          </w:p>
        </w:tc>
        <w:tc>
          <w:tcPr>
            <w:tcW w:w="536" w:type="dxa"/>
            <w:vAlign w:val="center"/>
          </w:tcPr>
          <w:p w14:paraId="014AC3B5"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7</w:t>
            </w:r>
          </w:p>
        </w:tc>
        <w:tc>
          <w:tcPr>
            <w:tcW w:w="2167" w:type="dxa"/>
            <w:vAlign w:val="center"/>
          </w:tcPr>
          <w:p w14:paraId="2C42A356"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Microhabitat</w:t>
            </w:r>
          </w:p>
        </w:tc>
        <w:tc>
          <w:tcPr>
            <w:tcW w:w="2281" w:type="dxa"/>
            <w:gridSpan w:val="2"/>
            <w:vAlign w:val="center"/>
          </w:tcPr>
          <w:p w14:paraId="1380F702"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Waterlogged area</w:t>
            </w:r>
          </w:p>
        </w:tc>
        <w:tc>
          <w:tcPr>
            <w:tcW w:w="2396" w:type="dxa"/>
            <w:gridSpan w:val="2"/>
            <w:vAlign w:val="center"/>
          </w:tcPr>
          <w:p w14:paraId="5590C1C2"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Ridge</w:t>
            </w:r>
          </w:p>
        </w:tc>
        <w:tc>
          <w:tcPr>
            <w:tcW w:w="1418" w:type="dxa"/>
            <w:vAlign w:val="center"/>
          </w:tcPr>
          <w:p w14:paraId="2D66103F"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River bank</w:t>
            </w:r>
          </w:p>
        </w:tc>
      </w:tr>
      <w:tr w:rsidR="00F736FC" w:rsidRPr="00CF0052" w14:paraId="3C1D7467" w14:textId="77777777" w:rsidTr="00CF0052">
        <w:trPr>
          <w:gridAfter w:val="1"/>
          <w:wAfter w:w="141" w:type="dxa"/>
          <w:jc w:val="center"/>
        </w:trPr>
        <w:tc>
          <w:tcPr>
            <w:tcW w:w="695" w:type="dxa"/>
            <w:vMerge w:val="restart"/>
            <w:vAlign w:val="center"/>
          </w:tcPr>
          <w:p w14:paraId="30B17D6C" w14:textId="5D41E50E" w:rsidR="00F736FC" w:rsidRPr="00CF0052" w:rsidRDefault="00CF0052">
            <w:pPr>
              <w:spacing w:line="276" w:lineRule="auto"/>
              <w:ind w:hanging="2"/>
              <w:jc w:val="center"/>
              <w:rPr>
                <w:rFonts w:ascii="Times New Roman" w:eastAsia="Times New Roman" w:hAnsi="Times New Roman" w:cs="Times New Roman"/>
                <w:b/>
                <w:sz w:val="24"/>
                <w:szCs w:val="24"/>
              </w:rPr>
            </w:pPr>
            <w:r w:rsidRPr="00CF0052">
              <w:rPr>
                <w:rFonts w:ascii="Times New Roman" w:hAnsi="Times New Roman" w:cs="Times New Roman"/>
                <w:noProof/>
                <w:sz w:val="24"/>
                <w:szCs w:val="24"/>
                <w:lang w:val="en-MY"/>
              </w:rPr>
              <mc:AlternateContent>
                <mc:Choice Requires="wps">
                  <w:drawing>
                    <wp:anchor distT="45720" distB="45720" distL="114300" distR="114300" simplePos="0" relativeHeight="251661312" behindDoc="0" locked="0" layoutInCell="1" hidden="0" allowOverlap="1" wp14:anchorId="6E60A16D" wp14:editId="3C6E09AE">
                      <wp:simplePos x="0" y="0"/>
                      <wp:positionH relativeFrom="column">
                        <wp:posOffset>-10795</wp:posOffset>
                      </wp:positionH>
                      <wp:positionV relativeFrom="paragraph">
                        <wp:posOffset>-1421130</wp:posOffset>
                      </wp:positionV>
                      <wp:extent cx="302895" cy="1628775"/>
                      <wp:effectExtent l="0" t="0" r="1905" b="9525"/>
                      <wp:wrapSquare wrapText="bothSides" distT="45720" distB="45720" distL="114300" distR="114300"/>
                      <wp:docPr id="1190483615" name="Rectangle 1190483615"/>
                      <wp:cNvGraphicFramePr/>
                      <a:graphic xmlns:a="http://schemas.openxmlformats.org/drawingml/2006/main">
                        <a:graphicData uri="http://schemas.microsoft.com/office/word/2010/wordprocessingShape">
                          <wps:wsp>
                            <wps:cNvSpPr/>
                            <wps:spPr>
                              <a:xfrm>
                                <a:off x="0" y="0"/>
                                <a:ext cx="302895" cy="1628775"/>
                              </a:xfrm>
                              <a:prstGeom prst="rect">
                                <a:avLst/>
                              </a:prstGeom>
                              <a:solidFill>
                                <a:srgbClr val="FFFFFF"/>
                              </a:solidFill>
                              <a:ln>
                                <a:noFill/>
                              </a:ln>
                            </wps:spPr>
                            <wps:txbx>
                              <w:txbxContent>
                                <w:p w14:paraId="512F7F68" w14:textId="77777777" w:rsidR="00F736FC" w:rsidRDefault="00103CC2">
                                  <w:pPr>
                                    <w:spacing w:line="275" w:lineRule="auto"/>
                                    <w:ind w:hanging="2"/>
                                    <w:jc w:val="center"/>
                                    <w:textDirection w:val="btLr"/>
                                  </w:pPr>
                                  <w:r>
                                    <w:rPr>
                                      <w:rFonts w:ascii="Times New Roman" w:eastAsia="Times New Roman" w:hAnsi="Times New Roman" w:cs="Times New Roman"/>
                                      <w:b/>
                                      <w:color w:val="000000"/>
                                      <w:sz w:val="20"/>
                                    </w:rPr>
                                    <w:t>EXTRINSIC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60A16D" id="Rectangle 1190483615" o:spid="_x0000_s1029" style="position:absolute;left:0;text-align:left;margin-left:-.85pt;margin-top:-111.9pt;width:23.85pt;height:12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" stroked="f">
                      <v:textbox inset="2.53958mm,1.2694mm,2.53958mm,1.2694mm">
                        <w:txbxContent>
                          <w:p w14:paraId="512F7F68" w14:textId="77777777" w:rsidR="00F736FC" w:rsidRDefault="00103CC2">
                            <w:pPr>
                              <w:spacing w:line="275" w:lineRule="auto"/>
                              <w:ind w:hanging="2"/>
                              <w:jc w:val="center"/>
                              <w:textDirection w:val="btLr"/>
                            </w:pPr>
                            <w:r>
                              <w:rPr>
                                <w:rFonts w:ascii="Times New Roman" w:eastAsia="Times New Roman" w:hAnsi="Times New Roman" w:cs="Times New Roman"/>
                                <w:b/>
                                <w:color w:val="000000"/>
                                <w:sz w:val="20"/>
                              </w:rPr>
                              <w:t>EXTRINSIC</w:t>
                            </w:r>
                          </w:p>
                        </w:txbxContent>
                      </v:textbox>
                      <w10:wrap type="square"/>
                    </v:rect>
                  </w:pict>
                </mc:Fallback>
              </mc:AlternateContent>
            </w:r>
          </w:p>
        </w:tc>
        <w:tc>
          <w:tcPr>
            <w:tcW w:w="536" w:type="dxa"/>
            <w:vAlign w:val="center"/>
          </w:tcPr>
          <w:p w14:paraId="242577FF"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8</w:t>
            </w:r>
          </w:p>
        </w:tc>
        <w:tc>
          <w:tcPr>
            <w:tcW w:w="2167" w:type="dxa"/>
            <w:vAlign w:val="center"/>
          </w:tcPr>
          <w:p w14:paraId="4C792A5B"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Years of land used</w:t>
            </w:r>
          </w:p>
          <w:p w14:paraId="5F5AD227" w14:textId="77777777" w:rsidR="00F736FC" w:rsidRPr="00CF0052" w:rsidRDefault="00F736FC">
            <w:pPr>
              <w:spacing w:line="276" w:lineRule="auto"/>
              <w:ind w:hanging="2"/>
              <w:jc w:val="center"/>
              <w:rPr>
                <w:rFonts w:ascii="Times New Roman" w:eastAsia="Times New Roman" w:hAnsi="Times New Roman" w:cs="Times New Roman"/>
                <w:sz w:val="24"/>
                <w:szCs w:val="24"/>
              </w:rPr>
            </w:pPr>
          </w:p>
        </w:tc>
        <w:tc>
          <w:tcPr>
            <w:tcW w:w="1114" w:type="dxa"/>
            <w:vAlign w:val="center"/>
          </w:tcPr>
          <w:p w14:paraId="3A3D0DFE"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&gt;9</w:t>
            </w:r>
          </w:p>
        </w:tc>
        <w:tc>
          <w:tcPr>
            <w:tcW w:w="1167" w:type="dxa"/>
            <w:vAlign w:val="center"/>
          </w:tcPr>
          <w:p w14:paraId="534E8B5C"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7-9</w:t>
            </w:r>
          </w:p>
        </w:tc>
        <w:tc>
          <w:tcPr>
            <w:tcW w:w="1262" w:type="dxa"/>
            <w:vAlign w:val="center"/>
          </w:tcPr>
          <w:p w14:paraId="07452A35"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4-6</w:t>
            </w:r>
          </w:p>
        </w:tc>
        <w:tc>
          <w:tcPr>
            <w:tcW w:w="1134" w:type="dxa"/>
            <w:vAlign w:val="center"/>
          </w:tcPr>
          <w:p w14:paraId="0370E84F"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1-3</w:t>
            </w:r>
          </w:p>
        </w:tc>
        <w:tc>
          <w:tcPr>
            <w:tcW w:w="1418" w:type="dxa"/>
            <w:vAlign w:val="center"/>
          </w:tcPr>
          <w:p w14:paraId="1D8CC2E4"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&lt;1</w:t>
            </w:r>
          </w:p>
        </w:tc>
      </w:tr>
      <w:tr w:rsidR="00F736FC" w:rsidRPr="00CF0052" w14:paraId="6F8ECBF7" w14:textId="77777777" w:rsidTr="00CF0052">
        <w:trPr>
          <w:gridAfter w:val="1"/>
          <w:wAfter w:w="141" w:type="dxa"/>
          <w:jc w:val="center"/>
        </w:trPr>
        <w:tc>
          <w:tcPr>
            <w:tcW w:w="695" w:type="dxa"/>
            <w:vMerge/>
            <w:vAlign w:val="center"/>
          </w:tcPr>
          <w:p w14:paraId="51076983" w14:textId="77777777" w:rsidR="00F736FC" w:rsidRPr="00CF0052" w:rsidRDefault="00F736FC">
            <w:pPr>
              <w:widowControl w:val="0"/>
              <w:spacing w:line="276" w:lineRule="auto"/>
              <w:ind w:firstLine="0"/>
              <w:rPr>
                <w:rFonts w:ascii="Times New Roman" w:eastAsia="Times New Roman" w:hAnsi="Times New Roman" w:cs="Times New Roman"/>
                <w:sz w:val="24"/>
                <w:szCs w:val="24"/>
              </w:rPr>
            </w:pPr>
          </w:p>
        </w:tc>
        <w:tc>
          <w:tcPr>
            <w:tcW w:w="536" w:type="dxa"/>
            <w:vAlign w:val="center"/>
          </w:tcPr>
          <w:p w14:paraId="2467951E"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9</w:t>
            </w:r>
          </w:p>
        </w:tc>
        <w:tc>
          <w:tcPr>
            <w:tcW w:w="2167" w:type="dxa"/>
            <w:vAlign w:val="center"/>
          </w:tcPr>
          <w:p w14:paraId="34D06129"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Type of crops</w:t>
            </w:r>
          </w:p>
        </w:tc>
        <w:tc>
          <w:tcPr>
            <w:tcW w:w="2281" w:type="dxa"/>
            <w:gridSpan w:val="2"/>
            <w:vAlign w:val="center"/>
          </w:tcPr>
          <w:p w14:paraId="392C43C0"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Long terms (oil palms, rubber tree)</w:t>
            </w:r>
          </w:p>
        </w:tc>
        <w:tc>
          <w:tcPr>
            <w:tcW w:w="2396" w:type="dxa"/>
            <w:gridSpan w:val="2"/>
            <w:vAlign w:val="center"/>
          </w:tcPr>
          <w:p w14:paraId="722FFF21"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Mixed crops (rubber tree, fruits &amp; vegetable)</w:t>
            </w:r>
          </w:p>
        </w:tc>
        <w:tc>
          <w:tcPr>
            <w:tcW w:w="1418" w:type="dxa"/>
            <w:vAlign w:val="center"/>
          </w:tcPr>
          <w:p w14:paraId="365B81C9"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Short terms (paddy, vegetable)</w:t>
            </w:r>
          </w:p>
        </w:tc>
      </w:tr>
      <w:tr w:rsidR="00F736FC" w:rsidRPr="00CF0052" w14:paraId="26B62390" w14:textId="77777777" w:rsidTr="00CF0052">
        <w:trPr>
          <w:gridAfter w:val="1"/>
          <w:wAfter w:w="141" w:type="dxa"/>
          <w:jc w:val="center"/>
        </w:trPr>
        <w:tc>
          <w:tcPr>
            <w:tcW w:w="695" w:type="dxa"/>
            <w:vMerge/>
            <w:vAlign w:val="center"/>
          </w:tcPr>
          <w:p w14:paraId="5433BBAA" w14:textId="77777777" w:rsidR="00F736FC" w:rsidRPr="00CF0052" w:rsidRDefault="00F736FC">
            <w:pPr>
              <w:widowControl w:val="0"/>
              <w:spacing w:line="276" w:lineRule="auto"/>
              <w:ind w:firstLine="0"/>
              <w:rPr>
                <w:rFonts w:ascii="Times New Roman" w:eastAsia="Times New Roman" w:hAnsi="Times New Roman" w:cs="Times New Roman"/>
                <w:sz w:val="24"/>
                <w:szCs w:val="24"/>
              </w:rPr>
            </w:pPr>
          </w:p>
        </w:tc>
        <w:tc>
          <w:tcPr>
            <w:tcW w:w="536" w:type="dxa"/>
            <w:vAlign w:val="center"/>
          </w:tcPr>
          <w:p w14:paraId="5FB34930" w14:textId="7EA6BA31"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10</w:t>
            </w:r>
          </w:p>
        </w:tc>
        <w:tc>
          <w:tcPr>
            <w:tcW w:w="2167" w:type="dxa"/>
            <w:vAlign w:val="center"/>
          </w:tcPr>
          <w:p w14:paraId="7C0BADDF"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Tourist’s activities</w:t>
            </w:r>
          </w:p>
        </w:tc>
        <w:tc>
          <w:tcPr>
            <w:tcW w:w="1114" w:type="dxa"/>
            <w:vAlign w:val="center"/>
          </w:tcPr>
          <w:p w14:paraId="671A3261"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Trekking &amp; hiking, camping</w:t>
            </w:r>
          </w:p>
        </w:tc>
        <w:tc>
          <w:tcPr>
            <w:tcW w:w="1167" w:type="dxa"/>
            <w:vAlign w:val="center"/>
          </w:tcPr>
          <w:p w14:paraId="730BA281"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Camping &amp; picnicking</w:t>
            </w:r>
          </w:p>
        </w:tc>
        <w:tc>
          <w:tcPr>
            <w:tcW w:w="1262" w:type="dxa"/>
            <w:vAlign w:val="center"/>
          </w:tcPr>
          <w:p w14:paraId="206624F4"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Picnic along the river</w:t>
            </w:r>
          </w:p>
        </w:tc>
        <w:tc>
          <w:tcPr>
            <w:tcW w:w="1134" w:type="dxa"/>
            <w:vAlign w:val="center"/>
          </w:tcPr>
          <w:p w14:paraId="09A4624F" w14:textId="77777777" w:rsidR="00F736FC" w:rsidRPr="00CF0052" w:rsidRDefault="00103CC2">
            <w:pPr>
              <w:spacing w:line="276" w:lineRule="auto"/>
              <w:ind w:hanging="2"/>
              <w:jc w:val="center"/>
              <w:rPr>
                <w:rFonts w:ascii="Times New Roman" w:eastAsia="Times New Roman" w:hAnsi="Times New Roman" w:cs="Times New Roman"/>
                <w:sz w:val="24"/>
                <w:szCs w:val="24"/>
              </w:rPr>
            </w:pPr>
            <w:proofErr w:type="spellStart"/>
            <w:r w:rsidRPr="00CF0052">
              <w:rPr>
                <w:rFonts w:ascii="Times New Roman" w:eastAsia="Times New Roman" w:hAnsi="Times New Roman" w:cs="Times New Roman"/>
                <w:sz w:val="24"/>
                <w:szCs w:val="24"/>
              </w:rPr>
              <w:t>Ecofarm</w:t>
            </w:r>
            <w:proofErr w:type="spellEnd"/>
            <w:r w:rsidRPr="00CF0052">
              <w:rPr>
                <w:rFonts w:ascii="Times New Roman" w:eastAsia="Times New Roman" w:hAnsi="Times New Roman" w:cs="Times New Roman"/>
                <w:sz w:val="24"/>
                <w:szCs w:val="24"/>
              </w:rPr>
              <w:t xml:space="preserve"> &amp; homestay</w:t>
            </w:r>
          </w:p>
        </w:tc>
        <w:tc>
          <w:tcPr>
            <w:tcW w:w="1418" w:type="dxa"/>
            <w:vAlign w:val="center"/>
          </w:tcPr>
          <w:p w14:paraId="025C36FC"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No ecotourism activity</w:t>
            </w:r>
          </w:p>
        </w:tc>
      </w:tr>
      <w:tr w:rsidR="00F736FC" w:rsidRPr="00CF0052" w14:paraId="64E2E820" w14:textId="77777777" w:rsidTr="00CF0052">
        <w:trPr>
          <w:gridAfter w:val="1"/>
          <w:wAfter w:w="141" w:type="dxa"/>
          <w:jc w:val="center"/>
        </w:trPr>
        <w:tc>
          <w:tcPr>
            <w:tcW w:w="695" w:type="dxa"/>
            <w:vMerge/>
            <w:vAlign w:val="center"/>
          </w:tcPr>
          <w:p w14:paraId="347EFFC4" w14:textId="77777777" w:rsidR="00F736FC" w:rsidRPr="00CF0052" w:rsidRDefault="00F736FC">
            <w:pPr>
              <w:widowControl w:val="0"/>
              <w:spacing w:line="276" w:lineRule="auto"/>
              <w:ind w:firstLine="0"/>
              <w:rPr>
                <w:rFonts w:ascii="Times New Roman" w:eastAsia="Times New Roman" w:hAnsi="Times New Roman" w:cs="Times New Roman"/>
                <w:sz w:val="24"/>
                <w:szCs w:val="24"/>
              </w:rPr>
            </w:pPr>
          </w:p>
        </w:tc>
        <w:tc>
          <w:tcPr>
            <w:tcW w:w="536" w:type="dxa"/>
            <w:vAlign w:val="center"/>
          </w:tcPr>
          <w:p w14:paraId="0726D261"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11</w:t>
            </w:r>
          </w:p>
        </w:tc>
        <w:tc>
          <w:tcPr>
            <w:tcW w:w="2167" w:type="dxa"/>
            <w:vAlign w:val="center"/>
          </w:tcPr>
          <w:p w14:paraId="77619459"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Number of tourist</w:t>
            </w:r>
          </w:p>
        </w:tc>
        <w:tc>
          <w:tcPr>
            <w:tcW w:w="2281" w:type="dxa"/>
            <w:gridSpan w:val="2"/>
            <w:vAlign w:val="center"/>
          </w:tcPr>
          <w:p w14:paraId="7585149D"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No limit of number for tourist (&gt;4000 per year)</w:t>
            </w:r>
          </w:p>
        </w:tc>
        <w:tc>
          <w:tcPr>
            <w:tcW w:w="2396" w:type="dxa"/>
            <w:gridSpan w:val="2"/>
            <w:vAlign w:val="center"/>
          </w:tcPr>
          <w:p w14:paraId="0D74B5A9"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Limit the number of tourist (&lt;4000 per year)</w:t>
            </w:r>
          </w:p>
        </w:tc>
        <w:tc>
          <w:tcPr>
            <w:tcW w:w="1418" w:type="dxa"/>
            <w:vAlign w:val="center"/>
          </w:tcPr>
          <w:p w14:paraId="5169DA27"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No outsider tourist</w:t>
            </w:r>
          </w:p>
        </w:tc>
      </w:tr>
      <w:tr w:rsidR="00F736FC" w:rsidRPr="00CF0052" w14:paraId="0FC53891" w14:textId="77777777" w:rsidTr="00CF0052">
        <w:trPr>
          <w:gridAfter w:val="1"/>
          <w:wAfter w:w="141" w:type="dxa"/>
          <w:jc w:val="center"/>
        </w:trPr>
        <w:tc>
          <w:tcPr>
            <w:tcW w:w="695" w:type="dxa"/>
            <w:vMerge/>
            <w:vAlign w:val="center"/>
          </w:tcPr>
          <w:p w14:paraId="6FF00B48" w14:textId="77777777" w:rsidR="00F736FC" w:rsidRPr="00CF0052" w:rsidRDefault="00F736FC">
            <w:pPr>
              <w:widowControl w:val="0"/>
              <w:spacing w:line="276" w:lineRule="auto"/>
              <w:ind w:firstLine="0"/>
              <w:rPr>
                <w:rFonts w:ascii="Times New Roman" w:eastAsia="Times New Roman" w:hAnsi="Times New Roman" w:cs="Times New Roman"/>
                <w:sz w:val="24"/>
                <w:szCs w:val="24"/>
              </w:rPr>
            </w:pPr>
          </w:p>
        </w:tc>
        <w:tc>
          <w:tcPr>
            <w:tcW w:w="536" w:type="dxa"/>
            <w:vAlign w:val="center"/>
          </w:tcPr>
          <w:p w14:paraId="66EDCC6E"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12</w:t>
            </w:r>
          </w:p>
        </w:tc>
        <w:tc>
          <w:tcPr>
            <w:tcW w:w="2167" w:type="dxa"/>
            <w:vAlign w:val="center"/>
          </w:tcPr>
          <w:p w14:paraId="4BC87ACA"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Infrastructures for tourist</w:t>
            </w:r>
          </w:p>
        </w:tc>
        <w:tc>
          <w:tcPr>
            <w:tcW w:w="2281" w:type="dxa"/>
            <w:gridSpan w:val="2"/>
            <w:vAlign w:val="center"/>
          </w:tcPr>
          <w:p w14:paraId="651B87A0"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Permanent infrastructures (toilet &amp; resort)</w:t>
            </w:r>
          </w:p>
        </w:tc>
        <w:tc>
          <w:tcPr>
            <w:tcW w:w="2396" w:type="dxa"/>
            <w:gridSpan w:val="2"/>
            <w:vAlign w:val="center"/>
          </w:tcPr>
          <w:p w14:paraId="6C2EE2B5"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Trail with boardwalk</w:t>
            </w:r>
          </w:p>
          <w:p w14:paraId="5DBC34EF" w14:textId="77777777" w:rsidR="00F736FC" w:rsidRPr="00CF0052" w:rsidRDefault="00F736FC">
            <w:pPr>
              <w:spacing w:line="276" w:lineRule="auto"/>
              <w:ind w:hanging="2"/>
              <w:jc w:val="center"/>
              <w:rPr>
                <w:rFonts w:ascii="Times New Roman" w:eastAsia="Times New Roman" w:hAnsi="Times New Roman" w:cs="Times New Roman"/>
                <w:sz w:val="24"/>
                <w:szCs w:val="24"/>
              </w:rPr>
            </w:pPr>
          </w:p>
        </w:tc>
        <w:tc>
          <w:tcPr>
            <w:tcW w:w="1418" w:type="dxa"/>
            <w:vAlign w:val="center"/>
          </w:tcPr>
          <w:p w14:paraId="1847A658"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Trail without boardwalk</w:t>
            </w:r>
          </w:p>
        </w:tc>
      </w:tr>
      <w:tr w:rsidR="00F736FC" w:rsidRPr="00CF0052" w14:paraId="55309574" w14:textId="77777777" w:rsidTr="00CF0052">
        <w:trPr>
          <w:gridAfter w:val="1"/>
          <w:wAfter w:w="141" w:type="dxa"/>
          <w:jc w:val="center"/>
        </w:trPr>
        <w:tc>
          <w:tcPr>
            <w:tcW w:w="695" w:type="dxa"/>
            <w:vMerge/>
            <w:vAlign w:val="center"/>
          </w:tcPr>
          <w:p w14:paraId="1C17C7CD" w14:textId="77777777" w:rsidR="00F736FC" w:rsidRPr="00CF0052" w:rsidRDefault="00F736FC">
            <w:pPr>
              <w:widowControl w:val="0"/>
              <w:spacing w:line="276" w:lineRule="auto"/>
              <w:ind w:firstLine="0"/>
              <w:rPr>
                <w:rFonts w:ascii="Times New Roman" w:eastAsia="Times New Roman" w:hAnsi="Times New Roman" w:cs="Times New Roman"/>
                <w:sz w:val="24"/>
                <w:szCs w:val="24"/>
              </w:rPr>
            </w:pPr>
          </w:p>
        </w:tc>
        <w:tc>
          <w:tcPr>
            <w:tcW w:w="536" w:type="dxa"/>
            <w:vAlign w:val="center"/>
          </w:tcPr>
          <w:p w14:paraId="5758D4FE" w14:textId="77777777" w:rsidR="00F736FC" w:rsidRPr="00CF0052" w:rsidRDefault="00103CC2">
            <w:pPr>
              <w:spacing w:line="276" w:lineRule="auto"/>
              <w:ind w:hanging="2"/>
              <w:jc w:val="center"/>
              <w:rPr>
                <w:rFonts w:ascii="Times New Roman" w:eastAsia="Times New Roman" w:hAnsi="Times New Roman" w:cs="Times New Roman"/>
                <w:b/>
                <w:sz w:val="24"/>
                <w:szCs w:val="24"/>
              </w:rPr>
            </w:pPr>
            <w:r w:rsidRPr="00CF0052">
              <w:rPr>
                <w:rFonts w:ascii="Times New Roman" w:eastAsia="Times New Roman" w:hAnsi="Times New Roman" w:cs="Times New Roman"/>
                <w:b/>
                <w:sz w:val="24"/>
                <w:szCs w:val="24"/>
              </w:rPr>
              <w:t>13</w:t>
            </w:r>
          </w:p>
        </w:tc>
        <w:tc>
          <w:tcPr>
            <w:tcW w:w="2167" w:type="dxa"/>
            <w:vAlign w:val="center"/>
          </w:tcPr>
          <w:p w14:paraId="05F00618"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Compliance with the land use by the villagers</w:t>
            </w:r>
          </w:p>
        </w:tc>
        <w:tc>
          <w:tcPr>
            <w:tcW w:w="2281" w:type="dxa"/>
            <w:gridSpan w:val="2"/>
            <w:vAlign w:val="center"/>
          </w:tcPr>
          <w:p w14:paraId="642676D2"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Self-sustaining crops and livestock</w:t>
            </w:r>
          </w:p>
        </w:tc>
        <w:tc>
          <w:tcPr>
            <w:tcW w:w="2396" w:type="dxa"/>
            <w:gridSpan w:val="2"/>
            <w:vAlign w:val="center"/>
          </w:tcPr>
          <w:p w14:paraId="32A947A8"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Land use according to the requested area</w:t>
            </w:r>
          </w:p>
        </w:tc>
        <w:tc>
          <w:tcPr>
            <w:tcW w:w="1418" w:type="dxa"/>
            <w:vAlign w:val="center"/>
          </w:tcPr>
          <w:p w14:paraId="232ECB0E" w14:textId="77777777" w:rsidR="00F736FC" w:rsidRPr="00CF0052" w:rsidRDefault="00103CC2">
            <w:pPr>
              <w:spacing w:line="276" w:lineRule="auto"/>
              <w:ind w:hanging="2"/>
              <w:jc w:val="center"/>
              <w:rPr>
                <w:rFonts w:ascii="Times New Roman" w:eastAsia="Times New Roman" w:hAnsi="Times New Roman" w:cs="Times New Roman"/>
                <w:sz w:val="24"/>
                <w:szCs w:val="24"/>
              </w:rPr>
            </w:pPr>
            <w:r w:rsidRPr="00CF0052">
              <w:rPr>
                <w:rFonts w:ascii="Times New Roman" w:eastAsia="Times New Roman" w:hAnsi="Times New Roman" w:cs="Times New Roman"/>
                <w:sz w:val="24"/>
                <w:szCs w:val="24"/>
              </w:rPr>
              <w:t>Excavation and hill cutting</w:t>
            </w:r>
          </w:p>
        </w:tc>
      </w:tr>
    </w:tbl>
    <w:p w14:paraId="7D2C4483" w14:textId="77777777" w:rsidR="005C730A" w:rsidRPr="00415817" w:rsidRDefault="005C730A" w:rsidP="005C730A">
      <w:pPr>
        <w:spacing w:after="0" w:line="240" w:lineRule="auto"/>
        <w:ind w:left="5" w:hanging="7"/>
        <w:jc w:val="both"/>
        <w:rPr>
          <w:rFonts w:ascii="Georgia" w:eastAsia="Georgia" w:hAnsi="Georgia" w:cs="Georgia"/>
          <w:b/>
          <w:sz w:val="24"/>
          <w:szCs w:val="24"/>
        </w:rPr>
      </w:pPr>
      <w:r w:rsidRPr="00415817">
        <w:rPr>
          <w:rFonts w:ascii="Times New Roman" w:eastAsia="Times New Roman" w:hAnsi="Times New Roman" w:cs="Times New Roman"/>
          <w:sz w:val="24"/>
          <w:szCs w:val="24"/>
        </w:rPr>
        <w:lastRenderedPageBreak/>
        <w:t>Source: Castellani &amp; Sal</w:t>
      </w:r>
      <w:r>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2012</w:t>
      </w:r>
      <w:r>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Martire</w:t>
      </w:r>
      <w:proofErr w:type="spellEnd"/>
      <w:r w:rsidRPr="00415817">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2015</w:t>
      </w:r>
      <w:r>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Wallenfang</w:t>
      </w:r>
      <w:proofErr w:type="spellEnd"/>
      <w:r w:rsidRPr="00415817">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2015</w:t>
      </w:r>
      <w:r>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Baral</w:t>
      </w:r>
      <w:proofErr w:type="spellEnd"/>
      <w:r w:rsidRPr="00415817">
        <w:rPr>
          <w:rFonts w:ascii="Times New Roman" w:eastAsia="Times New Roman" w:hAnsi="Times New Roman" w:cs="Times New Roman"/>
          <w:sz w:val="24"/>
          <w:szCs w:val="24"/>
        </w:rPr>
        <w:t xml:space="preserve"> &amp; </w:t>
      </w:r>
      <w:proofErr w:type="spellStart"/>
      <w:r w:rsidRPr="00415817">
        <w:rPr>
          <w:rFonts w:ascii="Times New Roman" w:eastAsia="Times New Roman" w:hAnsi="Times New Roman" w:cs="Times New Roman"/>
          <w:sz w:val="24"/>
          <w:szCs w:val="24"/>
        </w:rPr>
        <w:t>Ghimire</w:t>
      </w:r>
      <w:proofErr w:type="spellEnd"/>
      <w:r w:rsidRPr="00415817">
        <w:rPr>
          <w:rFonts w:ascii="Times New Roman" w:eastAsia="Times New Roman" w:hAnsi="Times New Roman" w:cs="Times New Roman"/>
          <w:sz w:val="24"/>
          <w:szCs w:val="24"/>
        </w:rPr>
        <w:t xml:space="preserve"> 2020</w:t>
      </w:r>
      <w:r>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Noor </w:t>
      </w:r>
      <w:proofErr w:type="spellStart"/>
      <w:r w:rsidRPr="00415817">
        <w:rPr>
          <w:rFonts w:ascii="Times New Roman" w:eastAsia="Times New Roman" w:hAnsi="Times New Roman" w:cs="Times New Roman"/>
          <w:sz w:val="24"/>
          <w:szCs w:val="24"/>
        </w:rPr>
        <w:t>Liyana</w:t>
      </w:r>
      <w:proofErr w:type="spellEnd"/>
      <w:r w:rsidRPr="00415817">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2020</w:t>
      </w:r>
      <w:r>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Zulhazman</w:t>
      </w:r>
      <w:proofErr w:type="spellEnd"/>
      <w:r>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2020</w:t>
      </w:r>
      <w:r>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Wong &amp; </w:t>
      </w:r>
      <w:proofErr w:type="spellStart"/>
      <w:r w:rsidRPr="00415817">
        <w:rPr>
          <w:rFonts w:ascii="Times New Roman" w:eastAsia="Times New Roman" w:hAnsi="Times New Roman" w:cs="Times New Roman"/>
          <w:sz w:val="24"/>
          <w:szCs w:val="24"/>
        </w:rPr>
        <w:t>Joling</w:t>
      </w:r>
      <w:proofErr w:type="spellEnd"/>
      <w:r>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2021</w:t>
      </w:r>
      <w:r>
        <w:rPr>
          <w:rFonts w:ascii="Times New Roman" w:eastAsia="Times New Roman" w:hAnsi="Times New Roman" w:cs="Times New Roman"/>
          <w:sz w:val="24"/>
          <w:szCs w:val="24"/>
        </w:rPr>
        <w:t>;</w:t>
      </w:r>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Zulhazman</w:t>
      </w:r>
      <w:proofErr w:type="spellEnd"/>
      <w:r>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et al.</w:t>
      </w:r>
      <w:r>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2021</w:t>
      </w:r>
      <w:r>
        <w:rPr>
          <w:rFonts w:ascii="Times New Roman" w:eastAsia="Times New Roman" w:hAnsi="Times New Roman" w:cs="Times New Roman"/>
          <w:sz w:val="24"/>
          <w:szCs w:val="24"/>
        </w:rPr>
        <w:t>a;</w:t>
      </w:r>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dan</w:t>
      </w:r>
      <w:proofErr w:type="spellEnd"/>
      <w:r w:rsidRPr="00415817">
        <w:rPr>
          <w:rFonts w:ascii="Times New Roman" w:eastAsia="Times New Roman" w:hAnsi="Times New Roman" w:cs="Times New Roman"/>
          <w:sz w:val="24"/>
          <w:szCs w:val="24"/>
        </w:rPr>
        <w:t xml:space="preserve"> </w:t>
      </w:r>
      <w:proofErr w:type="spellStart"/>
      <w:r w:rsidRPr="00415817">
        <w:rPr>
          <w:rFonts w:ascii="Times New Roman" w:eastAsia="Times New Roman" w:hAnsi="Times New Roman" w:cs="Times New Roman"/>
          <w:sz w:val="24"/>
          <w:szCs w:val="24"/>
        </w:rPr>
        <w:t>Zulhazman</w:t>
      </w:r>
      <w:proofErr w:type="spellEnd"/>
      <w:r>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et al.</w:t>
      </w:r>
      <w:r>
        <w:rPr>
          <w:rFonts w:ascii="Times New Roman" w:eastAsia="Times New Roman" w:hAnsi="Times New Roman" w:cs="Times New Roman"/>
          <w:sz w:val="24"/>
          <w:szCs w:val="24"/>
        </w:rPr>
        <w:t xml:space="preserve">, </w:t>
      </w:r>
      <w:r w:rsidRPr="00415817">
        <w:rPr>
          <w:rFonts w:ascii="Times New Roman" w:eastAsia="Times New Roman" w:hAnsi="Times New Roman" w:cs="Times New Roman"/>
          <w:sz w:val="24"/>
          <w:szCs w:val="24"/>
        </w:rPr>
        <w:t>2021</w:t>
      </w:r>
      <w:r>
        <w:rPr>
          <w:rFonts w:ascii="Times New Roman" w:eastAsia="Times New Roman" w:hAnsi="Times New Roman" w:cs="Times New Roman"/>
          <w:sz w:val="24"/>
          <w:szCs w:val="24"/>
        </w:rPr>
        <w:t>b</w:t>
      </w:r>
    </w:p>
    <w:p w14:paraId="60D3DB08" w14:textId="77777777" w:rsidR="000427A0" w:rsidRDefault="000427A0">
      <w:pPr>
        <w:spacing w:after="0" w:line="240" w:lineRule="auto"/>
        <w:ind w:hanging="2"/>
        <w:jc w:val="both"/>
        <w:rPr>
          <w:rFonts w:ascii="Times New Roman" w:eastAsia="Times New Roman" w:hAnsi="Times New Roman" w:cs="Times New Roman"/>
          <w:i/>
          <w:sz w:val="24"/>
          <w:szCs w:val="24"/>
        </w:rPr>
      </w:pPr>
    </w:p>
    <w:p w14:paraId="6831D02D" w14:textId="5C090363" w:rsidR="00F736FC" w:rsidRDefault="00103CC2">
      <w:pPr>
        <w:spacing w:after="0" w:line="24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Rubric scoring</w:t>
      </w:r>
    </w:p>
    <w:p w14:paraId="5A0C3BF7" w14:textId="77777777" w:rsidR="00F736FC" w:rsidRDefault="00F736FC">
      <w:pPr>
        <w:spacing w:after="0" w:line="240" w:lineRule="auto"/>
        <w:ind w:hanging="2"/>
        <w:jc w:val="both"/>
        <w:rPr>
          <w:rFonts w:ascii="Times New Roman" w:eastAsia="Times New Roman" w:hAnsi="Times New Roman" w:cs="Times New Roman"/>
          <w:i/>
          <w:sz w:val="24"/>
          <w:szCs w:val="24"/>
        </w:rPr>
      </w:pPr>
    </w:p>
    <w:p w14:paraId="226568F8" w14:textId="77777777" w:rsidR="00F736FC" w:rsidRDefault="00103CC2">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Scoring information was obtained from both primary and secondary data sources. Primary data were collected through field observation at the study sites. Additionally, interviews with several local communities were carried out to gather information on the environmental changes and developments within the study sites. Interviews were also conducted with Sabah Parks staff and Honorary Rangers at each substation to obtain information regarding community compliance with the laws and regulation of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Meteorological data, including air temperature and rainfall recorded at the study sites were obtained from Sabah Parks Office and Sabah State Meteorology Department. Unstructured interviews were employed, with questions were tailored to gather information relevant to scoring each criterion of the vulnerability assessment components. Scoring was conducted using a rubric specifically designed to evaluate the vulnerability level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The total number of key informants in the scoring process is presented in Table 3.</w:t>
      </w:r>
    </w:p>
    <w:p w14:paraId="2778BDB3" w14:textId="77777777" w:rsidR="00F736FC" w:rsidRDefault="00F736FC">
      <w:pPr>
        <w:spacing w:after="0" w:line="240" w:lineRule="auto"/>
        <w:ind w:hanging="2"/>
        <w:jc w:val="both"/>
        <w:rPr>
          <w:rFonts w:ascii="Times New Roman" w:eastAsia="Times New Roman" w:hAnsi="Times New Roman" w:cs="Times New Roman"/>
          <w:sz w:val="24"/>
          <w:szCs w:val="24"/>
        </w:rPr>
      </w:pPr>
    </w:p>
    <w:p w14:paraId="5DD76918" w14:textId="77777777" w:rsidR="000427A0" w:rsidRDefault="000427A0">
      <w:pPr>
        <w:spacing w:after="0" w:line="240" w:lineRule="auto"/>
        <w:ind w:hanging="2"/>
        <w:jc w:val="both"/>
        <w:rPr>
          <w:rFonts w:ascii="Times New Roman" w:eastAsia="Times New Roman" w:hAnsi="Times New Roman" w:cs="Times New Roman"/>
          <w:sz w:val="24"/>
          <w:szCs w:val="24"/>
        </w:rPr>
      </w:pPr>
    </w:p>
    <w:p w14:paraId="5E123A11" w14:textId="77777777" w:rsidR="00F736FC" w:rsidRDefault="00103CC2">
      <w:pPr>
        <w:keepNext/>
        <w:pBdr>
          <w:top w:val="nil"/>
          <w:left w:val="nil"/>
          <w:bottom w:val="nil"/>
          <w:right w:val="nil"/>
          <w:between w:val="nil"/>
        </w:pBdr>
        <w:spacing w:after="0" w:line="240" w:lineRule="auto"/>
        <w:ind w:left="5" w:hanging="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w:t>
      </w:r>
      <w:r>
        <w:rPr>
          <w:rFonts w:ascii="Times New Roman" w:eastAsia="Times New Roman" w:hAnsi="Times New Roman" w:cs="Times New Roman"/>
          <w:b/>
          <w:sz w:val="24"/>
          <w:szCs w:val="24"/>
        </w:rPr>
        <w:t>3</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Number of key informants according to the study site within the </w:t>
      </w:r>
      <w:proofErr w:type="spellStart"/>
      <w:r>
        <w:rPr>
          <w:rFonts w:ascii="Times New Roman" w:eastAsia="Times New Roman" w:hAnsi="Times New Roman" w:cs="Times New Roman"/>
          <w:color w:val="000000"/>
          <w:sz w:val="24"/>
          <w:szCs w:val="24"/>
        </w:rPr>
        <w:t>Kinabalu</w:t>
      </w:r>
      <w:proofErr w:type="spellEnd"/>
      <w:r>
        <w:rPr>
          <w:rFonts w:ascii="Times New Roman" w:eastAsia="Times New Roman" w:hAnsi="Times New Roman" w:cs="Times New Roman"/>
          <w:color w:val="000000"/>
          <w:sz w:val="24"/>
          <w:szCs w:val="24"/>
        </w:rPr>
        <w:t xml:space="preserve"> UNESCO Global </w:t>
      </w:r>
      <w:proofErr w:type="spellStart"/>
      <w:r>
        <w:rPr>
          <w:rFonts w:ascii="Times New Roman" w:eastAsia="Times New Roman" w:hAnsi="Times New Roman" w:cs="Times New Roman"/>
          <w:color w:val="000000"/>
          <w:sz w:val="24"/>
          <w:szCs w:val="24"/>
        </w:rPr>
        <w:t>Geopark</w:t>
      </w:r>
      <w:proofErr w:type="spellEnd"/>
    </w:p>
    <w:p w14:paraId="7C4A874C" w14:textId="77777777" w:rsidR="00F736FC" w:rsidRDefault="00F736FC">
      <w:pPr>
        <w:spacing w:after="0" w:line="240" w:lineRule="auto"/>
        <w:ind w:hanging="2"/>
        <w:rPr>
          <w:rFonts w:ascii="Times New Roman" w:eastAsia="Times New Roman" w:hAnsi="Times New Roman" w:cs="Times New Roman"/>
          <w:sz w:val="24"/>
          <w:szCs w:val="24"/>
        </w:rPr>
      </w:pPr>
    </w:p>
    <w:tbl>
      <w:tblPr>
        <w:tblStyle w:val="a2"/>
        <w:tblW w:w="8789"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418"/>
        <w:gridCol w:w="1134"/>
        <w:gridCol w:w="2382"/>
        <w:gridCol w:w="2431"/>
        <w:gridCol w:w="1424"/>
      </w:tblGrid>
      <w:tr w:rsidR="00F736FC" w14:paraId="03BB1DF5" w14:textId="77777777">
        <w:trPr>
          <w:jc w:val="center"/>
        </w:trPr>
        <w:tc>
          <w:tcPr>
            <w:tcW w:w="1418" w:type="dxa"/>
            <w:tcBorders>
              <w:bottom w:val="single" w:sz="4" w:space="0" w:color="000000"/>
            </w:tcBorders>
            <w:shd w:val="clear" w:color="auto" w:fill="8DB3E2"/>
          </w:tcPr>
          <w:p w14:paraId="523568BE"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Study site</w:t>
            </w:r>
          </w:p>
        </w:tc>
        <w:tc>
          <w:tcPr>
            <w:tcW w:w="1134" w:type="dxa"/>
            <w:tcBorders>
              <w:bottom w:val="single" w:sz="4" w:space="0" w:color="000000"/>
            </w:tcBorders>
            <w:shd w:val="clear" w:color="auto" w:fill="8DB3E2"/>
          </w:tcPr>
          <w:p w14:paraId="66001DDC"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w:t>
            </w:r>
          </w:p>
        </w:tc>
        <w:tc>
          <w:tcPr>
            <w:tcW w:w="2382" w:type="dxa"/>
            <w:tcBorders>
              <w:bottom w:val="single" w:sz="4" w:space="0" w:color="000000"/>
            </w:tcBorders>
            <w:shd w:val="clear" w:color="auto" w:fill="8DB3E2"/>
          </w:tcPr>
          <w:p w14:paraId="2D865CC9"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informants</w:t>
            </w:r>
          </w:p>
          <w:p w14:paraId="16A25906"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(Sabah Park’s Staff)</w:t>
            </w:r>
          </w:p>
        </w:tc>
        <w:tc>
          <w:tcPr>
            <w:tcW w:w="2431" w:type="dxa"/>
            <w:tcBorders>
              <w:bottom w:val="single" w:sz="4" w:space="0" w:color="000000"/>
            </w:tcBorders>
            <w:shd w:val="clear" w:color="auto" w:fill="8DB3E2"/>
          </w:tcPr>
          <w:p w14:paraId="6D3DF206"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informants</w:t>
            </w:r>
          </w:p>
          <w:p w14:paraId="7C7ACEE1"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Community)</w:t>
            </w:r>
          </w:p>
        </w:tc>
        <w:tc>
          <w:tcPr>
            <w:tcW w:w="1424" w:type="dxa"/>
            <w:tcBorders>
              <w:bottom w:val="single" w:sz="4" w:space="0" w:color="000000"/>
            </w:tcBorders>
            <w:shd w:val="clear" w:color="auto" w:fill="8DB3E2"/>
          </w:tcPr>
          <w:p w14:paraId="0E5F93F0"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key informants</w:t>
            </w:r>
          </w:p>
        </w:tc>
      </w:tr>
      <w:tr w:rsidR="00F736FC" w14:paraId="060EFB2F" w14:textId="77777777">
        <w:trPr>
          <w:jc w:val="center"/>
        </w:trPr>
        <w:tc>
          <w:tcPr>
            <w:tcW w:w="1418" w:type="dxa"/>
            <w:tcBorders>
              <w:bottom w:val="nil"/>
            </w:tcBorders>
          </w:tcPr>
          <w:p w14:paraId="3C78E33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134" w:type="dxa"/>
            <w:tcBorders>
              <w:bottom w:val="nil"/>
            </w:tcBorders>
          </w:tcPr>
          <w:p w14:paraId="04B1C36C" w14:textId="77777777" w:rsidR="00F736FC" w:rsidRDefault="00103CC2">
            <w:pPr>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Losou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Podi</w:t>
            </w:r>
            <w:proofErr w:type="spellEnd"/>
          </w:p>
        </w:tc>
        <w:tc>
          <w:tcPr>
            <w:tcW w:w="2382" w:type="dxa"/>
            <w:tcBorders>
              <w:bottom w:val="nil"/>
            </w:tcBorders>
          </w:tcPr>
          <w:p w14:paraId="32A2C52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31" w:type="dxa"/>
            <w:tcBorders>
              <w:bottom w:val="nil"/>
            </w:tcBorders>
          </w:tcPr>
          <w:p w14:paraId="2973190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4" w:type="dxa"/>
            <w:tcBorders>
              <w:bottom w:val="nil"/>
            </w:tcBorders>
          </w:tcPr>
          <w:p w14:paraId="3F93040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736FC" w14:paraId="1A131B11" w14:textId="77777777">
        <w:trPr>
          <w:jc w:val="center"/>
        </w:trPr>
        <w:tc>
          <w:tcPr>
            <w:tcW w:w="1418" w:type="dxa"/>
            <w:tcBorders>
              <w:top w:val="nil"/>
              <w:bottom w:val="nil"/>
            </w:tcBorders>
          </w:tcPr>
          <w:p w14:paraId="07C6DDB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134" w:type="dxa"/>
            <w:tcBorders>
              <w:top w:val="nil"/>
              <w:bottom w:val="nil"/>
            </w:tcBorders>
          </w:tcPr>
          <w:p w14:paraId="7335872E" w14:textId="77777777" w:rsidR="00F736FC" w:rsidRDefault="00103CC2">
            <w:pPr>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Sayap</w:t>
            </w:r>
            <w:proofErr w:type="spellEnd"/>
          </w:p>
        </w:tc>
        <w:tc>
          <w:tcPr>
            <w:tcW w:w="2382" w:type="dxa"/>
            <w:tcBorders>
              <w:top w:val="nil"/>
              <w:bottom w:val="nil"/>
            </w:tcBorders>
          </w:tcPr>
          <w:p w14:paraId="678FE2A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431" w:type="dxa"/>
            <w:tcBorders>
              <w:top w:val="nil"/>
              <w:bottom w:val="nil"/>
            </w:tcBorders>
          </w:tcPr>
          <w:p w14:paraId="15F6ECB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4" w:type="dxa"/>
            <w:tcBorders>
              <w:top w:val="nil"/>
              <w:bottom w:val="nil"/>
            </w:tcBorders>
          </w:tcPr>
          <w:p w14:paraId="3CE436B2"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736FC" w14:paraId="50B5A92A" w14:textId="77777777">
        <w:trPr>
          <w:jc w:val="center"/>
        </w:trPr>
        <w:tc>
          <w:tcPr>
            <w:tcW w:w="1418" w:type="dxa"/>
            <w:tcBorders>
              <w:top w:val="nil"/>
              <w:bottom w:val="nil"/>
            </w:tcBorders>
          </w:tcPr>
          <w:p w14:paraId="6A020AD4"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134" w:type="dxa"/>
            <w:tcBorders>
              <w:top w:val="nil"/>
              <w:bottom w:val="nil"/>
            </w:tcBorders>
          </w:tcPr>
          <w:p w14:paraId="6B6654E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Poring</w:t>
            </w:r>
          </w:p>
        </w:tc>
        <w:tc>
          <w:tcPr>
            <w:tcW w:w="2382" w:type="dxa"/>
            <w:tcBorders>
              <w:top w:val="nil"/>
              <w:bottom w:val="nil"/>
            </w:tcBorders>
          </w:tcPr>
          <w:p w14:paraId="4FD54092"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431" w:type="dxa"/>
            <w:tcBorders>
              <w:top w:val="nil"/>
              <w:bottom w:val="nil"/>
            </w:tcBorders>
          </w:tcPr>
          <w:p w14:paraId="431B02A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4" w:type="dxa"/>
            <w:tcBorders>
              <w:top w:val="nil"/>
              <w:bottom w:val="nil"/>
            </w:tcBorders>
          </w:tcPr>
          <w:p w14:paraId="7E424DF5"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736FC" w14:paraId="0B0D01D0" w14:textId="77777777">
        <w:trPr>
          <w:jc w:val="center"/>
        </w:trPr>
        <w:tc>
          <w:tcPr>
            <w:tcW w:w="1418" w:type="dxa"/>
            <w:tcBorders>
              <w:top w:val="nil"/>
              <w:bottom w:val="nil"/>
            </w:tcBorders>
          </w:tcPr>
          <w:p w14:paraId="64277F2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134" w:type="dxa"/>
            <w:tcBorders>
              <w:top w:val="nil"/>
              <w:bottom w:val="nil"/>
            </w:tcBorders>
          </w:tcPr>
          <w:p w14:paraId="5A4605A2" w14:textId="77777777" w:rsidR="00F736FC" w:rsidRDefault="00103CC2">
            <w:pPr>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Monggis</w:t>
            </w:r>
            <w:proofErr w:type="spellEnd"/>
          </w:p>
        </w:tc>
        <w:tc>
          <w:tcPr>
            <w:tcW w:w="2382" w:type="dxa"/>
            <w:tcBorders>
              <w:top w:val="nil"/>
              <w:bottom w:val="nil"/>
            </w:tcBorders>
          </w:tcPr>
          <w:p w14:paraId="4B530B7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31" w:type="dxa"/>
            <w:tcBorders>
              <w:top w:val="nil"/>
              <w:bottom w:val="nil"/>
            </w:tcBorders>
          </w:tcPr>
          <w:p w14:paraId="4BEBB87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24" w:type="dxa"/>
            <w:tcBorders>
              <w:top w:val="nil"/>
              <w:bottom w:val="nil"/>
            </w:tcBorders>
          </w:tcPr>
          <w:p w14:paraId="2D11483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736FC" w14:paraId="74D533A4" w14:textId="77777777">
        <w:trPr>
          <w:jc w:val="center"/>
        </w:trPr>
        <w:tc>
          <w:tcPr>
            <w:tcW w:w="1418" w:type="dxa"/>
            <w:tcBorders>
              <w:top w:val="nil"/>
              <w:bottom w:val="nil"/>
            </w:tcBorders>
          </w:tcPr>
          <w:p w14:paraId="0D0B3E24"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134" w:type="dxa"/>
            <w:tcBorders>
              <w:top w:val="nil"/>
              <w:bottom w:val="nil"/>
            </w:tcBorders>
          </w:tcPr>
          <w:p w14:paraId="035B99B0" w14:textId="77777777" w:rsidR="00F736FC" w:rsidRDefault="00103CC2">
            <w:pPr>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Serinsim</w:t>
            </w:r>
            <w:proofErr w:type="spellEnd"/>
          </w:p>
        </w:tc>
        <w:tc>
          <w:tcPr>
            <w:tcW w:w="2382" w:type="dxa"/>
            <w:tcBorders>
              <w:top w:val="nil"/>
              <w:bottom w:val="nil"/>
            </w:tcBorders>
          </w:tcPr>
          <w:p w14:paraId="6C23A7A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31" w:type="dxa"/>
            <w:tcBorders>
              <w:top w:val="nil"/>
              <w:bottom w:val="nil"/>
            </w:tcBorders>
          </w:tcPr>
          <w:p w14:paraId="2EE3FD7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24" w:type="dxa"/>
            <w:tcBorders>
              <w:top w:val="nil"/>
              <w:bottom w:val="nil"/>
            </w:tcBorders>
          </w:tcPr>
          <w:p w14:paraId="7B7FE73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736FC" w14:paraId="7E6BE0DC" w14:textId="77777777">
        <w:trPr>
          <w:jc w:val="center"/>
        </w:trPr>
        <w:tc>
          <w:tcPr>
            <w:tcW w:w="1418" w:type="dxa"/>
            <w:tcBorders>
              <w:top w:val="nil"/>
            </w:tcBorders>
          </w:tcPr>
          <w:p w14:paraId="322B09B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34" w:type="dxa"/>
            <w:tcBorders>
              <w:top w:val="nil"/>
            </w:tcBorders>
          </w:tcPr>
          <w:p w14:paraId="381FD9E4" w14:textId="77777777" w:rsidR="00F736FC" w:rsidRDefault="00103CC2">
            <w:pPr>
              <w:ind w:hanging="2"/>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Nalapak</w:t>
            </w:r>
            <w:proofErr w:type="spellEnd"/>
          </w:p>
        </w:tc>
        <w:tc>
          <w:tcPr>
            <w:tcW w:w="2382" w:type="dxa"/>
            <w:tcBorders>
              <w:top w:val="nil"/>
            </w:tcBorders>
          </w:tcPr>
          <w:p w14:paraId="38F6CCB5"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31" w:type="dxa"/>
            <w:tcBorders>
              <w:top w:val="nil"/>
            </w:tcBorders>
          </w:tcPr>
          <w:p w14:paraId="6F17FD2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24" w:type="dxa"/>
            <w:tcBorders>
              <w:top w:val="nil"/>
            </w:tcBorders>
          </w:tcPr>
          <w:p w14:paraId="0658240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736FC" w14:paraId="79A01EF6" w14:textId="77777777">
        <w:trPr>
          <w:jc w:val="center"/>
        </w:trPr>
        <w:tc>
          <w:tcPr>
            <w:tcW w:w="7365" w:type="dxa"/>
            <w:gridSpan w:val="4"/>
          </w:tcPr>
          <w:p w14:paraId="0B9E4578" w14:textId="77777777" w:rsidR="00F736FC" w:rsidRDefault="00103CC2">
            <w:pPr>
              <w:tabs>
                <w:tab w:val="left" w:pos="1305"/>
              </w:tabs>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424" w:type="dxa"/>
          </w:tcPr>
          <w:p w14:paraId="51DBD5A6"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r>
    </w:tbl>
    <w:p w14:paraId="0ED0C585" w14:textId="77777777" w:rsidR="00F736FC" w:rsidRDefault="00F736FC">
      <w:pPr>
        <w:spacing w:after="0" w:line="240" w:lineRule="auto"/>
        <w:ind w:hanging="2"/>
        <w:jc w:val="both"/>
        <w:rPr>
          <w:rFonts w:ascii="Times New Roman" w:eastAsia="Times New Roman" w:hAnsi="Times New Roman" w:cs="Times New Roman"/>
          <w:sz w:val="24"/>
          <w:szCs w:val="24"/>
        </w:rPr>
      </w:pPr>
    </w:p>
    <w:p w14:paraId="7A36466C" w14:textId="77777777" w:rsidR="00F736FC" w:rsidRDefault="00F736FC">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0F38858A" w14:textId="77777777" w:rsidR="00F736FC" w:rsidRDefault="00103CC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Results and discussion</w:t>
      </w:r>
      <w:r>
        <w:rPr>
          <w:rFonts w:ascii="Times New Roman" w:eastAsia="Times New Roman" w:hAnsi="Times New Roman" w:cs="Times New Roman"/>
          <w:color w:val="000000"/>
          <w:sz w:val="24"/>
          <w:szCs w:val="24"/>
        </w:rPr>
        <w:t xml:space="preserve"> </w:t>
      </w:r>
    </w:p>
    <w:p w14:paraId="0667AC9E" w14:textId="77777777" w:rsidR="00F736FC" w:rsidRDefault="00F736FC">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255E6B0" w14:textId="77777777" w:rsidR="00F736FC" w:rsidRDefault="00103CC2">
      <w:pPr>
        <w:pBdr>
          <w:top w:val="nil"/>
          <w:left w:val="nil"/>
          <w:bottom w:val="nil"/>
          <w:right w:val="nil"/>
          <w:between w:val="nil"/>
        </w:pBdr>
        <w:spacing w:after="0" w:line="240" w:lineRule="auto"/>
        <w:ind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Exposure of </w:t>
      </w:r>
      <w:proofErr w:type="spellStart"/>
      <w:r>
        <w:rPr>
          <w:rFonts w:ascii="Times New Roman" w:eastAsia="Times New Roman" w:hAnsi="Times New Roman" w:cs="Times New Roman"/>
          <w:i/>
          <w:color w:val="000000"/>
          <w:sz w:val="24"/>
          <w:szCs w:val="24"/>
        </w:rPr>
        <w:t>Araceae</w:t>
      </w:r>
      <w:proofErr w:type="spellEnd"/>
      <w:r>
        <w:rPr>
          <w:rFonts w:ascii="Times New Roman" w:eastAsia="Times New Roman" w:hAnsi="Times New Roman" w:cs="Times New Roman"/>
          <w:i/>
          <w:color w:val="000000"/>
          <w:sz w:val="24"/>
          <w:szCs w:val="24"/>
        </w:rPr>
        <w:t xml:space="preserve"> to social-ecological activities</w:t>
      </w:r>
    </w:p>
    <w:p w14:paraId="447FDE1B" w14:textId="77777777" w:rsidR="00F736FC" w:rsidRDefault="00F736FC">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878886C" w14:textId="77777777" w:rsidR="00F736FC" w:rsidRDefault="00103CC2">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exposure component scores show that study sites A and B were categorized as having low exposure, while the other study sites exhibited medium exposure levels (Table 4). Across all study sites showed that relative humidity and light density were scored as low and medium, respectively. In contrast, temperature, precipitation, and elevation have varying scores, reflecting differences in </w:t>
      </w:r>
      <w:r>
        <w:rPr>
          <w:rFonts w:ascii="Times New Roman" w:eastAsia="Times New Roman" w:hAnsi="Times New Roman" w:cs="Times New Roman"/>
          <w:sz w:val="24"/>
          <w:szCs w:val="24"/>
        </w:rPr>
        <w:lastRenderedPageBreak/>
        <w:t>geographical characteristics and human activities. A medium score (4) was recorded for temperature and precipitation criteria in study sites D and E due to the deforestation occurring near the border of these areas.</w:t>
      </w:r>
    </w:p>
    <w:p w14:paraId="4316968A"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study site D, meteorological data showed a decrease in rainfall and a concurrent increase in ambient temperature, particularly during El Niño events (</w:t>
      </w:r>
      <w:proofErr w:type="spellStart"/>
      <w:r>
        <w:rPr>
          <w:rFonts w:ascii="Times New Roman" w:eastAsia="Times New Roman" w:hAnsi="Times New Roman" w:cs="Times New Roman"/>
          <w:sz w:val="24"/>
          <w:szCs w:val="24"/>
        </w:rPr>
        <w:t>Kitayama</w:t>
      </w:r>
      <w:proofErr w:type="spellEnd"/>
      <w:r>
        <w:rPr>
          <w:rFonts w:ascii="Times New Roman" w:eastAsia="Times New Roman" w:hAnsi="Times New Roman" w:cs="Times New Roman"/>
          <w:sz w:val="24"/>
          <w:szCs w:val="24"/>
        </w:rPr>
        <w:t xml:space="preserve">, 1999; Kudo &amp; </w:t>
      </w:r>
      <w:proofErr w:type="spellStart"/>
      <w:r>
        <w:rPr>
          <w:rFonts w:ascii="Times New Roman" w:eastAsia="Times New Roman" w:hAnsi="Times New Roman" w:cs="Times New Roman"/>
          <w:sz w:val="24"/>
          <w:szCs w:val="24"/>
        </w:rPr>
        <w:t>Kitayama</w:t>
      </w:r>
      <w:proofErr w:type="spellEnd"/>
      <w:r>
        <w:rPr>
          <w:rFonts w:ascii="Times New Roman" w:eastAsia="Times New Roman" w:hAnsi="Times New Roman" w:cs="Times New Roman"/>
          <w:sz w:val="24"/>
          <w:szCs w:val="24"/>
        </w:rPr>
        <w:t xml:space="preserve">, 1999). Staff members of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and local community also reported perceiving a rise in temperature in their respective areas. This climatic change has led to adjustments to the timing of agricultural activities schedules, which are now limited to the early hours of 7:00 am to 9:00 am, compared to previous practices that extended until 11:00 am, due to increased heat.</w:t>
      </w:r>
    </w:p>
    <w:p w14:paraId="5499F6FC"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consists of various forest types, including lowland Dipterocarp (0-300 </w:t>
      </w:r>
      <w:proofErr w:type="spellStart"/>
      <w:r>
        <w:rPr>
          <w:rFonts w:ascii="Times New Roman" w:eastAsia="Times New Roman" w:hAnsi="Times New Roman" w:cs="Times New Roman"/>
          <w:sz w:val="24"/>
          <w:szCs w:val="24"/>
        </w:rPr>
        <w:t>m.a.s.l</w:t>
      </w:r>
      <w:proofErr w:type="spellEnd"/>
      <w:r>
        <w:rPr>
          <w:rFonts w:ascii="Times New Roman" w:eastAsia="Times New Roman" w:hAnsi="Times New Roman" w:cs="Times New Roman"/>
          <w:sz w:val="24"/>
          <w:szCs w:val="24"/>
        </w:rPr>
        <w:t xml:space="preserve">.), hill Dipterocarp (301-750 </w:t>
      </w:r>
      <w:proofErr w:type="spellStart"/>
      <w:r>
        <w:rPr>
          <w:rFonts w:ascii="Times New Roman" w:eastAsia="Times New Roman" w:hAnsi="Times New Roman" w:cs="Times New Roman"/>
          <w:sz w:val="24"/>
          <w:szCs w:val="24"/>
        </w:rPr>
        <w:t>m.a.s.l</w:t>
      </w:r>
      <w:proofErr w:type="spellEnd"/>
      <w:r>
        <w:rPr>
          <w:rFonts w:ascii="Times New Roman" w:eastAsia="Times New Roman" w:hAnsi="Times New Roman" w:cs="Times New Roman"/>
          <w:sz w:val="24"/>
          <w:szCs w:val="24"/>
        </w:rPr>
        <w:t xml:space="preserve">.), upper hill Dipterocarp (751-1200 </w:t>
      </w:r>
      <w:proofErr w:type="spellStart"/>
      <w:r>
        <w:rPr>
          <w:rFonts w:ascii="Times New Roman" w:eastAsia="Times New Roman" w:hAnsi="Times New Roman" w:cs="Times New Roman"/>
          <w:sz w:val="24"/>
          <w:szCs w:val="24"/>
        </w:rPr>
        <w:t>m.a.s.l</w:t>
      </w:r>
      <w:proofErr w:type="spellEnd"/>
      <w:r>
        <w:rPr>
          <w:rFonts w:ascii="Times New Roman" w:eastAsia="Times New Roman" w:hAnsi="Times New Roman" w:cs="Times New Roman"/>
          <w:sz w:val="24"/>
          <w:szCs w:val="24"/>
        </w:rPr>
        <w:t>. (van der Ent et al.</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2016). However, Martin et al. (2002) classified the forest type within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as tropical montane rainforest, tropical lowland rainforest, and forest on ultrabasic soils. These forested areas are characterized by high individual density per hectare (</w:t>
      </w:r>
      <w:proofErr w:type="spellStart"/>
      <w:r>
        <w:rPr>
          <w:rFonts w:ascii="Times New Roman" w:eastAsia="Times New Roman" w:hAnsi="Times New Roman" w:cs="Times New Roman"/>
          <w:sz w:val="24"/>
          <w:szCs w:val="24"/>
        </w:rPr>
        <w:t>Rasyidah</w:t>
      </w:r>
      <w:proofErr w:type="spellEnd"/>
      <w:r>
        <w:rPr>
          <w:rFonts w:ascii="Times New Roman" w:eastAsia="Times New Roman" w:hAnsi="Times New Roman" w:cs="Times New Roman"/>
          <w:sz w:val="24"/>
          <w:szCs w:val="24"/>
        </w:rPr>
        <w:t xml:space="preserve"> et al., 2021) and dense canopy cover, resulting in low light intensity, approximately 3.4-11.2 Lux reaching the forest floor (</w:t>
      </w:r>
      <w:proofErr w:type="spellStart"/>
      <w:r>
        <w:rPr>
          <w:rFonts w:ascii="Times New Roman" w:eastAsia="Times New Roman" w:hAnsi="Times New Roman" w:cs="Times New Roman"/>
          <w:sz w:val="24"/>
          <w:szCs w:val="24"/>
        </w:rPr>
        <w:t>Aiba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Kitayama</w:t>
      </w:r>
      <w:proofErr w:type="spellEnd"/>
      <w:r>
        <w:rPr>
          <w:rFonts w:ascii="Times New Roman" w:eastAsia="Times New Roman" w:hAnsi="Times New Roman" w:cs="Times New Roman"/>
          <w:sz w:val="24"/>
          <w:szCs w:val="24"/>
        </w:rPr>
        <w:t xml:space="preserve">, 2020; Nor </w:t>
      </w:r>
      <w:proofErr w:type="spellStart"/>
      <w:r>
        <w:rPr>
          <w:rFonts w:ascii="Times New Roman" w:eastAsia="Times New Roman" w:hAnsi="Times New Roman" w:cs="Times New Roman"/>
          <w:sz w:val="24"/>
          <w:szCs w:val="24"/>
        </w:rPr>
        <w:t>Rasyidah</w:t>
      </w:r>
      <w:proofErr w:type="spellEnd"/>
      <w:r>
        <w:rPr>
          <w:rFonts w:ascii="Times New Roman" w:eastAsia="Times New Roman" w:hAnsi="Times New Roman" w:cs="Times New Roman"/>
          <w:sz w:val="24"/>
          <w:szCs w:val="24"/>
        </w:rPr>
        <w:t xml:space="preserve">, 2022; Ushio et al., 2017). According to Wong and </w:t>
      </w:r>
      <w:proofErr w:type="spellStart"/>
      <w:r>
        <w:rPr>
          <w:rFonts w:ascii="Times New Roman" w:eastAsia="Times New Roman" w:hAnsi="Times New Roman" w:cs="Times New Roman"/>
          <w:sz w:val="24"/>
          <w:szCs w:val="24"/>
        </w:rPr>
        <w:t>Joling</w:t>
      </w:r>
      <w:proofErr w:type="spellEnd"/>
      <w:r>
        <w:rPr>
          <w:rFonts w:ascii="Times New Roman" w:eastAsia="Times New Roman" w:hAnsi="Times New Roman" w:cs="Times New Roman"/>
          <w:sz w:val="24"/>
          <w:szCs w:val="24"/>
        </w:rPr>
        <w:t xml:space="preserve"> (2021), most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species thrive in areas with medium to high light intensity. The score of light density for all study sites was medium (3), indicating that low light intensity is unfavorable for the growth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within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Rafiqpoor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Nieder</w:t>
      </w:r>
      <w:proofErr w:type="spellEnd"/>
      <w:r>
        <w:rPr>
          <w:rFonts w:ascii="Times New Roman" w:eastAsia="Times New Roman" w:hAnsi="Times New Roman" w:cs="Times New Roman"/>
          <w:sz w:val="24"/>
          <w:szCs w:val="24"/>
        </w:rPr>
        <w:t xml:space="preserve">, 2006; Wong &amp; </w:t>
      </w:r>
      <w:proofErr w:type="spellStart"/>
      <w:r>
        <w:rPr>
          <w:rFonts w:ascii="Times New Roman" w:eastAsia="Times New Roman" w:hAnsi="Times New Roman" w:cs="Times New Roman"/>
          <w:sz w:val="24"/>
          <w:szCs w:val="24"/>
        </w:rPr>
        <w:t>Joling</w:t>
      </w:r>
      <w:proofErr w:type="spellEnd"/>
      <w:r>
        <w:rPr>
          <w:rFonts w:ascii="Times New Roman" w:eastAsia="Times New Roman" w:hAnsi="Times New Roman" w:cs="Times New Roman"/>
          <w:sz w:val="24"/>
          <w:szCs w:val="24"/>
        </w:rPr>
        <w:t>, 2021).</w:t>
      </w:r>
    </w:p>
    <w:p w14:paraId="72F17C10" w14:textId="77777777" w:rsidR="000427A0" w:rsidRDefault="000427A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4490F98B" w14:textId="77777777" w:rsidR="000427A0" w:rsidRDefault="000427A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3F0583F" w14:textId="77777777" w:rsidR="00F736FC" w:rsidRDefault="00103CC2">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w:t>
      </w:r>
      <w:r>
        <w:rPr>
          <w:rFonts w:ascii="Times New Roman" w:eastAsia="Times New Roman" w:hAnsi="Times New Roman" w:cs="Times New Roman"/>
          <w:sz w:val="24"/>
          <w:szCs w:val="24"/>
        </w:rPr>
        <w:t xml:space="preserve"> Exposure scores for each study site</w:t>
      </w:r>
    </w:p>
    <w:p w14:paraId="567638E9" w14:textId="77777777" w:rsidR="00F736FC" w:rsidRDefault="00F736FC">
      <w:pPr>
        <w:spacing w:after="0" w:line="240" w:lineRule="auto"/>
        <w:ind w:hanging="2"/>
        <w:jc w:val="center"/>
        <w:rPr>
          <w:rFonts w:ascii="Times New Roman" w:eastAsia="Times New Roman" w:hAnsi="Times New Roman" w:cs="Times New Roman"/>
          <w:sz w:val="24"/>
          <w:szCs w:val="24"/>
        </w:rPr>
      </w:pPr>
    </w:p>
    <w:tbl>
      <w:tblPr>
        <w:tblStyle w:val="a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1835"/>
        <w:gridCol w:w="1881"/>
        <w:gridCol w:w="867"/>
        <w:gridCol w:w="820"/>
        <w:gridCol w:w="867"/>
        <w:gridCol w:w="869"/>
        <w:gridCol w:w="867"/>
        <w:gridCol w:w="769"/>
      </w:tblGrid>
      <w:tr w:rsidR="00F736FC" w14:paraId="0BAB6937" w14:textId="77777777">
        <w:tc>
          <w:tcPr>
            <w:tcW w:w="2420" w:type="dxa"/>
            <w:gridSpan w:val="2"/>
            <w:vMerge w:val="restart"/>
            <w:tcBorders>
              <w:top w:val="single" w:sz="4" w:space="0" w:color="000000"/>
              <w:left w:val="nil"/>
              <w:bottom w:val="nil"/>
              <w:right w:val="nil"/>
            </w:tcBorders>
            <w:shd w:val="clear" w:color="auto" w:fill="8DB3E2"/>
          </w:tcPr>
          <w:p w14:paraId="10721C30"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Study sites exposure</w:t>
            </w:r>
          </w:p>
        </w:tc>
        <w:tc>
          <w:tcPr>
            <w:tcW w:w="1881" w:type="dxa"/>
            <w:vMerge w:val="restart"/>
            <w:tcBorders>
              <w:top w:val="single" w:sz="4" w:space="0" w:color="000000"/>
              <w:left w:val="nil"/>
              <w:bottom w:val="nil"/>
              <w:right w:val="nil"/>
            </w:tcBorders>
            <w:shd w:val="clear" w:color="auto" w:fill="8DB3E2"/>
          </w:tcPr>
          <w:p w14:paraId="04B0133D"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w:t>
            </w:r>
          </w:p>
        </w:tc>
        <w:tc>
          <w:tcPr>
            <w:tcW w:w="5059" w:type="dxa"/>
            <w:gridSpan w:val="6"/>
            <w:tcBorders>
              <w:top w:val="single" w:sz="4" w:space="0" w:color="000000"/>
              <w:left w:val="nil"/>
              <w:bottom w:val="single" w:sz="4" w:space="0" w:color="000000"/>
              <w:right w:val="nil"/>
            </w:tcBorders>
            <w:shd w:val="clear" w:color="auto" w:fill="8DB3E2"/>
          </w:tcPr>
          <w:p w14:paraId="71DECEAB"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Study site scores</w:t>
            </w:r>
          </w:p>
        </w:tc>
      </w:tr>
      <w:tr w:rsidR="00F736FC" w14:paraId="7AA89C01" w14:textId="77777777">
        <w:tc>
          <w:tcPr>
            <w:tcW w:w="2420" w:type="dxa"/>
            <w:gridSpan w:val="2"/>
            <w:vMerge/>
            <w:tcBorders>
              <w:top w:val="single" w:sz="4" w:space="0" w:color="000000"/>
              <w:left w:val="nil"/>
              <w:bottom w:val="nil"/>
              <w:right w:val="nil"/>
            </w:tcBorders>
            <w:shd w:val="clear" w:color="auto" w:fill="8DB3E2"/>
          </w:tcPr>
          <w:p w14:paraId="49F01675"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b/>
                <w:sz w:val="24"/>
                <w:szCs w:val="24"/>
              </w:rPr>
            </w:pPr>
          </w:p>
        </w:tc>
        <w:tc>
          <w:tcPr>
            <w:tcW w:w="1881" w:type="dxa"/>
            <w:vMerge/>
            <w:tcBorders>
              <w:top w:val="single" w:sz="4" w:space="0" w:color="000000"/>
              <w:left w:val="nil"/>
              <w:bottom w:val="nil"/>
              <w:right w:val="nil"/>
            </w:tcBorders>
            <w:shd w:val="clear" w:color="auto" w:fill="8DB3E2"/>
          </w:tcPr>
          <w:p w14:paraId="1A9A582E"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b/>
                <w:sz w:val="24"/>
                <w:szCs w:val="24"/>
              </w:rPr>
            </w:pPr>
          </w:p>
        </w:tc>
        <w:tc>
          <w:tcPr>
            <w:tcW w:w="867" w:type="dxa"/>
            <w:tcBorders>
              <w:top w:val="single" w:sz="4" w:space="0" w:color="000000"/>
              <w:left w:val="nil"/>
              <w:bottom w:val="single" w:sz="4" w:space="0" w:color="000000"/>
              <w:right w:val="nil"/>
            </w:tcBorders>
            <w:shd w:val="clear" w:color="auto" w:fill="8DB3E2"/>
          </w:tcPr>
          <w:p w14:paraId="2E358FBD"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820" w:type="dxa"/>
            <w:tcBorders>
              <w:top w:val="single" w:sz="4" w:space="0" w:color="000000"/>
              <w:left w:val="nil"/>
              <w:bottom w:val="single" w:sz="4" w:space="0" w:color="000000"/>
              <w:right w:val="nil"/>
            </w:tcBorders>
            <w:shd w:val="clear" w:color="auto" w:fill="8DB3E2"/>
          </w:tcPr>
          <w:p w14:paraId="57D813E2"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867" w:type="dxa"/>
            <w:tcBorders>
              <w:top w:val="single" w:sz="4" w:space="0" w:color="000000"/>
              <w:left w:val="nil"/>
              <w:bottom w:val="single" w:sz="4" w:space="0" w:color="000000"/>
              <w:right w:val="nil"/>
            </w:tcBorders>
            <w:shd w:val="clear" w:color="auto" w:fill="8DB3E2"/>
          </w:tcPr>
          <w:p w14:paraId="177FB738"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869" w:type="dxa"/>
            <w:tcBorders>
              <w:top w:val="single" w:sz="4" w:space="0" w:color="000000"/>
              <w:left w:val="nil"/>
              <w:bottom w:val="single" w:sz="4" w:space="0" w:color="000000"/>
              <w:right w:val="nil"/>
            </w:tcBorders>
            <w:shd w:val="clear" w:color="auto" w:fill="8DB3E2"/>
          </w:tcPr>
          <w:p w14:paraId="19A4AB53"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867" w:type="dxa"/>
            <w:tcBorders>
              <w:top w:val="single" w:sz="4" w:space="0" w:color="000000"/>
              <w:left w:val="nil"/>
              <w:bottom w:val="single" w:sz="4" w:space="0" w:color="000000"/>
              <w:right w:val="nil"/>
            </w:tcBorders>
            <w:shd w:val="clear" w:color="auto" w:fill="8DB3E2"/>
          </w:tcPr>
          <w:p w14:paraId="5D4D49AB"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769" w:type="dxa"/>
            <w:tcBorders>
              <w:top w:val="single" w:sz="4" w:space="0" w:color="000000"/>
              <w:left w:val="nil"/>
              <w:bottom w:val="single" w:sz="4" w:space="0" w:color="000000"/>
              <w:right w:val="nil"/>
            </w:tcBorders>
            <w:shd w:val="clear" w:color="auto" w:fill="8DB3E2"/>
          </w:tcPr>
          <w:p w14:paraId="79102000"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r>
      <w:tr w:rsidR="00F736FC" w14:paraId="2FBB9618" w14:textId="77777777">
        <w:tc>
          <w:tcPr>
            <w:tcW w:w="585" w:type="dxa"/>
            <w:tcBorders>
              <w:top w:val="single" w:sz="4" w:space="0" w:color="000000"/>
              <w:left w:val="nil"/>
              <w:bottom w:val="nil"/>
              <w:right w:val="nil"/>
            </w:tcBorders>
          </w:tcPr>
          <w:p w14:paraId="3175C3E2"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835" w:type="dxa"/>
            <w:tcBorders>
              <w:top w:val="single" w:sz="4" w:space="0" w:color="000000"/>
              <w:left w:val="nil"/>
              <w:bottom w:val="nil"/>
              <w:right w:val="nil"/>
            </w:tcBorders>
          </w:tcPr>
          <w:p w14:paraId="0DE86FC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Relative humidity</w:t>
            </w:r>
          </w:p>
        </w:tc>
        <w:tc>
          <w:tcPr>
            <w:tcW w:w="1881" w:type="dxa"/>
            <w:tcBorders>
              <w:top w:val="single" w:sz="4" w:space="0" w:color="000000"/>
              <w:left w:val="nil"/>
              <w:bottom w:val="nil"/>
              <w:right w:val="nil"/>
            </w:tcBorders>
          </w:tcPr>
          <w:p w14:paraId="2914BB06"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 </w:t>
            </w:r>
            <w:proofErr w:type="spellStart"/>
            <w:r>
              <w:rPr>
                <w:rFonts w:ascii="Times New Roman" w:eastAsia="Times New Roman" w:hAnsi="Times New Roman" w:cs="Times New Roman"/>
                <w:sz w:val="24"/>
                <w:szCs w:val="24"/>
              </w:rPr>
              <w:t>Rasyidah</w:t>
            </w:r>
            <w:proofErr w:type="spellEnd"/>
            <w:r>
              <w:rPr>
                <w:rFonts w:ascii="Times New Roman" w:eastAsia="Times New Roman" w:hAnsi="Times New Roman" w:cs="Times New Roman"/>
                <w:sz w:val="24"/>
                <w:szCs w:val="24"/>
              </w:rPr>
              <w:t xml:space="preserve"> (2022), Meteorology</w:t>
            </w:r>
          </w:p>
        </w:tc>
        <w:tc>
          <w:tcPr>
            <w:tcW w:w="867" w:type="dxa"/>
            <w:tcBorders>
              <w:top w:val="single" w:sz="4" w:space="0" w:color="000000"/>
              <w:left w:val="nil"/>
              <w:bottom w:val="nil"/>
              <w:right w:val="nil"/>
            </w:tcBorders>
            <w:shd w:val="clear" w:color="auto" w:fill="00B050"/>
          </w:tcPr>
          <w:p w14:paraId="1B57A295"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20" w:type="dxa"/>
            <w:tcBorders>
              <w:top w:val="single" w:sz="4" w:space="0" w:color="000000"/>
              <w:left w:val="nil"/>
              <w:bottom w:val="nil"/>
              <w:right w:val="nil"/>
            </w:tcBorders>
            <w:shd w:val="clear" w:color="auto" w:fill="00B050"/>
          </w:tcPr>
          <w:p w14:paraId="0C04F9F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7" w:type="dxa"/>
            <w:tcBorders>
              <w:top w:val="single" w:sz="4" w:space="0" w:color="000000"/>
              <w:left w:val="nil"/>
              <w:bottom w:val="nil"/>
              <w:right w:val="nil"/>
            </w:tcBorders>
            <w:shd w:val="clear" w:color="auto" w:fill="00B050"/>
          </w:tcPr>
          <w:p w14:paraId="35F5FEF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9" w:type="dxa"/>
            <w:tcBorders>
              <w:top w:val="single" w:sz="4" w:space="0" w:color="000000"/>
              <w:left w:val="nil"/>
              <w:bottom w:val="nil"/>
              <w:right w:val="nil"/>
            </w:tcBorders>
            <w:shd w:val="clear" w:color="auto" w:fill="00B050"/>
          </w:tcPr>
          <w:p w14:paraId="39428D0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7" w:type="dxa"/>
            <w:tcBorders>
              <w:top w:val="single" w:sz="4" w:space="0" w:color="000000"/>
              <w:left w:val="nil"/>
              <w:bottom w:val="nil"/>
              <w:right w:val="nil"/>
            </w:tcBorders>
            <w:shd w:val="clear" w:color="auto" w:fill="00B050"/>
          </w:tcPr>
          <w:p w14:paraId="49298D8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69" w:type="dxa"/>
            <w:tcBorders>
              <w:top w:val="single" w:sz="4" w:space="0" w:color="000000"/>
              <w:left w:val="nil"/>
              <w:bottom w:val="nil"/>
              <w:right w:val="nil"/>
            </w:tcBorders>
            <w:shd w:val="clear" w:color="auto" w:fill="00B050"/>
          </w:tcPr>
          <w:p w14:paraId="5A27462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736FC" w14:paraId="565D938A" w14:textId="77777777">
        <w:tc>
          <w:tcPr>
            <w:tcW w:w="585" w:type="dxa"/>
            <w:tcBorders>
              <w:top w:val="nil"/>
              <w:left w:val="nil"/>
              <w:bottom w:val="nil"/>
              <w:right w:val="nil"/>
            </w:tcBorders>
          </w:tcPr>
          <w:p w14:paraId="4A79F295"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835" w:type="dxa"/>
            <w:tcBorders>
              <w:top w:val="nil"/>
              <w:left w:val="nil"/>
              <w:bottom w:val="nil"/>
              <w:right w:val="nil"/>
            </w:tcBorders>
          </w:tcPr>
          <w:p w14:paraId="435C0C2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Light density</w:t>
            </w:r>
          </w:p>
        </w:tc>
        <w:tc>
          <w:tcPr>
            <w:tcW w:w="1881" w:type="dxa"/>
            <w:tcBorders>
              <w:top w:val="nil"/>
              <w:left w:val="nil"/>
              <w:bottom w:val="nil"/>
              <w:right w:val="nil"/>
            </w:tcBorders>
          </w:tcPr>
          <w:p w14:paraId="3D4A2B33"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w:t>
            </w:r>
          </w:p>
        </w:tc>
        <w:tc>
          <w:tcPr>
            <w:tcW w:w="867" w:type="dxa"/>
            <w:tcBorders>
              <w:top w:val="nil"/>
              <w:left w:val="nil"/>
              <w:bottom w:val="nil"/>
              <w:right w:val="nil"/>
            </w:tcBorders>
            <w:shd w:val="clear" w:color="auto" w:fill="0070C0"/>
          </w:tcPr>
          <w:p w14:paraId="61681BD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20" w:type="dxa"/>
            <w:tcBorders>
              <w:top w:val="nil"/>
              <w:left w:val="nil"/>
              <w:bottom w:val="nil"/>
              <w:right w:val="nil"/>
            </w:tcBorders>
            <w:shd w:val="clear" w:color="auto" w:fill="0070C0"/>
          </w:tcPr>
          <w:p w14:paraId="7201F36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7" w:type="dxa"/>
            <w:tcBorders>
              <w:top w:val="nil"/>
              <w:left w:val="nil"/>
              <w:bottom w:val="nil"/>
              <w:right w:val="nil"/>
            </w:tcBorders>
            <w:shd w:val="clear" w:color="auto" w:fill="0070C0"/>
          </w:tcPr>
          <w:p w14:paraId="4FE3BBD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nil"/>
              <w:left w:val="nil"/>
              <w:bottom w:val="nil"/>
              <w:right w:val="nil"/>
            </w:tcBorders>
            <w:shd w:val="clear" w:color="auto" w:fill="0070C0"/>
          </w:tcPr>
          <w:p w14:paraId="6EAAFA74"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7" w:type="dxa"/>
            <w:tcBorders>
              <w:top w:val="nil"/>
              <w:left w:val="nil"/>
              <w:bottom w:val="nil"/>
              <w:right w:val="nil"/>
            </w:tcBorders>
            <w:shd w:val="clear" w:color="auto" w:fill="0070C0"/>
          </w:tcPr>
          <w:p w14:paraId="305726E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69" w:type="dxa"/>
            <w:tcBorders>
              <w:top w:val="nil"/>
              <w:left w:val="nil"/>
              <w:bottom w:val="nil"/>
              <w:right w:val="nil"/>
            </w:tcBorders>
            <w:shd w:val="clear" w:color="auto" w:fill="0070C0"/>
          </w:tcPr>
          <w:p w14:paraId="1A7D5CC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736FC" w14:paraId="4A40E6B8" w14:textId="77777777">
        <w:tc>
          <w:tcPr>
            <w:tcW w:w="585" w:type="dxa"/>
            <w:tcBorders>
              <w:top w:val="nil"/>
              <w:left w:val="nil"/>
              <w:bottom w:val="nil"/>
              <w:right w:val="nil"/>
            </w:tcBorders>
          </w:tcPr>
          <w:p w14:paraId="5EF1ED06"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835" w:type="dxa"/>
            <w:tcBorders>
              <w:top w:val="nil"/>
              <w:left w:val="nil"/>
              <w:bottom w:val="nil"/>
              <w:right w:val="nil"/>
            </w:tcBorders>
          </w:tcPr>
          <w:p w14:paraId="021EDB7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w:t>
            </w:r>
          </w:p>
        </w:tc>
        <w:tc>
          <w:tcPr>
            <w:tcW w:w="1881" w:type="dxa"/>
            <w:tcBorders>
              <w:top w:val="nil"/>
              <w:left w:val="nil"/>
              <w:bottom w:val="nil"/>
              <w:right w:val="nil"/>
            </w:tcBorders>
          </w:tcPr>
          <w:p w14:paraId="74D74238"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 </w:t>
            </w:r>
            <w:proofErr w:type="spellStart"/>
            <w:r>
              <w:rPr>
                <w:rFonts w:ascii="Times New Roman" w:eastAsia="Times New Roman" w:hAnsi="Times New Roman" w:cs="Times New Roman"/>
                <w:sz w:val="24"/>
                <w:szCs w:val="24"/>
              </w:rPr>
              <w:t>Rasyidah</w:t>
            </w:r>
            <w:proofErr w:type="spellEnd"/>
            <w:r>
              <w:rPr>
                <w:rFonts w:ascii="Times New Roman" w:eastAsia="Times New Roman" w:hAnsi="Times New Roman" w:cs="Times New Roman"/>
                <w:sz w:val="24"/>
                <w:szCs w:val="24"/>
              </w:rPr>
              <w:t xml:space="preserve"> (2022), Meteorology</w:t>
            </w:r>
          </w:p>
        </w:tc>
        <w:tc>
          <w:tcPr>
            <w:tcW w:w="867" w:type="dxa"/>
            <w:tcBorders>
              <w:top w:val="nil"/>
              <w:left w:val="nil"/>
              <w:bottom w:val="nil"/>
              <w:right w:val="nil"/>
            </w:tcBorders>
            <w:shd w:val="clear" w:color="auto" w:fill="00B050"/>
          </w:tcPr>
          <w:p w14:paraId="0114493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0" w:type="dxa"/>
            <w:tcBorders>
              <w:top w:val="nil"/>
              <w:left w:val="nil"/>
              <w:bottom w:val="nil"/>
              <w:right w:val="nil"/>
            </w:tcBorders>
            <w:shd w:val="clear" w:color="auto" w:fill="00B050"/>
          </w:tcPr>
          <w:p w14:paraId="0248CE7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7" w:type="dxa"/>
            <w:tcBorders>
              <w:top w:val="nil"/>
              <w:left w:val="nil"/>
              <w:bottom w:val="nil"/>
              <w:right w:val="nil"/>
            </w:tcBorders>
            <w:shd w:val="clear" w:color="auto" w:fill="0070C0"/>
          </w:tcPr>
          <w:p w14:paraId="3E259A20"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nil"/>
              <w:left w:val="nil"/>
              <w:bottom w:val="nil"/>
              <w:right w:val="nil"/>
            </w:tcBorders>
            <w:shd w:val="clear" w:color="auto" w:fill="0070C0"/>
          </w:tcPr>
          <w:p w14:paraId="43969C5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7" w:type="dxa"/>
            <w:tcBorders>
              <w:top w:val="nil"/>
              <w:left w:val="nil"/>
              <w:bottom w:val="nil"/>
              <w:right w:val="nil"/>
            </w:tcBorders>
            <w:shd w:val="clear" w:color="auto" w:fill="0070C0"/>
          </w:tcPr>
          <w:p w14:paraId="03F9B27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69" w:type="dxa"/>
            <w:tcBorders>
              <w:top w:val="nil"/>
              <w:left w:val="nil"/>
              <w:bottom w:val="nil"/>
              <w:right w:val="nil"/>
            </w:tcBorders>
            <w:shd w:val="clear" w:color="auto" w:fill="00B050"/>
          </w:tcPr>
          <w:p w14:paraId="1D4063C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736FC" w14:paraId="2BC7C21F" w14:textId="77777777">
        <w:tc>
          <w:tcPr>
            <w:tcW w:w="585" w:type="dxa"/>
            <w:tcBorders>
              <w:top w:val="nil"/>
              <w:left w:val="nil"/>
              <w:bottom w:val="nil"/>
              <w:right w:val="nil"/>
            </w:tcBorders>
          </w:tcPr>
          <w:p w14:paraId="36DFEC5F"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35" w:type="dxa"/>
            <w:tcBorders>
              <w:top w:val="nil"/>
              <w:left w:val="nil"/>
              <w:bottom w:val="nil"/>
              <w:right w:val="nil"/>
            </w:tcBorders>
          </w:tcPr>
          <w:p w14:paraId="477BD5F2"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Precipitation</w:t>
            </w:r>
          </w:p>
        </w:tc>
        <w:tc>
          <w:tcPr>
            <w:tcW w:w="1881" w:type="dxa"/>
            <w:tcBorders>
              <w:top w:val="nil"/>
              <w:left w:val="nil"/>
              <w:bottom w:val="nil"/>
              <w:right w:val="nil"/>
            </w:tcBorders>
          </w:tcPr>
          <w:p w14:paraId="74CB9228" w14:textId="77777777" w:rsidR="00F736FC" w:rsidRDefault="00103CC2">
            <w:pPr>
              <w:ind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Kitayama</w:t>
            </w:r>
            <w:proofErr w:type="spellEnd"/>
            <w:r>
              <w:rPr>
                <w:rFonts w:ascii="Times New Roman" w:eastAsia="Times New Roman" w:hAnsi="Times New Roman" w:cs="Times New Roman"/>
                <w:sz w:val="24"/>
                <w:szCs w:val="24"/>
              </w:rPr>
              <w:t xml:space="preserve"> et al. (2014), Meteorology</w:t>
            </w:r>
          </w:p>
        </w:tc>
        <w:tc>
          <w:tcPr>
            <w:tcW w:w="867" w:type="dxa"/>
            <w:tcBorders>
              <w:top w:val="nil"/>
              <w:left w:val="nil"/>
              <w:bottom w:val="nil"/>
              <w:right w:val="nil"/>
            </w:tcBorders>
            <w:shd w:val="clear" w:color="auto" w:fill="00B050"/>
          </w:tcPr>
          <w:p w14:paraId="40B3024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20" w:type="dxa"/>
            <w:tcBorders>
              <w:top w:val="nil"/>
              <w:left w:val="nil"/>
              <w:bottom w:val="nil"/>
              <w:right w:val="nil"/>
            </w:tcBorders>
            <w:shd w:val="clear" w:color="auto" w:fill="00B050"/>
          </w:tcPr>
          <w:p w14:paraId="2E6BB12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67" w:type="dxa"/>
            <w:tcBorders>
              <w:top w:val="nil"/>
              <w:left w:val="nil"/>
              <w:bottom w:val="nil"/>
              <w:right w:val="nil"/>
            </w:tcBorders>
            <w:shd w:val="clear" w:color="auto" w:fill="0070C0"/>
          </w:tcPr>
          <w:p w14:paraId="747881C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nil"/>
              <w:left w:val="nil"/>
              <w:bottom w:val="nil"/>
              <w:right w:val="nil"/>
            </w:tcBorders>
            <w:shd w:val="clear" w:color="auto" w:fill="0070C0"/>
          </w:tcPr>
          <w:p w14:paraId="4E16BFB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7" w:type="dxa"/>
            <w:tcBorders>
              <w:top w:val="nil"/>
              <w:left w:val="nil"/>
              <w:bottom w:val="nil"/>
              <w:right w:val="nil"/>
            </w:tcBorders>
            <w:shd w:val="clear" w:color="auto" w:fill="0070C0"/>
          </w:tcPr>
          <w:p w14:paraId="59C60AB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69" w:type="dxa"/>
            <w:tcBorders>
              <w:top w:val="nil"/>
              <w:left w:val="nil"/>
              <w:bottom w:val="nil"/>
              <w:right w:val="nil"/>
            </w:tcBorders>
            <w:shd w:val="clear" w:color="auto" w:fill="0070C0"/>
          </w:tcPr>
          <w:p w14:paraId="1D96585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736FC" w14:paraId="0ED0DE64" w14:textId="77777777">
        <w:tc>
          <w:tcPr>
            <w:tcW w:w="585" w:type="dxa"/>
            <w:tcBorders>
              <w:top w:val="nil"/>
              <w:left w:val="nil"/>
              <w:bottom w:val="single" w:sz="4" w:space="0" w:color="000000"/>
              <w:right w:val="nil"/>
            </w:tcBorders>
          </w:tcPr>
          <w:p w14:paraId="296EE1CD"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835" w:type="dxa"/>
            <w:tcBorders>
              <w:top w:val="nil"/>
              <w:left w:val="nil"/>
              <w:bottom w:val="single" w:sz="4" w:space="0" w:color="000000"/>
              <w:right w:val="nil"/>
            </w:tcBorders>
          </w:tcPr>
          <w:p w14:paraId="1DD9345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Elevation</w:t>
            </w:r>
          </w:p>
        </w:tc>
        <w:tc>
          <w:tcPr>
            <w:tcW w:w="1881" w:type="dxa"/>
            <w:tcBorders>
              <w:top w:val="nil"/>
              <w:left w:val="nil"/>
              <w:bottom w:val="single" w:sz="4" w:space="0" w:color="000000"/>
              <w:right w:val="nil"/>
            </w:tcBorders>
          </w:tcPr>
          <w:p w14:paraId="30B9B04B"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Wong &amp; </w:t>
            </w:r>
            <w:proofErr w:type="spellStart"/>
            <w:r>
              <w:rPr>
                <w:rFonts w:ascii="Times New Roman" w:eastAsia="Times New Roman" w:hAnsi="Times New Roman" w:cs="Times New Roman"/>
                <w:sz w:val="24"/>
                <w:szCs w:val="24"/>
              </w:rPr>
              <w:t>Joling</w:t>
            </w:r>
            <w:proofErr w:type="spellEnd"/>
            <w:r>
              <w:rPr>
                <w:rFonts w:ascii="Times New Roman" w:eastAsia="Times New Roman" w:hAnsi="Times New Roman" w:cs="Times New Roman"/>
                <w:sz w:val="24"/>
                <w:szCs w:val="24"/>
              </w:rPr>
              <w:t xml:space="preserve"> (2021), field observation</w:t>
            </w:r>
          </w:p>
        </w:tc>
        <w:tc>
          <w:tcPr>
            <w:tcW w:w="867" w:type="dxa"/>
            <w:tcBorders>
              <w:top w:val="nil"/>
              <w:left w:val="nil"/>
              <w:bottom w:val="single" w:sz="4" w:space="0" w:color="000000"/>
              <w:right w:val="nil"/>
            </w:tcBorders>
            <w:shd w:val="clear" w:color="auto" w:fill="0070C0"/>
          </w:tcPr>
          <w:p w14:paraId="5EACFA0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20" w:type="dxa"/>
            <w:tcBorders>
              <w:top w:val="nil"/>
              <w:left w:val="nil"/>
              <w:bottom w:val="single" w:sz="4" w:space="0" w:color="000000"/>
              <w:right w:val="nil"/>
            </w:tcBorders>
            <w:shd w:val="clear" w:color="auto" w:fill="0070C0"/>
          </w:tcPr>
          <w:p w14:paraId="2D017F2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7" w:type="dxa"/>
            <w:tcBorders>
              <w:top w:val="nil"/>
              <w:left w:val="nil"/>
              <w:bottom w:val="single" w:sz="4" w:space="0" w:color="000000"/>
              <w:right w:val="nil"/>
            </w:tcBorders>
            <w:shd w:val="clear" w:color="auto" w:fill="0070C0"/>
          </w:tcPr>
          <w:p w14:paraId="2D78622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nil"/>
              <w:left w:val="nil"/>
              <w:bottom w:val="single" w:sz="4" w:space="0" w:color="000000"/>
              <w:right w:val="nil"/>
            </w:tcBorders>
            <w:shd w:val="clear" w:color="auto" w:fill="00B050"/>
          </w:tcPr>
          <w:p w14:paraId="7E5B0BB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7" w:type="dxa"/>
            <w:tcBorders>
              <w:top w:val="nil"/>
              <w:left w:val="nil"/>
              <w:bottom w:val="single" w:sz="4" w:space="0" w:color="000000"/>
              <w:right w:val="nil"/>
            </w:tcBorders>
            <w:shd w:val="clear" w:color="auto" w:fill="00B050"/>
          </w:tcPr>
          <w:p w14:paraId="05DE8F75"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69" w:type="dxa"/>
            <w:tcBorders>
              <w:top w:val="nil"/>
              <w:left w:val="nil"/>
              <w:bottom w:val="single" w:sz="4" w:space="0" w:color="000000"/>
              <w:right w:val="nil"/>
            </w:tcBorders>
            <w:shd w:val="clear" w:color="auto" w:fill="0070C0"/>
          </w:tcPr>
          <w:p w14:paraId="463232B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736FC" w14:paraId="79BA3B43" w14:textId="77777777">
        <w:tc>
          <w:tcPr>
            <w:tcW w:w="4301" w:type="dxa"/>
            <w:gridSpan w:val="3"/>
            <w:tcBorders>
              <w:top w:val="single" w:sz="4" w:space="0" w:color="000000"/>
              <w:left w:val="nil"/>
              <w:bottom w:val="single" w:sz="4" w:space="0" w:color="000000"/>
              <w:right w:val="nil"/>
            </w:tcBorders>
          </w:tcPr>
          <w:p w14:paraId="7DF06D7A"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score</w:t>
            </w:r>
          </w:p>
        </w:tc>
        <w:tc>
          <w:tcPr>
            <w:tcW w:w="867" w:type="dxa"/>
            <w:tcBorders>
              <w:top w:val="single" w:sz="4" w:space="0" w:color="000000"/>
              <w:left w:val="nil"/>
              <w:bottom w:val="single" w:sz="4" w:space="0" w:color="000000"/>
              <w:right w:val="nil"/>
            </w:tcBorders>
            <w:shd w:val="clear" w:color="auto" w:fill="00B050"/>
          </w:tcPr>
          <w:p w14:paraId="0BA4E8A5"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20" w:type="dxa"/>
            <w:tcBorders>
              <w:top w:val="single" w:sz="4" w:space="0" w:color="000000"/>
              <w:left w:val="nil"/>
              <w:bottom w:val="single" w:sz="4" w:space="0" w:color="000000"/>
              <w:right w:val="nil"/>
            </w:tcBorders>
            <w:shd w:val="clear" w:color="auto" w:fill="00B050"/>
          </w:tcPr>
          <w:p w14:paraId="507DB73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867" w:type="dxa"/>
            <w:tcBorders>
              <w:top w:val="single" w:sz="4" w:space="0" w:color="000000"/>
              <w:left w:val="nil"/>
              <w:bottom w:val="single" w:sz="4" w:space="0" w:color="000000"/>
              <w:right w:val="nil"/>
            </w:tcBorders>
            <w:shd w:val="clear" w:color="auto" w:fill="0070C0"/>
          </w:tcPr>
          <w:p w14:paraId="01EA987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69" w:type="dxa"/>
            <w:tcBorders>
              <w:top w:val="single" w:sz="4" w:space="0" w:color="000000"/>
              <w:left w:val="nil"/>
              <w:bottom w:val="single" w:sz="4" w:space="0" w:color="000000"/>
              <w:right w:val="nil"/>
            </w:tcBorders>
            <w:shd w:val="clear" w:color="auto" w:fill="0070C0"/>
          </w:tcPr>
          <w:p w14:paraId="1FE6EA44"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67" w:type="dxa"/>
            <w:tcBorders>
              <w:top w:val="single" w:sz="4" w:space="0" w:color="000000"/>
              <w:left w:val="nil"/>
              <w:bottom w:val="single" w:sz="4" w:space="0" w:color="000000"/>
              <w:right w:val="nil"/>
            </w:tcBorders>
            <w:shd w:val="clear" w:color="auto" w:fill="0070C0"/>
          </w:tcPr>
          <w:p w14:paraId="78B5E38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69" w:type="dxa"/>
            <w:tcBorders>
              <w:top w:val="single" w:sz="4" w:space="0" w:color="000000"/>
              <w:left w:val="nil"/>
              <w:bottom w:val="single" w:sz="4" w:space="0" w:color="000000"/>
              <w:right w:val="nil"/>
            </w:tcBorders>
            <w:shd w:val="clear" w:color="auto" w:fill="0070C0"/>
          </w:tcPr>
          <w:p w14:paraId="74E7BFE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F736FC" w14:paraId="5D0F8F2B" w14:textId="77777777">
        <w:tc>
          <w:tcPr>
            <w:tcW w:w="4301" w:type="dxa"/>
            <w:gridSpan w:val="3"/>
            <w:tcBorders>
              <w:top w:val="single" w:sz="4" w:space="0" w:color="000000"/>
              <w:left w:val="nil"/>
              <w:bottom w:val="single" w:sz="4" w:space="0" w:color="000000"/>
              <w:right w:val="nil"/>
            </w:tcBorders>
          </w:tcPr>
          <w:p w14:paraId="78806FA6"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w:t>
            </w:r>
          </w:p>
        </w:tc>
        <w:tc>
          <w:tcPr>
            <w:tcW w:w="867" w:type="dxa"/>
            <w:tcBorders>
              <w:top w:val="single" w:sz="4" w:space="0" w:color="000000"/>
              <w:left w:val="nil"/>
              <w:bottom w:val="single" w:sz="4" w:space="0" w:color="000000"/>
              <w:right w:val="nil"/>
            </w:tcBorders>
            <w:shd w:val="clear" w:color="auto" w:fill="00B050"/>
          </w:tcPr>
          <w:p w14:paraId="72482C50"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820" w:type="dxa"/>
            <w:tcBorders>
              <w:top w:val="single" w:sz="4" w:space="0" w:color="000000"/>
              <w:left w:val="nil"/>
              <w:bottom w:val="single" w:sz="4" w:space="0" w:color="000000"/>
              <w:right w:val="nil"/>
            </w:tcBorders>
            <w:shd w:val="clear" w:color="auto" w:fill="00B050"/>
          </w:tcPr>
          <w:p w14:paraId="55D8E063"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867" w:type="dxa"/>
            <w:tcBorders>
              <w:top w:val="single" w:sz="4" w:space="0" w:color="000000"/>
              <w:left w:val="nil"/>
              <w:bottom w:val="single" w:sz="4" w:space="0" w:color="000000"/>
              <w:right w:val="nil"/>
            </w:tcBorders>
            <w:shd w:val="clear" w:color="auto" w:fill="0070C0"/>
          </w:tcPr>
          <w:p w14:paraId="7C252262"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869" w:type="dxa"/>
            <w:tcBorders>
              <w:top w:val="single" w:sz="4" w:space="0" w:color="000000"/>
              <w:left w:val="nil"/>
              <w:bottom w:val="single" w:sz="4" w:space="0" w:color="000000"/>
              <w:right w:val="nil"/>
            </w:tcBorders>
            <w:shd w:val="clear" w:color="auto" w:fill="0070C0"/>
          </w:tcPr>
          <w:p w14:paraId="37A50370"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867" w:type="dxa"/>
            <w:tcBorders>
              <w:top w:val="single" w:sz="4" w:space="0" w:color="000000"/>
              <w:left w:val="nil"/>
              <w:bottom w:val="single" w:sz="4" w:space="0" w:color="000000"/>
              <w:right w:val="nil"/>
            </w:tcBorders>
            <w:shd w:val="clear" w:color="auto" w:fill="0070C0"/>
          </w:tcPr>
          <w:p w14:paraId="5081A0A6"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769" w:type="dxa"/>
            <w:tcBorders>
              <w:top w:val="single" w:sz="4" w:space="0" w:color="000000"/>
              <w:left w:val="nil"/>
              <w:bottom w:val="nil"/>
              <w:right w:val="nil"/>
            </w:tcBorders>
            <w:shd w:val="clear" w:color="auto" w:fill="0070C0"/>
          </w:tcPr>
          <w:p w14:paraId="17FCECA7" w14:textId="77777777" w:rsidR="00F736FC" w:rsidRDefault="00103CC2">
            <w:pPr>
              <w:keepNext/>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r>
    </w:tbl>
    <w:p w14:paraId="38F44FEB" w14:textId="77777777" w:rsidR="00F736FC" w:rsidRDefault="00103CC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w:t>
      </w:r>
      <w:r>
        <w:rPr>
          <w:rFonts w:ascii="Times New Roman" w:eastAsia="Times New Roman" w:hAnsi="Times New Roman" w:cs="Times New Roman"/>
          <w:color w:val="00B050"/>
          <w:sz w:val="24"/>
          <w:szCs w:val="24"/>
        </w:rPr>
        <w:t>Green</w:t>
      </w:r>
      <w:r>
        <w:rPr>
          <w:rFonts w:ascii="Times New Roman" w:eastAsia="Times New Roman" w:hAnsi="Times New Roman" w:cs="Times New Roman"/>
          <w:sz w:val="24"/>
          <w:szCs w:val="24"/>
        </w:rPr>
        <w:t xml:space="preserve"> = Low (L); </w:t>
      </w:r>
      <w:r>
        <w:rPr>
          <w:rFonts w:ascii="Times New Roman" w:eastAsia="Times New Roman" w:hAnsi="Times New Roman" w:cs="Times New Roman"/>
          <w:color w:val="366091"/>
          <w:sz w:val="24"/>
          <w:szCs w:val="24"/>
        </w:rPr>
        <w:t>Blue</w:t>
      </w:r>
      <w:r>
        <w:rPr>
          <w:rFonts w:ascii="Times New Roman" w:eastAsia="Times New Roman" w:hAnsi="Times New Roman" w:cs="Times New Roman"/>
          <w:sz w:val="24"/>
          <w:szCs w:val="24"/>
        </w:rPr>
        <w:t xml:space="preserve"> = Medium (M); </w:t>
      </w:r>
      <w:r>
        <w:rPr>
          <w:rFonts w:ascii="Times New Roman" w:eastAsia="Times New Roman" w:hAnsi="Times New Roman" w:cs="Times New Roman"/>
          <w:color w:val="FF0000"/>
          <w:sz w:val="24"/>
          <w:szCs w:val="24"/>
        </w:rPr>
        <w:t>Red</w:t>
      </w:r>
      <w:r>
        <w:rPr>
          <w:rFonts w:ascii="Times New Roman" w:eastAsia="Times New Roman" w:hAnsi="Times New Roman" w:cs="Times New Roman"/>
          <w:sz w:val="24"/>
          <w:szCs w:val="24"/>
        </w:rPr>
        <w:t xml:space="preserve"> = High (H). A – </w:t>
      </w:r>
      <w:proofErr w:type="spellStart"/>
      <w:r>
        <w:rPr>
          <w:rFonts w:ascii="Times New Roman" w:eastAsia="Times New Roman" w:hAnsi="Times New Roman" w:cs="Times New Roman"/>
          <w:sz w:val="24"/>
          <w:szCs w:val="24"/>
        </w:rPr>
        <w:t>Losou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Podi</w:t>
      </w:r>
      <w:proofErr w:type="spellEnd"/>
      <w:r>
        <w:rPr>
          <w:rFonts w:ascii="Times New Roman" w:eastAsia="Times New Roman" w:hAnsi="Times New Roman" w:cs="Times New Roman"/>
          <w:sz w:val="24"/>
          <w:szCs w:val="24"/>
        </w:rPr>
        <w:t xml:space="preserve">; B – </w:t>
      </w:r>
      <w:proofErr w:type="spellStart"/>
      <w:r>
        <w:rPr>
          <w:rFonts w:ascii="Times New Roman" w:eastAsia="Times New Roman" w:hAnsi="Times New Roman" w:cs="Times New Roman"/>
          <w:sz w:val="24"/>
          <w:szCs w:val="24"/>
        </w:rPr>
        <w:t>Sayap</w:t>
      </w:r>
      <w:proofErr w:type="spellEnd"/>
      <w:r>
        <w:rPr>
          <w:rFonts w:ascii="Times New Roman" w:eastAsia="Times New Roman" w:hAnsi="Times New Roman" w:cs="Times New Roman"/>
          <w:sz w:val="24"/>
          <w:szCs w:val="24"/>
        </w:rPr>
        <w:t xml:space="preserve">; C – Poring; D – </w:t>
      </w:r>
      <w:proofErr w:type="spellStart"/>
      <w:r>
        <w:rPr>
          <w:rFonts w:ascii="Times New Roman" w:eastAsia="Times New Roman" w:hAnsi="Times New Roman" w:cs="Times New Roman"/>
          <w:sz w:val="24"/>
          <w:szCs w:val="24"/>
        </w:rPr>
        <w:t>Monggis</w:t>
      </w:r>
      <w:proofErr w:type="spellEnd"/>
      <w:r>
        <w:rPr>
          <w:rFonts w:ascii="Times New Roman" w:eastAsia="Times New Roman" w:hAnsi="Times New Roman" w:cs="Times New Roman"/>
          <w:sz w:val="24"/>
          <w:szCs w:val="24"/>
        </w:rPr>
        <w:t xml:space="preserve">; E – </w:t>
      </w:r>
      <w:proofErr w:type="spellStart"/>
      <w:r>
        <w:rPr>
          <w:rFonts w:ascii="Times New Roman" w:eastAsia="Times New Roman" w:hAnsi="Times New Roman" w:cs="Times New Roman"/>
          <w:sz w:val="24"/>
          <w:szCs w:val="24"/>
        </w:rPr>
        <w:t>Serinsim</w:t>
      </w:r>
      <w:proofErr w:type="spellEnd"/>
      <w:r>
        <w:rPr>
          <w:rFonts w:ascii="Times New Roman" w:eastAsia="Times New Roman" w:hAnsi="Times New Roman" w:cs="Times New Roman"/>
          <w:sz w:val="24"/>
          <w:szCs w:val="24"/>
        </w:rPr>
        <w:t xml:space="preserve">; F – </w:t>
      </w:r>
      <w:proofErr w:type="spellStart"/>
      <w:r>
        <w:rPr>
          <w:rFonts w:ascii="Times New Roman" w:eastAsia="Times New Roman" w:hAnsi="Times New Roman" w:cs="Times New Roman"/>
          <w:sz w:val="24"/>
          <w:szCs w:val="24"/>
        </w:rPr>
        <w:t>Nalapak</w:t>
      </w:r>
      <w:proofErr w:type="spellEnd"/>
    </w:p>
    <w:p w14:paraId="0FAAC869" w14:textId="77777777" w:rsidR="00F736FC" w:rsidRDefault="00F736FC">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0819F6DC" w14:textId="77777777" w:rsidR="00F82C60" w:rsidRDefault="00F82C60">
      <w:pPr>
        <w:pBdr>
          <w:top w:val="nil"/>
          <w:left w:val="nil"/>
          <w:bottom w:val="nil"/>
          <w:right w:val="nil"/>
          <w:between w:val="nil"/>
        </w:pBdr>
        <w:spacing w:after="0" w:line="240" w:lineRule="auto"/>
        <w:ind w:firstLine="0"/>
        <w:rPr>
          <w:rFonts w:ascii="Times New Roman" w:eastAsia="Times New Roman" w:hAnsi="Times New Roman" w:cs="Times New Roman"/>
          <w:i/>
          <w:color w:val="000000"/>
          <w:sz w:val="24"/>
          <w:szCs w:val="24"/>
        </w:rPr>
      </w:pPr>
    </w:p>
    <w:p w14:paraId="25D7160C" w14:textId="4AAA7366" w:rsidR="00F736FC" w:rsidRDefault="00103CC2">
      <w:pPr>
        <w:pBdr>
          <w:top w:val="nil"/>
          <w:left w:val="nil"/>
          <w:bottom w:val="nil"/>
          <w:right w:val="nil"/>
          <w:between w:val="nil"/>
        </w:pBdr>
        <w:spacing w:after="0" w:line="240" w:lineRule="auto"/>
        <w:ind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Sensitivity of </w:t>
      </w:r>
      <w:proofErr w:type="spellStart"/>
      <w:r>
        <w:rPr>
          <w:rFonts w:ascii="Times New Roman" w:eastAsia="Times New Roman" w:hAnsi="Times New Roman" w:cs="Times New Roman"/>
          <w:i/>
          <w:color w:val="000000"/>
          <w:sz w:val="24"/>
          <w:szCs w:val="24"/>
        </w:rPr>
        <w:t>Araceae</w:t>
      </w:r>
      <w:proofErr w:type="spellEnd"/>
      <w:r>
        <w:rPr>
          <w:rFonts w:ascii="Times New Roman" w:eastAsia="Times New Roman" w:hAnsi="Times New Roman" w:cs="Times New Roman"/>
          <w:i/>
          <w:color w:val="000000"/>
          <w:sz w:val="24"/>
          <w:szCs w:val="24"/>
        </w:rPr>
        <w:t xml:space="preserve"> to social-ecological activities</w:t>
      </w:r>
    </w:p>
    <w:p w14:paraId="4775A326" w14:textId="77777777" w:rsidR="00F736FC" w:rsidRDefault="00F736FC">
      <w:pPr>
        <w:pBdr>
          <w:top w:val="nil"/>
          <w:left w:val="nil"/>
          <w:bottom w:val="nil"/>
          <w:right w:val="nil"/>
          <w:between w:val="nil"/>
        </w:pBdr>
        <w:spacing w:after="0" w:line="240" w:lineRule="auto"/>
        <w:ind w:firstLine="0"/>
        <w:rPr>
          <w:rFonts w:ascii="Times New Roman" w:eastAsia="Times New Roman" w:hAnsi="Times New Roman" w:cs="Times New Roman"/>
          <w:b/>
          <w:i/>
          <w:color w:val="000000"/>
          <w:sz w:val="24"/>
          <w:szCs w:val="24"/>
        </w:rPr>
      </w:pPr>
    </w:p>
    <w:p w14:paraId="0700CC03" w14:textId="77777777" w:rsidR="00F736FC" w:rsidRDefault="00103CC2">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study sites showed a medium level of sensitivity (Table 5), with the exception of study site D, which exhibits a low sensitivity level. Four criteria received consistently low scores across all study sites; which are microhabitat, distance to the closer river, canopy cover, and soil texture. Two criteria showed variation, with scores ranging from low to medium; which are slope, and the distance to the buffer zone. The forest layer criteria were consistently rated at a medium score. Several criteria showed scores ranging from medium to high, including forest type, crop type, ecotourism facility, and the numbers of tourists. Only one criterion showed a high score for all the study sites were the years of land used. This reflects the presence of long-term land use conflict managed by the community residing near the border of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Park (Long et al., 2003; Martin et al., 2002).</w:t>
      </w:r>
    </w:p>
    <w:p w14:paraId="449F5573"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study site E, the dominant cultivated plant type is cash crops, particularly oil palm. While the cultivation of oil palm is known to enhance the economic status of local communities (</w:t>
      </w:r>
      <w:proofErr w:type="spellStart"/>
      <w:r>
        <w:rPr>
          <w:rFonts w:ascii="Times New Roman" w:eastAsia="Times New Roman" w:hAnsi="Times New Roman" w:cs="Times New Roman"/>
          <w:sz w:val="24"/>
          <w:szCs w:val="24"/>
        </w:rPr>
        <w:t>Syahza</w:t>
      </w:r>
      <w:proofErr w:type="spellEnd"/>
      <w:r>
        <w:rPr>
          <w:rFonts w:ascii="Times New Roman" w:eastAsia="Times New Roman" w:hAnsi="Times New Roman" w:cs="Times New Roman"/>
          <w:sz w:val="24"/>
          <w:szCs w:val="24"/>
        </w:rPr>
        <w:t xml:space="preserve">, 2019), it also contributes to long-term ecological and ecosystem disturbances within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habitats (Sheldon, 1985). Field observations indicate that study sites A, B, C, and F are characterized by mixed cultivation practices involving rubber trees, fruit trees, and vegetables. Communities residing in these sites also engaged in short-term crop rotation between paddy and vegetables.</w:t>
      </w:r>
    </w:p>
    <w:p w14:paraId="2F9DE5C2"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1998, study site E experienced a forest fire that significantly damaged the surrounding habitat (</w:t>
      </w:r>
      <w:proofErr w:type="spellStart"/>
      <w:r>
        <w:rPr>
          <w:rFonts w:ascii="Times New Roman" w:eastAsia="Times New Roman" w:hAnsi="Times New Roman" w:cs="Times New Roman"/>
          <w:sz w:val="24"/>
          <w:szCs w:val="24"/>
        </w:rPr>
        <w:t>Pegan</w:t>
      </w:r>
      <w:proofErr w:type="spellEnd"/>
      <w:r>
        <w:rPr>
          <w:rFonts w:ascii="Times New Roman" w:eastAsia="Times New Roman" w:hAnsi="Times New Roman" w:cs="Times New Roman"/>
          <w:sz w:val="24"/>
          <w:szCs w:val="24"/>
        </w:rPr>
        <w:t xml:space="preserve"> et al., 2018). Such fires can alter species composition and biodiversity, with plant mortality rates reported between 38% and 94% (Woods, 1989). Observations at study site B clearly showed an extensive forest clearing for cultivation purposes, with the distance between managed agricultural land and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Park boundary estimated at 1.5 to 2.0 km perimeter.</w:t>
      </w:r>
    </w:p>
    <w:p w14:paraId="57841A2B" w14:textId="77777777" w:rsidR="00F736FC" w:rsidRDefault="00F736FC">
      <w:pPr>
        <w:spacing w:after="0" w:line="240" w:lineRule="auto"/>
        <w:ind w:hanging="2"/>
        <w:jc w:val="both"/>
        <w:rPr>
          <w:rFonts w:ascii="Times New Roman" w:eastAsia="Times New Roman" w:hAnsi="Times New Roman" w:cs="Times New Roman"/>
          <w:sz w:val="24"/>
          <w:szCs w:val="24"/>
        </w:rPr>
      </w:pPr>
    </w:p>
    <w:p w14:paraId="01ECC389" w14:textId="77777777" w:rsidR="00F736FC" w:rsidRDefault="00103CC2">
      <w:pPr>
        <w:keepNext/>
        <w:pBdr>
          <w:top w:val="nil"/>
          <w:left w:val="nil"/>
          <w:bottom w:val="nil"/>
          <w:right w:val="nil"/>
          <w:between w:val="nil"/>
        </w:pBdr>
        <w:spacing w:after="0" w:line="240" w:lineRule="auto"/>
        <w:ind w:left="5" w:hanging="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Sensitivity scores for each study site</w:t>
      </w:r>
    </w:p>
    <w:p w14:paraId="7315FF10" w14:textId="77777777" w:rsidR="00F736FC" w:rsidRDefault="00F736FC">
      <w:pPr>
        <w:spacing w:after="0" w:line="240" w:lineRule="auto"/>
        <w:ind w:hanging="2"/>
      </w:pPr>
    </w:p>
    <w:tbl>
      <w:tblPr>
        <w:tblStyle w:val="a4"/>
        <w:tblW w:w="9360" w:type="dxa"/>
        <w:tblBorders>
          <w:top w:val="nil"/>
          <w:left w:val="nil"/>
          <w:bottom w:val="nil"/>
          <w:right w:val="nil"/>
          <w:insideH w:val="nil"/>
          <w:insideV w:val="nil"/>
        </w:tblBorders>
        <w:tblLayout w:type="fixed"/>
        <w:tblLook w:val="0400" w:firstRow="0" w:lastRow="0" w:firstColumn="0" w:lastColumn="0" w:noHBand="0" w:noVBand="1"/>
      </w:tblPr>
      <w:tblGrid>
        <w:gridCol w:w="696"/>
        <w:gridCol w:w="524"/>
        <w:gridCol w:w="1945"/>
        <w:gridCol w:w="2389"/>
        <w:gridCol w:w="515"/>
        <w:gridCol w:w="537"/>
        <w:gridCol w:w="580"/>
        <w:gridCol w:w="723"/>
        <w:gridCol w:w="751"/>
        <w:gridCol w:w="700"/>
      </w:tblGrid>
      <w:tr w:rsidR="00F736FC" w14:paraId="51F094FE" w14:textId="77777777">
        <w:tc>
          <w:tcPr>
            <w:tcW w:w="3165" w:type="dxa"/>
            <w:gridSpan w:val="3"/>
            <w:vMerge w:val="restart"/>
            <w:tcBorders>
              <w:top w:val="single" w:sz="4" w:space="0" w:color="000000"/>
            </w:tcBorders>
            <w:shd w:val="clear" w:color="auto" w:fill="8DB3E2"/>
          </w:tcPr>
          <w:p w14:paraId="2DE6EDAB" w14:textId="77777777" w:rsidR="00F736FC" w:rsidRDefault="00103CC2">
            <w:pPr>
              <w:ind w:hanging="2"/>
              <w:jc w:val="center"/>
              <w:rPr>
                <w:rFonts w:ascii="Times New Roman" w:eastAsia="Times New Roman" w:hAnsi="Times New Roman" w:cs="Times New Roman"/>
                <w:b/>
                <w:sz w:val="24"/>
                <w:szCs w:val="24"/>
              </w:rPr>
            </w:pPr>
            <w:bookmarkStart w:id="4" w:name="_heading=h.91nnmo37fpyr" w:colFirst="0" w:colLast="0"/>
            <w:bookmarkEnd w:id="4"/>
            <w:r>
              <w:rPr>
                <w:rFonts w:ascii="Times New Roman" w:eastAsia="Times New Roman" w:hAnsi="Times New Roman" w:cs="Times New Roman"/>
                <w:b/>
                <w:sz w:val="24"/>
                <w:szCs w:val="24"/>
              </w:rPr>
              <w:t>Sensitivity</w:t>
            </w:r>
          </w:p>
        </w:tc>
        <w:tc>
          <w:tcPr>
            <w:tcW w:w="2389" w:type="dxa"/>
            <w:vMerge w:val="restart"/>
            <w:tcBorders>
              <w:top w:val="single" w:sz="4" w:space="0" w:color="000000"/>
            </w:tcBorders>
            <w:shd w:val="clear" w:color="auto" w:fill="8DB3E2"/>
          </w:tcPr>
          <w:p w14:paraId="0F389669"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w:t>
            </w:r>
          </w:p>
        </w:tc>
        <w:tc>
          <w:tcPr>
            <w:tcW w:w="3806" w:type="dxa"/>
            <w:gridSpan w:val="6"/>
            <w:tcBorders>
              <w:top w:val="single" w:sz="4" w:space="0" w:color="000000"/>
              <w:bottom w:val="single" w:sz="4" w:space="0" w:color="000000"/>
            </w:tcBorders>
            <w:shd w:val="clear" w:color="auto" w:fill="8DB3E2"/>
          </w:tcPr>
          <w:p w14:paraId="08EEF318"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Study site scores</w:t>
            </w:r>
          </w:p>
        </w:tc>
      </w:tr>
      <w:tr w:rsidR="00F736FC" w14:paraId="2D865956" w14:textId="77777777">
        <w:tc>
          <w:tcPr>
            <w:tcW w:w="3165" w:type="dxa"/>
            <w:gridSpan w:val="3"/>
            <w:vMerge/>
            <w:tcBorders>
              <w:top w:val="single" w:sz="4" w:space="0" w:color="000000"/>
            </w:tcBorders>
            <w:shd w:val="clear" w:color="auto" w:fill="8DB3E2"/>
          </w:tcPr>
          <w:p w14:paraId="1590B3BC"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b/>
                <w:sz w:val="24"/>
                <w:szCs w:val="24"/>
              </w:rPr>
            </w:pPr>
          </w:p>
        </w:tc>
        <w:tc>
          <w:tcPr>
            <w:tcW w:w="2389" w:type="dxa"/>
            <w:vMerge/>
            <w:tcBorders>
              <w:top w:val="single" w:sz="4" w:space="0" w:color="000000"/>
            </w:tcBorders>
            <w:shd w:val="clear" w:color="auto" w:fill="8DB3E2"/>
          </w:tcPr>
          <w:p w14:paraId="6B4BF681"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b/>
                <w:sz w:val="24"/>
                <w:szCs w:val="24"/>
              </w:rPr>
            </w:pPr>
          </w:p>
        </w:tc>
        <w:tc>
          <w:tcPr>
            <w:tcW w:w="515" w:type="dxa"/>
            <w:tcBorders>
              <w:top w:val="single" w:sz="4" w:space="0" w:color="000000"/>
              <w:bottom w:val="single" w:sz="4" w:space="0" w:color="000000"/>
            </w:tcBorders>
            <w:shd w:val="clear" w:color="auto" w:fill="8DB3E2"/>
          </w:tcPr>
          <w:p w14:paraId="5C3CB071"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537" w:type="dxa"/>
            <w:tcBorders>
              <w:top w:val="single" w:sz="4" w:space="0" w:color="000000"/>
              <w:bottom w:val="single" w:sz="4" w:space="0" w:color="000000"/>
            </w:tcBorders>
            <w:shd w:val="clear" w:color="auto" w:fill="8DB3E2"/>
          </w:tcPr>
          <w:p w14:paraId="1F49C960"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580" w:type="dxa"/>
            <w:tcBorders>
              <w:top w:val="single" w:sz="4" w:space="0" w:color="000000"/>
              <w:bottom w:val="single" w:sz="4" w:space="0" w:color="000000"/>
            </w:tcBorders>
            <w:shd w:val="clear" w:color="auto" w:fill="8DB3E2"/>
          </w:tcPr>
          <w:p w14:paraId="6CBF380C"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723" w:type="dxa"/>
            <w:tcBorders>
              <w:top w:val="single" w:sz="4" w:space="0" w:color="000000"/>
              <w:bottom w:val="single" w:sz="4" w:space="0" w:color="000000"/>
            </w:tcBorders>
            <w:shd w:val="clear" w:color="auto" w:fill="8DB3E2"/>
          </w:tcPr>
          <w:p w14:paraId="7ED60BD5"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751" w:type="dxa"/>
            <w:tcBorders>
              <w:top w:val="single" w:sz="4" w:space="0" w:color="000000"/>
              <w:bottom w:val="single" w:sz="4" w:space="0" w:color="000000"/>
            </w:tcBorders>
            <w:shd w:val="clear" w:color="auto" w:fill="8DB3E2"/>
          </w:tcPr>
          <w:p w14:paraId="7490E4BC"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700" w:type="dxa"/>
            <w:tcBorders>
              <w:top w:val="single" w:sz="4" w:space="0" w:color="000000"/>
              <w:bottom w:val="single" w:sz="4" w:space="0" w:color="000000"/>
            </w:tcBorders>
            <w:shd w:val="clear" w:color="auto" w:fill="8DB3E2"/>
          </w:tcPr>
          <w:p w14:paraId="75A3F1F6"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r>
      <w:tr w:rsidR="00F736FC" w14:paraId="24CEBA7D" w14:textId="77777777">
        <w:tc>
          <w:tcPr>
            <w:tcW w:w="696" w:type="dxa"/>
            <w:vMerge w:val="restart"/>
            <w:tcBorders>
              <w:top w:val="single" w:sz="4" w:space="0" w:color="000000"/>
            </w:tcBorders>
          </w:tcPr>
          <w:p w14:paraId="161E1289" w14:textId="77777777" w:rsidR="00F736FC" w:rsidRDefault="00103CC2">
            <w:pPr>
              <w:ind w:hanging="2"/>
              <w:jc w:val="center"/>
              <w:rPr>
                <w:rFonts w:ascii="Times New Roman" w:eastAsia="Times New Roman" w:hAnsi="Times New Roman" w:cs="Times New Roman"/>
                <w:b/>
                <w:sz w:val="24"/>
                <w:szCs w:val="24"/>
              </w:rPr>
            </w:pPr>
            <w:r>
              <w:rPr>
                <w:noProof/>
                <w:lang w:val="en-MY"/>
              </w:rPr>
              <mc:AlternateContent>
                <mc:Choice Requires="wps">
                  <w:drawing>
                    <wp:anchor distT="45720" distB="45720" distL="114300" distR="114300" simplePos="0" relativeHeight="251662336" behindDoc="0" locked="0" layoutInCell="1" hidden="0" allowOverlap="1" wp14:anchorId="6F43D32F" wp14:editId="180997D4">
                      <wp:simplePos x="0" y="0"/>
                      <wp:positionH relativeFrom="column">
                        <wp:posOffset>25401</wp:posOffset>
                      </wp:positionH>
                      <wp:positionV relativeFrom="paragraph">
                        <wp:posOffset>-1300479</wp:posOffset>
                      </wp:positionV>
                      <wp:extent cx="287655" cy="1157605"/>
                      <wp:effectExtent l="0" t="0" r="0" b="0"/>
                      <wp:wrapSquare wrapText="bothSides" distT="45720" distB="45720" distL="114300" distR="114300"/>
                      <wp:docPr id="1190483620" name="Rectangle 1190483620"/>
                      <wp:cNvGraphicFramePr/>
                      <a:graphic xmlns:a="http://schemas.openxmlformats.org/drawingml/2006/main">
                        <a:graphicData uri="http://schemas.microsoft.com/office/word/2010/wordprocessingShape">
                          <wps:wsp>
                            <wps:cNvSpPr/>
                            <wps:spPr>
                              <a:xfrm rot="-5400000">
                                <a:off x="4771960" y="3640935"/>
                                <a:ext cx="1148080" cy="278130"/>
                              </a:xfrm>
                              <a:prstGeom prst="rect">
                                <a:avLst/>
                              </a:prstGeom>
                              <a:solidFill>
                                <a:srgbClr val="FFFFFF"/>
                              </a:solidFill>
                              <a:ln>
                                <a:noFill/>
                              </a:ln>
                            </wps:spPr>
                            <wps:txbx>
                              <w:txbxContent>
                                <w:p w14:paraId="3E28C21D" w14:textId="77777777" w:rsidR="00F736FC" w:rsidRDefault="00103CC2">
                                  <w:pPr>
                                    <w:spacing w:line="275" w:lineRule="auto"/>
                                    <w:ind w:hanging="2"/>
                                    <w:jc w:val="center"/>
                                    <w:textDirection w:val="btLr"/>
                                  </w:pPr>
                                  <w:r>
                                    <w:rPr>
                                      <w:rFonts w:ascii="Georgia" w:eastAsia="Georgia" w:hAnsi="Georgia" w:cs="Georgia"/>
                                      <w:b/>
                                      <w:color w:val="000000"/>
                                      <w:sz w:val="18"/>
                                    </w:rPr>
                                    <w:t>INTRINSIC</w:t>
                                  </w:r>
                                </w:p>
                              </w:txbxContent>
                            </wps:txbx>
                            <wps:bodyPr spcFirstLastPara="1" wrap="square" lIns="91425" tIns="45700" rIns="91425" bIns="45700" anchor="t" anchorCtr="0">
                              <a:noAutofit/>
                            </wps:bodyPr>
                          </wps:wsp>
                        </a:graphicData>
                      </a:graphic>
                    </wp:anchor>
                  </w:drawing>
                </mc:Choice>
                <mc:Fallback>
                  <w:pict>
                    <v:rect w14:anchorId="6F43D32F" id="Rectangle 1190483620" o:spid="_x0000_s1030" style="position:absolute;left:0;text-align:left;margin-left:2pt;margin-top:-102.4pt;width:22.65pt;height:91.15pt;rotation:-90;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" stroked="f">
                      <v:textbox inset="2.53958mm,1.2694mm,2.53958mm,1.2694mm">
                        <w:txbxContent>
                          <w:p w14:paraId="3E28C21D" w14:textId="77777777" w:rsidR="00F736FC" w:rsidRDefault="00103CC2">
                            <w:pPr>
                              <w:spacing w:line="275" w:lineRule="auto"/>
                              <w:ind w:hanging="2"/>
                              <w:jc w:val="center"/>
                              <w:textDirection w:val="btLr"/>
                            </w:pPr>
                            <w:r>
                              <w:rPr>
                                <w:rFonts w:ascii="Georgia" w:eastAsia="Georgia" w:hAnsi="Georgia" w:cs="Georgia"/>
                                <w:b/>
                                <w:color w:val="000000"/>
                                <w:sz w:val="18"/>
                              </w:rPr>
                              <w:t>INTRINSIC</w:t>
                            </w:r>
                          </w:p>
                        </w:txbxContent>
                      </v:textbox>
                      <w10:wrap type="square"/>
                    </v:rect>
                  </w:pict>
                </mc:Fallback>
              </mc:AlternateContent>
            </w:r>
          </w:p>
        </w:tc>
        <w:tc>
          <w:tcPr>
            <w:tcW w:w="524" w:type="dxa"/>
            <w:tcBorders>
              <w:top w:val="single" w:sz="4" w:space="0" w:color="000000"/>
            </w:tcBorders>
          </w:tcPr>
          <w:p w14:paraId="1AB9C087"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945" w:type="dxa"/>
            <w:tcBorders>
              <w:top w:val="single" w:sz="4" w:space="0" w:color="000000"/>
            </w:tcBorders>
          </w:tcPr>
          <w:p w14:paraId="631BBBB4"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Microhabitat</w:t>
            </w:r>
          </w:p>
        </w:tc>
        <w:tc>
          <w:tcPr>
            <w:tcW w:w="2389" w:type="dxa"/>
            <w:tcBorders>
              <w:top w:val="single" w:sz="4" w:space="0" w:color="000000"/>
            </w:tcBorders>
          </w:tcPr>
          <w:p w14:paraId="39FCDF3A"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w:t>
            </w:r>
          </w:p>
        </w:tc>
        <w:tc>
          <w:tcPr>
            <w:tcW w:w="515" w:type="dxa"/>
            <w:tcBorders>
              <w:top w:val="single" w:sz="4" w:space="0" w:color="000000"/>
            </w:tcBorders>
            <w:shd w:val="clear" w:color="auto" w:fill="00B050"/>
          </w:tcPr>
          <w:p w14:paraId="350C910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7" w:type="dxa"/>
            <w:tcBorders>
              <w:top w:val="single" w:sz="4" w:space="0" w:color="000000"/>
            </w:tcBorders>
            <w:shd w:val="clear" w:color="auto" w:fill="00B050"/>
          </w:tcPr>
          <w:p w14:paraId="3E25AFE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0" w:type="dxa"/>
            <w:tcBorders>
              <w:top w:val="single" w:sz="4" w:space="0" w:color="000000"/>
            </w:tcBorders>
            <w:shd w:val="clear" w:color="auto" w:fill="00B050"/>
          </w:tcPr>
          <w:p w14:paraId="46D95D3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3" w:type="dxa"/>
            <w:tcBorders>
              <w:top w:val="single" w:sz="4" w:space="0" w:color="000000"/>
            </w:tcBorders>
            <w:shd w:val="clear" w:color="auto" w:fill="00B050"/>
          </w:tcPr>
          <w:p w14:paraId="1BDA31A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51" w:type="dxa"/>
            <w:tcBorders>
              <w:top w:val="single" w:sz="4" w:space="0" w:color="000000"/>
            </w:tcBorders>
            <w:shd w:val="clear" w:color="auto" w:fill="00B050"/>
          </w:tcPr>
          <w:p w14:paraId="1CB03E6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0" w:type="dxa"/>
            <w:tcBorders>
              <w:top w:val="single" w:sz="4" w:space="0" w:color="000000"/>
            </w:tcBorders>
            <w:shd w:val="clear" w:color="auto" w:fill="00B050"/>
          </w:tcPr>
          <w:p w14:paraId="30576BC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736FC" w14:paraId="37E25F8A" w14:textId="77777777">
        <w:tc>
          <w:tcPr>
            <w:tcW w:w="696" w:type="dxa"/>
            <w:vMerge/>
            <w:tcBorders>
              <w:top w:val="single" w:sz="4" w:space="0" w:color="000000"/>
            </w:tcBorders>
          </w:tcPr>
          <w:p w14:paraId="29D5174B"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524" w:type="dxa"/>
          </w:tcPr>
          <w:p w14:paraId="6EEB4F77"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945" w:type="dxa"/>
          </w:tcPr>
          <w:p w14:paraId="5454836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Distant to the closer river (m)</w:t>
            </w:r>
          </w:p>
        </w:tc>
        <w:tc>
          <w:tcPr>
            <w:tcW w:w="2389" w:type="dxa"/>
          </w:tcPr>
          <w:p w14:paraId="494244A9"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*Staff, Field observation</w:t>
            </w:r>
          </w:p>
        </w:tc>
        <w:tc>
          <w:tcPr>
            <w:tcW w:w="515" w:type="dxa"/>
            <w:shd w:val="clear" w:color="auto" w:fill="00B050"/>
          </w:tcPr>
          <w:p w14:paraId="0E50E85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7" w:type="dxa"/>
            <w:shd w:val="clear" w:color="auto" w:fill="00B050"/>
          </w:tcPr>
          <w:p w14:paraId="50EEA02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0" w:type="dxa"/>
            <w:shd w:val="clear" w:color="auto" w:fill="00B050"/>
          </w:tcPr>
          <w:p w14:paraId="6D83FC9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3" w:type="dxa"/>
            <w:shd w:val="clear" w:color="auto" w:fill="00B050"/>
          </w:tcPr>
          <w:p w14:paraId="7B7E450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51" w:type="dxa"/>
            <w:shd w:val="clear" w:color="auto" w:fill="00B050"/>
          </w:tcPr>
          <w:p w14:paraId="362B40D0"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0" w:type="dxa"/>
            <w:shd w:val="clear" w:color="auto" w:fill="00B050"/>
          </w:tcPr>
          <w:p w14:paraId="34623D9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736FC" w14:paraId="5C42F207" w14:textId="77777777">
        <w:tc>
          <w:tcPr>
            <w:tcW w:w="696" w:type="dxa"/>
            <w:vMerge/>
            <w:tcBorders>
              <w:top w:val="single" w:sz="4" w:space="0" w:color="000000"/>
            </w:tcBorders>
          </w:tcPr>
          <w:p w14:paraId="0278111F"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524" w:type="dxa"/>
          </w:tcPr>
          <w:p w14:paraId="53357986"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945" w:type="dxa"/>
          </w:tcPr>
          <w:p w14:paraId="4583EA6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Canopy cover (% seedling)</w:t>
            </w:r>
          </w:p>
        </w:tc>
        <w:tc>
          <w:tcPr>
            <w:tcW w:w="2389" w:type="dxa"/>
          </w:tcPr>
          <w:p w14:paraId="70C4C217"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w:t>
            </w:r>
          </w:p>
        </w:tc>
        <w:tc>
          <w:tcPr>
            <w:tcW w:w="515" w:type="dxa"/>
            <w:shd w:val="clear" w:color="auto" w:fill="00B050"/>
          </w:tcPr>
          <w:p w14:paraId="4756E78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7" w:type="dxa"/>
            <w:shd w:val="clear" w:color="auto" w:fill="00B050"/>
          </w:tcPr>
          <w:p w14:paraId="6BFD644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0" w:type="dxa"/>
            <w:shd w:val="clear" w:color="auto" w:fill="00B050"/>
          </w:tcPr>
          <w:p w14:paraId="72FD257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3" w:type="dxa"/>
            <w:shd w:val="clear" w:color="auto" w:fill="00B050"/>
          </w:tcPr>
          <w:p w14:paraId="749394F4"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51" w:type="dxa"/>
            <w:shd w:val="clear" w:color="auto" w:fill="00B050"/>
          </w:tcPr>
          <w:p w14:paraId="5CC65A8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0" w:type="dxa"/>
            <w:shd w:val="clear" w:color="auto" w:fill="00B050"/>
          </w:tcPr>
          <w:p w14:paraId="408C2A6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736FC" w14:paraId="3D37FFE4" w14:textId="77777777">
        <w:trPr>
          <w:trHeight w:val="340"/>
        </w:trPr>
        <w:tc>
          <w:tcPr>
            <w:tcW w:w="696" w:type="dxa"/>
            <w:vMerge/>
            <w:tcBorders>
              <w:top w:val="single" w:sz="4" w:space="0" w:color="000000"/>
            </w:tcBorders>
          </w:tcPr>
          <w:p w14:paraId="0F4BDD20"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524" w:type="dxa"/>
          </w:tcPr>
          <w:p w14:paraId="6C6EBB49"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945" w:type="dxa"/>
          </w:tcPr>
          <w:p w14:paraId="6F13D53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Soil texture (geomorphology)</w:t>
            </w:r>
          </w:p>
        </w:tc>
        <w:tc>
          <w:tcPr>
            <w:tcW w:w="2389" w:type="dxa"/>
          </w:tcPr>
          <w:p w14:paraId="66E8200F"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w:t>
            </w:r>
          </w:p>
        </w:tc>
        <w:tc>
          <w:tcPr>
            <w:tcW w:w="515" w:type="dxa"/>
            <w:shd w:val="clear" w:color="auto" w:fill="00B050"/>
          </w:tcPr>
          <w:p w14:paraId="7222C16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7" w:type="dxa"/>
            <w:shd w:val="clear" w:color="auto" w:fill="00B050"/>
          </w:tcPr>
          <w:p w14:paraId="3A618F9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80" w:type="dxa"/>
            <w:shd w:val="clear" w:color="auto" w:fill="00B050"/>
          </w:tcPr>
          <w:p w14:paraId="4BCE565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3" w:type="dxa"/>
            <w:shd w:val="clear" w:color="auto" w:fill="00B050"/>
          </w:tcPr>
          <w:p w14:paraId="45D23FA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51" w:type="dxa"/>
            <w:shd w:val="clear" w:color="auto" w:fill="00B050"/>
          </w:tcPr>
          <w:p w14:paraId="2DE209B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0" w:type="dxa"/>
            <w:shd w:val="clear" w:color="auto" w:fill="00B050"/>
          </w:tcPr>
          <w:p w14:paraId="539CB0D0"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736FC" w14:paraId="753AF8BA" w14:textId="77777777">
        <w:tc>
          <w:tcPr>
            <w:tcW w:w="696" w:type="dxa"/>
            <w:vMerge/>
            <w:tcBorders>
              <w:top w:val="single" w:sz="4" w:space="0" w:color="000000"/>
            </w:tcBorders>
          </w:tcPr>
          <w:p w14:paraId="2860AFFC"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524" w:type="dxa"/>
          </w:tcPr>
          <w:p w14:paraId="204C2E71"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945" w:type="dxa"/>
          </w:tcPr>
          <w:p w14:paraId="259E5B00"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Slope (</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w:t>
            </w:r>
          </w:p>
        </w:tc>
        <w:tc>
          <w:tcPr>
            <w:tcW w:w="2389" w:type="dxa"/>
          </w:tcPr>
          <w:p w14:paraId="4715E072"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w:t>
            </w:r>
          </w:p>
        </w:tc>
        <w:tc>
          <w:tcPr>
            <w:tcW w:w="515" w:type="dxa"/>
            <w:shd w:val="clear" w:color="auto" w:fill="0070C0"/>
          </w:tcPr>
          <w:p w14:paraId="2D50604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7" w:type="dxa"/>
            <w:shd w:val="clear" w:color="auto" w:fill="0070C0"/>
          </w:tcPr>
          <w:p w14:paraId="7F89C4E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80" w:type="dxa"/>
            <w:shd w:val="clear" w:color="auto" w:fill="00B050"/>
          </w:tcPr>
          <w:p w14:paraId="6354A91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3" w:type="dxa"/>
            <w:shd w:val="clear" w:color="auto" w:fill="00B050"/>
          </w:tcPr>
          <w:p w14:paraId="41E7ADE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51" w:type="dxa"/>
            <w:shd w:val="clear" w:color="auto" w:fill="00B050"/>
          </w:tcPr>
          <w:p w14:paraId="7007228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0" w:type="dxa"/>
            <w:shd w:val="clear" w:color="auto" w:fill="00B050"/>
          </w:tcPr>
          <w:p w14:paraId="5CC463F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736FC" w14:paraId="4CACEECD" w14:textId="77777777">
        <w:tc>
          <w:tcPr>
            <w:tcW w:w="696" w:type="dxa"/>
            <w:vMerge/>
            <w:tcBorders>
              <w:top w:val="single" w:sz="4" w:space="0" w:color="000000"/>
            </w:tcBorders>
          </w:tcPr>
          <w:p w14:paraId="7264F226"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524" w:type="dxa"/>
          </w:tcPr>
          <w:p w14:paraId="25AAA24E"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945" w:type="dxa"/>
          </w:tcPr>
          <w:p w14:paraId="1E213F9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Forest layer</w:t>
            </w:r>
          </w:p>
          <w:p w14:paraId="7C922321" w14:textId="77777777" w:rsidR="00F736FC" w:rsidRDefault="00F736FC">
            <w:pPr>
              <w:ind w:hanging="2"/>
              <w:jc w:val="center"/>
              <w:rPr>
                <w:rFonts w:ascii="Times New Roman" w:eastAsia="Times New Roman" w:hAnsi="Times New Roman" w:cs="Times New Roman"/>
                <w:sz w:val="24"/>
                <w:szCs w:val="24"/>
              </w:rPr>
            </w:pPr>
          </w:p>
        </w:tc>
        <w:tc>
          <w:tcPr>
            <w:tcW w:w="2389" w:type="dxa"/>
          </w:tcPr>
          <w:p w14:paraId="0D5A9291"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w:t>
            </w:r>
          </w:p>
        </w:tc>
        <w:tc>
          <w:tcPr>
            <w:tcW w:w="515" w:type="dxa"/>
            <w:shd w:val="clear" w:color="auto" w:fill="0070C0"/>
          </w:tcPr>
          <w:p w14:paraId="66B5759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7" w:type="dxa"/>
            <w:shd w:val="clear" w:color="auto" w:fill="0070C0"/>
          </w:tcPr>
          <w:p w14:paraId="5A6D863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80" w:type="dxa"/>
            <w:shd w:val="clear" w:color="auto" w:fill="0070C0"/>
          </w:tcPr>
          <w:p w14:paraId="36C39E3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3" w:type="dxa"/>
            <w:shd w:val="clear" w:color="auto" w:fill="0070C0"/>
          </w:tcPr>
          <w:p w14:paraId="0999657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51" w:type="dxa"/>
            <w:shd w:val="clear" w:color="auto" w:fill="0070C0"/>
          </w:tcPr>
          <w:p w14:paraId="5CD67CF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0" w:type="dxa"/>
            <w:shd w:val="clear" w:color="auto" w:fill="0070C0"/>
          </w:tcPr>
          <w:p w14:paraId="2B85F24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736FC" w14:paraId="5C10987F" w14:textId="77777777">
        <w:tc>
          <w:tcPr>
            <w:tcW w:w="696" w:type="dxa"/>
            <w:vMerge/>
            <w:tcBorders>
              <w:top w:val="single" w:sz="4" w:space="0" w:color="000000"/>
            </w:tcBorders>
          </w:tcPr>
          <w:p w14:paraId="21521A39"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524" w:type="dxa"/>
          </w:tcPr>
          <w:p w14:paraId="65C4B7D3"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945" w:type="dxa"/>
          </w:tcPr>
          <w:p w14:paraId="46CCFF8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type of forest</w:t>
            </w:r>
          </w:p>
        </w:tc>
        <w:tc>
          <w:tcPr>
            <w:tcW w:w="2389" w:type="dxa"/>
          </w:tcPr>
          <w:p w14:paraId="4174C5A0"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 Staff</w:t>
            </w:r>
          </w:p>
        </w:tc>
        <w:tc>
          <w:tcPr>
            <w:tcW w:w="515" w:type="dxa"/>
            <w:shd w:val="clear" w:color="auto" w:fill="0070C0"/>
          </w:tcPr>
          <w:p w14:paraId="37CE593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7" w:type="dxa"/>
            <w:shd w:val="clear" w:color="auto" w:fill="FF0000"/>
          </w:tcPr>
          <w:p w14:paraId="0240DDB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80" w:type="dxa"/>
            <w:shd w:val="clear" w:color="auto" w:fill="0070C0"/>
          </w:tcPr>
          <w:p w14:paraId="0D863CF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3" w:type="dxa"/>
            <w:shd w:val="clear" w:color="auto" w:fill="0070C0"/>
          </w:tcPr>
          <w:p w14:paraId="71DDFC9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51" w:type="dxa"/>
            <w:shd w:val="clear" w:color="auto" w:fill="FF0000"/>
          </w:tcPr>
          <w:p w14:paraId="6C301F6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0" w:type="dxa"/>
            <w:shd w:val="clear" w:color="auto" w:fill="0070C0"/>
          </w:tcPr>
          <w:p w14:paraId="0D3241B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736FC" w14:paraId="63DC0CB9" w14:textId="77777777">
        <w:tc>
          <w:tcPr>
            <w:tcW w:w="696" w:type="dxa"/>
            <w:vMerge w:val="restart"/>
          </w:tcPr>
          <w:p w14:paraId="03B719C1" w14:textId="77777777" w:rsidR="00F736FC" w:rsidRDefault="00103CC2">
            <w:pPr>
              <w:ind w:hanging="2"/>
              <w:jc w:val="center"/>
              <w:rPr>
                <w:rFonts w:ascii="Times New Roman" w:eastAsia="Times New Roman" w:hAnsi="Times New Roman" w:cs="Times New Roman"/>
                <w:b/>
                <w:sz w:val="24"/>
                <w:szCs w:val="24"/>
              </w:rPr>
            </w:pPr>
            <w:r>
              <w:rPr>
                <w:noProof/>
                <w:lang w:val="en-MY"/>
              </w:rPr>
              <mc:AlternateContent>
                <mc:Choice Requires="wps">
                  <w:drawing>
                    <wp:anchor distT="45720" distB="45720" distL="114300" distR="114300" simplePos="0" relativeHeight="251663360" behindDoc="0" locked="0" layoutInCell="1" hidden="0" allowOverlap="1" wp14:anchorId="43126D44" wp14:editId="34F6ADF5">
                      <wp:simplePos x="0" y="0"/>
                      <wp:positionH relativeFrom="column">
                        <wp:posOffset>38101</wp:posOffset>
                      </wp:positionH>
                      <wp:positionV relativeFrom="paragraph">
                        <wp:posOffset>-982979</wp:posOffset>
                      </wp:positionV>
                      <wp:extent cx="302895" cy="1078230"/>
                      <wp:effectExtent l="0" t="0" r="0" b="0"/>
                      <wp:wrapSquare wrapText="bothSides" distT="45720" distB="45720" distL="114300" distR="114300"/>
                      <wp:docPr id="1190483619" name="Rectangle 1190483619"/>
                      <wp:cNvGraphicFramePr/>
                      <a:graphic xmlns:a="http://schemas.openxmlformats.org/drawingml/2006/main">
                        <a:graphicData uri="http://schemas.microsoft.com/office/word/2010/wordprocessingShape">
                          <wps:wsp>
                            <wps:cNvSpPr/>
                            <wps:spPr>
                              <a:xfrm rot="-5400000">
                                <a:off x="4811648" y="3633315"/>
                                <a:ext cx="1068705" cy="293370"/>
                              </a:xfrm>
                              <a:prstGeom prst="rect">
                                <a:avLst/>
                              </a:prstGeom>
                              <a:solidFill>
                                <a:srgbClr val="FFFFFF"/>
                              </a:solidFill>
                              <a:ln>
                                <a:noFill/>
                              </a:ln>
                            </wps:spPr>
                            <wps:txbx>
                              <w:txbxContent>
                                <w:p w14:paraId="20909598" w14:textId="77777777" w:rsidR="00F736FC" w:rsidRDefault="00103CC2">
                                  <w:pPr>
                                    <w:spacing w:line="275" w:lineRule="auto"/>
                                    <w:ind w:hanging="2"/>
                                    <w:jc w:val="center"/>
                                    <w:textDirection w:val="btLr"/>
                                  </w:pPr>
                                  <w:r>
                                    <w:rPr>
                                      <w:rFonts w:ascii="Georgia" w:eastAsia="Georgia" w:hAnsi="Georgia" w:cs="Georgia"/>
                                      <w:b/>
                                      <w:color w:val="000000"/>
                                      <w:sz w:val="18"/>
                                    </w:rPr>
                                    <w:t>EXTRINSIC</w:t>
                                  </w:r>
                                </w:p>
                              </w:txbxContent>
                            </wps:txbx>
                            <wps:bodyPr spcFirstLastPara="1" wrap="square" lIns="91425" tIns="45700" rIns="91425" bIns="45700" anchor="t" anchorCtr="0">
                              <a:noAutofit/>
                            </wps:bodyPr>
                          </wps:wsp>
                        </a:graphicData>
                      </a:graphic>
                    </wp:anchor>
                  </w:drawing>
                </mc:Choice>
                <mc:Fallback>
                  <w:pict>
                    <v:rect w14:anchorId="43126D44" id="Rectangle 1190483619" o:spid="_x0000_s1031" style="position:absolute;left:0;text-align:left;margin-left:3pt;margin-top:-77.4pt;width:23.85pt;height:84.9pt;rotation:-90;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" stroked="f">
                      <v:textbox inset="2.53958mm,1.2694mm,2.53958mm,1.2694mm">
                        <w:txbxContent>
                          <w:p w14:paraId="20909598" w14:textId="77777777" w:rsidR="00F736FC" w:rsidRDefault="00103CC2">
                            <w:pPr>
                              <w:spacing w:line="275" w:lineRule="auto"/>
                              <w:ind w:hanging="2"/>
                              <w:jc w:val="center"/>
                              <w:textDirection w:val="btLr"/>
                            </w:pPr>
                            <w:r>
                              <w:rPr>
                                <w:rFonts w:ascii="Georgia" w:eastAsia="Georgia" w:hAnsi="Georgia" w:cs="Georgia"/>
                                <w:b/>
                                <w:color w:val="000000"/>
                                <w:sz w:val="18"/>
                              </w:rPr>
                              <w:t>EXTRINSIC</w:t>
                            </w:r>
                          </w:p>
                        </w:txbxContent>
                      </v:textbox>
                      <w10:wrap type="square"/>
                    </v:rect>
                  </w:pict>
                </mc:Fallback>
              </mc:AlternateContent>
            </w:r>
          </w:p>
        </w:tc>
        <w:tc>
          <w:tcPr>
            <w:tcW w:w="524" w:type="dxa"/>
          </w:tcPr>
          <w:p w14:paraId="2263BDE2"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945" w:type="dxa"/>
          </w:tcPr>
          <w:p w14:paraId="6778467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Distant to buffer zone</w:t>
            </w:r>
          </w:p>
        </w:tc>
        <w:tc>
          <w:tcPr>
            <w:tcW w:w="2389" w:type="dxa"/>
          </w:tcPr>
          <w:p w14:paraId="0C351CE1"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observation, </w:t>
            </w:r>
            <w:proofErr w:type="spellStart"/>
            <w:r>
              <w:rPr>
                <w:rFonts w:ascii="Times New Roman" w:eastAsia="Times New Roman" w:hAnsi="Times New Roman" w:cs="Times New Roman"/>
                <w:sz w:val="24"/>
                <w:szCs w:val="24"/>
              </w:rPr>
              <w:t>penguasa</w:t>
            </w:r>
            <w:proofErr w:type="spellEnd"/>
          </w:p>
        </w:tc>
        <w:tc>
          <w:tcPr>
            <w:tcW w:w="515" w:type="dxa"/>
            <w:shd w:val="clear" w:color="auto" w:fill="00B050"/>
          </w:tcPr>
          <w:p w14:paraId="6CA193B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37" w:type="dxa"/>
            <w:shd w:val="clear" w:color="auto" w:fill="0070C0"/>
          </w:tcPr>
          <w:p w14:paraId="0DABD0B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0" w:type="dxa"/>
            <w:shd w:val="clear" w:color="auto" w:fill="0070C0"/>
          </w:tcPr>
          <w:p w14:paraId="1373714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3" w:type="dxa"/>
            <w:shd w:val="clear" w:color="auto" w:fill="00B050"/>
          </w:tcPr>
          <w:p w14:paraId="4ECD4E04"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51" w:type="dxa"/>
            <w:shd w:val="clear" w:color="auto" w:fill="0070C0"/>
          </w:tcPr>
          <w:p w14:paraId="3536C32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0" w:type="dxa"/>
            <w:shd w:val="clear" w:color="auto" w:fill="00B050"/>
          </w:tcPr>
          <w:p w14:paraId="10E95E8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736FC" w14:paraId="0AFE50A8" w14:textId="77777777">
        <w:tc>
          <w:tcPr>
            <w:tcW w:w="696" w:type="dxa"/>
            <w:vMerge/>
          </w:tcPr>
          <w:p w14:paraId="0BE11171"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524" w:type="dxa"/>
          </w:tcPr>
          <w:p w14:paraId="5466D5AB"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945" w:type="dxa"/>
          </w:tcPr>
          <w:p w14:paraId="081FF51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Ecotourism</w:t>
            </w:r>
          </w:p>
        </w:tc>
        <w:tc>
          <w:tcPr>
            <w:tcW w:w="2389" w:type="dxa"/>
          </w:tcPr>
          <w:p w14:paraId="4D0B13E7"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 Staff</w:t>
            </w:r>
          </w:p>
        </w:tc>
        <w:tc>
          <w:tcPr>
            <w:tcW w:w="515" w:type="dxa"/>
            <w:shd w:val="clear" w:color="auto" w:fill="00B050"/>
          </w:tcPr>
          <w:p w14:paraId="3D0771D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7" w:type="dxa"/>
            <w:shd w:val="clear" w:color="auto" w:fill="0070C0"/>
          </w:tcPr>
          <w:p w14:paraId="61A8092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0" w:type="dxa"/>
            <w:shd w:val="clear" w:color="auto" w:fill="FF0000"/>
          </w:tcPr>
          <w:p w14:paraId="0674A75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3" w:type="dxa"/>
            <w:shd w:val="clear" w:color="auto" w:fill="0070C0"/>
          </w:tcPr>
          <w:p w14:paraId="4443891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51" w:type="dxa"/>
            <w:shd w:val="clear" w:color="auto" w:fill="FF0000"/>
          </w:tcPr>
          <w:p w14:paraId="6DEF402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0" w:type="dxa"/>
            <w:shd w:val="clear" w:color="auto" w:fill="00B050"/>
          </w:tcPr>
          <w:p w14:paraId="0E7DCBC0"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736FC" w14:paraId="05C37F44" w14:textId="77777777">
        <w:tc>
          <w:tcPr>
            <w:tcW w:w="696" w:type="dxa"/>
            <w:vMerge/>
          </w:tcPr>
          <w:p w14:paraId="5968F095"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524" w:type="dxa"/>
          </w:tcPr>
          <w:p w14:paraId="29E25CC5"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1945" w:type="dxa"/>
          </w:tcPr>
          <w:p w14:paraId="6C0DC6D5"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Type of crops</w:t>
            </w:r>
          </w:p>
        </w:tc>
        <w:tc>
          <w:tcPr>
            <w:tcW w:w="2389" w:type="dxa"/>
          </w:tcPr>
          <w:p w14:paraId="6791CE57"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 Community, Staff</w:t>
            </w:r>
          </w:p>
        </w:tc>
        <w:tc>
          <w:tcPr>
            <w:tcW w:w="515" w:type="dxa"/>
            <w:shd w:val="clear" w:color="auto" w:fill="0070C0"/>
          </w:tcPr>
          <w:p w14:paraId="5FA5CE4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7" w:type="dxa"/>
            <w:shd w:val="clear" w:color="auto" w:fill="0070C0"/>
          </w:tcPr>
          <w:p w14:paraId="76E7382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80" w:type="dxa"/>
            <w:shd w:val="clear" w:color="auto" w:fill="0070C0"/>
          </w:tcPr>
          <w:p w14:paraId="1F614EF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3" w:type="dxa"/>
            <w:shd w:val="clear" w:color="auto" w:fill="00B050"/>
          </w:tcPr>
          <w:p w14:paraId="73200345"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51" w:type="dxa"/>
            <w:shd w:val="clear" w:color="auto" w:fill="FF0000"/>
          </w:tcPr>
          <w:p w14:paraId="2E2A533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0" w:type="dxa"/>
            <w:shd w:val="clear" w:color="auto" w:fill="0070C0"/>
          </w:tcPr>
          <w:p w14:paraId="28C76D94"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736FC" w14:paraId="7C1F7360" w14:textId="77777777">
        <w:tc>
          <w:tcPr>
            <w:tcW w:w="696" w:type="dxa"/>
            <w:vMerge/>
          </w:tcPr>
          <w:p w14:paraId="37F60588"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524" w:type="dxa"/>
          </w:tcPr>
          <w:p w14:paraId="743F043A"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1945" w:type="dxa"/>
          </w:tcPr>
          <w:p w14:paraId="30920C6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tourist</w:t>
            </w:r>
          </w:p>
        </w:tc>
        <w:tc>
          <w:tcPr>
            <w:tcW w:w="2389" w:type="dxa"/>
          </w:tcPr>
          <w:p w14:paraId="6DF26B1C"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 Staff</w:t>
            </w:r>
          </w:p>
        </w:tc>
        <w:tc>
          <w:tcPr>
            <w:tcW w:w="515" w:type="dxa"/>
            <w:shd w:val="clear" w:color="auto" w:fill="00B050"/>
          </w:tcPr>
          <w:p w14:paraId="08040B02"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7" w:type="dxa"/>
            <w:shd w:val="clear" w:color="auto" w:fill="0070C0"/>
          </w:tcPr>
          <w:p w14:paraId="1E270CB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80" w:type="dxa"/>
            <w:shd w:val="clear" w:color="auto" w:fill="FF0000"/>
          </w:tcPr>
          <w:p w14:paraId="5B1EA84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3" w:type="dxa"/>
            <w:shd w:val="clear" w:color="auto" w:fill="0070C0"/>
          </w:tcPr>
          <w:p w14:paraId="422AC50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51" w:type="dxa"/>
            <w:shd w:val="clear" w:color="auto" w:fill="FF0000"/>
          </w:tcPr>
          <w:p w14:paraId="7DD53C1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0" w:type="dxa"/>
            <w:shd w:val="clear" w:color="auto" w:fill="0070C0"/>
          </w:tcPr>
          <w:p w14:paraId="7870029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736FC" w14:paraId="58B67FDA" w14:textId="77777777">
        <w:tc>
          <w:tcPr>
            <w:tcW w:w="696" w:type="dxa"/>
            <w:vMerge/>
          </w:tcPr>
          <w:p w14:paraId="5D9A3012"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524" w:type="dxa"/>
            <w:tcBorders>
              <w:bottom w:val="single" w:sz="4" w:space="0" w:color="000000"/>
            </w:tcBorders>
          </w:tcPr>
          <w:p w14:paraId="7F3308AA"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1945" w:type="dxa"/>
            <w:tcBorders>
              <w:bottom w:val="single" w:sz="4" w:space="0" w:color="000000"/>
            </w:tcBorders>
          </w:tcPr>
          <w:p w14:paraId="63E051B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Years of land used</w:t>
            </w:r>
          </w:p>
        </w:tc>
        <w:tc>
          <w:tcPr>
            <w:tcW w:w="2389" w:type="dxa"/>
            <w:tcBorders>
              <w:bottom w:val="single" w:sz="4" w:space="0" w:color="000000"/>
            </w:tcBorders>
          </w:tcPr>
          <w:p w14:paraId="2FAB2841" w14:textId="77777777" w:rsidR="00F736FC" w:rsidRDefault="00103CC2">
            <w:pPr>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Staff</w:t>
            </w:r>
          </w:p>
        </w:tc>
        <w:tc>
          <w:tcPr>
            <w:tcW w:w="515" w:type="dxa"/>
            <w:tcBorders>
              <w:bottom w:val="single" w:sz="4" w:space="0" w:color="000000"/>
            </w:tcBorders>
            <w:shd w:val="clear" w:color="auto" w:fill="FF0000"/>
          </w:tcPr>
          <w:p w14:paraId="5434127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7" w:type="dxa"/>
            <w:tcBorders>
              <w:bottom w:val="single" w:sz="4" w:space="0" w:color="000000"/>
            </w:tcBorders>
            <w:shd w:val="clear" w:color="auto" w:fill="FF0000"/>
          </w:tcPr>
          <w:p w14:paraId="6CB62D2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80" w:type="dxa"/>
            <w:tcBorders>
              <w:bottom w:val="single" w:sz="4" w:space="0" w:color="000000"/>
            </w:tcBorders>
            <w:shd w:val="clear" w:color="auto" w:fill="FF0000"/>
          </w:tcPr>
          <w:p w14:paraId="23F053D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3" w:type="dxa"/>
            <w:tcBorders>
              <w:bottom w:val="single" w:sz="4" w:space="0" w:color="000000"/>
            </w:tcBorders>
            <w:shd w:val="clear" w:color="auto" w:fill="FF0000"/>
          </w:tcPr>
          <w:p w14:paraId="55CE45C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51" w:type="dxa"/>
            <w:tcBorders>
              <w:bottom w:val="single" w:sz="4" w:space="0" w:color="000000"/>
            </w:tcBorders>
            <w:shd w:val="clear" w:color="auto" w:fill="FF0000"/>
          </w:tcPr>
          <w:p w14:paraId="65581D90"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0" w:type="dxa"/>
            <w:tcBorders>
              <w:bottom w:val="single" w:sz="4" w:space="0" w:color="000000"/>
            </w:tcBorders>
            <w:shd w:val="clear" w:color="auto" w:fill="FF0000"/>
          </w:tcPr>
          <w:p w14:paraId="00730C9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736FC" w14:paraId="3B48CC38" w14:textId="77777777">
        <w:tc>
          <w:tcPr>
            <w:tcW w:w="5554" w:type="dxa"/>
            <w:gridSpan w:val="4"/>
            <w:tcBorders>
              <w:top w:val="single" w:sz="4" w:space="0" w:color="000000"/>
              <w:bottom w:val="single" w:sz="4" w:space="0" w:color="000000"/>
            </w:tcBorders>
          </w:tcPr>
          <w:p w14:paraId="6C53B239"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score</w:t>
            </w:r>
          </w:p>
        </w:tc>
        <w:tc>
          <w:tcPr>
            <w:tcW w:w="515" w:type="dxa"/>
            <w:tcBorders>
              <w:top w:val="single" w:sz="4" w:space="0" w:color="000000"/>
              <w:bottom w:val="single" w:sz="4" w:space="0" w:color="000000"/>
            </w:tcBorders>
            <w:shd w:val="clear" w:color="auto" w:fill="0070C0"/>
          </w:tcPr>
          <w:p w14:paraId="61E92CD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537" w:type="dxa"/>
            <w:tcBorders>
              <w:top w:val="single" w:sz="4" w:space="0" w:color="000000"/>
              <w:bottom w:val="single" w:sz="4" w:space="0" w:color="000000"/>
            </w:tcBorders>
            <w:shd w:val="clear" w:color="auto" w:fill="0070C0"/>
          </w:tcPr>
          <w:p w14:paraId="49692E5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580" w:type="dxa"/>
            <w:tcBorders>
              <w:top w:val="single" w:sz="4" w:space="0" w:color="000000"/>
              <w:bottom w:val="single" w:sz="4" w:space="0" w:color="000000"/>
            </w:tcBorders>
            <w:shd w:val="clear" w:color="auto" w:fill="0070C0"/>
          </w:tcPr>
          <w:p w14:paraId="6324507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23" w:type="dxa"/>
            <w:tcBorders>
              <w:top w:val="single" w:sz="4" w:space="0" w:color="000000"/>
              <w:bottom w:val="single" w:sz="4" w:space="0" w:color="000000"/>
            </w:tcBorders>
            <w:shd w:val="clear" w:color="auto" w:fill="00B050"/>
          </w:tcPr>
          <w:p w14:paraId="0330E02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51" w:type="dxa"/>
            <w:tcBorders>
              <w:top w:val="single" w:sz="4" w:space="0" w:color="000000"/>
              <w:bottom w:val="single" w:sz="4" w:space="0" w:color="000000"/>
            </w:tcBorders>
            <w:shd w:val="clear" w:color="auto" w:fill="0070C0"/>
          </w:tcPr>
          <w:p w14:paraId="0513B44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00" w:type="dxa"/>
            <w:tcBorders>
              <w:top w:val="single" w:sz="4" w:space="0" w:color="000000"/>
              <w:bottom w:val="single" w:sz="4" w:space="0" w:color="000000"/>
            </w:tcBorders>
            <w:shd w:val="clear" w:color="auto" w:fill="0070C0"/>
          </w:tcPr>
          <w:p w14:paraId="5FF7AA30"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F736FC" w14:paraId="7ED6FA3D" w14:textId="77777777">
        <w:tc>
          <w:tcPr>
            <w:tcW w:w="5554" w:type="dxa"/>
            <w:gridSpan w:val="4"/>
            <w:tcBorders>
              <w:top w:val="single" w:sz="4" w:space="0" w:color="000000"/>
              <w:bottom w:val="single" w:sz="4" w:space="0" w:color="000000"/>
            </w:tcBorders>
          </w:tcPr>
          <w:p w14:paraId="72CF5443"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w:t>
            </w:r>
          </w:p>
        </w:tc>
        <w:tc>
          <w:tcPr>
            <w:tcW w:w="515" w:type="dxa"/>
            <w:tcBorders>
              <w:top w:val="single" w:sz="4" w:space="0" w:color="000000"/>
              <w:bottom w:val="single" w:sz="4" w:space="0" w:color="000000"/>
            </w:tcBorders>
            <w:shd w:val="clear" w:color="auto" w:fill="0070C0"/>
          </w:tcPr>
          <w:p w14:paraId="16E078F7"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537" w:type="dxa"/>
            <w:tcBorders>
              <w:top w:val="single" w:sz="4" w:space="0" w:color="000000"/>
              <w:bottom w:val="single" w:sz="4" w:space="0" w:color="000000"/>
            </w:tcBorders>
            <w:shd w:val="clear" w:color="auto" w:fill="0070C0"/>
          </w:tcPr>
          <w:p w14:paraId="3C8D617D"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580" w:type="dxa"/>
            <w:tcBorders>
              <w:top w:val="single" w:sz="4" w:space="0" w:color="000000"/>
              <w:bottom w:val="single" w:sz="4" w:space="0" w:color="000000"/>
            </w:tcBorders>
            <w:shd w:val="clear" w:color="auto" w:fill="0070C0"/>
          </w:tcPr>
          <w:p w14:paraId="16E1D660"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723" w:type="dxa"/>
            <w:tcBorders>
              <w:top w:val="single" w:sz="4" w:space="0" w:color="000000"/>
              <w:bottom w:val="single" w:sz="4" w:space="0" w:color="000000"/>
            </w:tcBorders>
            <w:shd w:val="clear" w:color="auto" w:fill="00B050"/>
          </w:tcPr>
          <w:p w14:paraId="70E9CBCE"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751" w:type="dxa"/>
            <w:tcBorders>
              <w:top w:val="single" w:sz="4" w:space="0" w:color="000000"/>
              <w:bottom w:val="single" w:sz="4" w:space="0" w:color="000000"/>
            </w:tcBorders>
            <w:shd w:val="clear" w:color="auto" w:fill="0070C0"/>
          </w:tcPr>
          <w:p w14:paraId="543CA11C"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700" w:type="dxa"/>
            <w:tcBorders>
              <w:top w:val="single" w:sz="4" w:space="0" w:color="000000"/>
              <w:bottom w:val="single" w:sz="4" w:space="0" w:color="000000"/>
            </w:tcBorders>
            <w:shd w:val="clear" w:color="auto" w:fill="0070C0"/>
          </w:tcPr>
          <w:p w14:paraId="34FD9201" w14:textId="77777777" w:rsidR="00F736FC" w:rsidRDefault="00103CC2">
            <w:pPr>
              <w:keepNext/>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r>
    </w:tbl>
    <w:p w14:paraId="184AFA1D" w14:textId="77777777" w:rsidR="00F736FC" w:rsidRDefault="00103CC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*on 29-31 May 2023, and on 1-2 June 2023; </w:t>
      </w:r>
      <w:r>
        <w:rPr>
          <w:rFonts w:ascii="Times New Roman" w:eastAsia="Times New Roman" w:hAnsi="Times New Roman" w:cs="Times New Roman"/>
          <w:color w:val="00B050"/>
          <w:sz w:val="24"/>
          <w:szCs w:val="24"/>
        </w:rPr>
        <w:t>Green</w:t>
      </w:r>
      <w:r>
        <w:rPr>
          <w:rFonts w:ascii="Times New Roman" w:eastAsia="Times New Roman" w:hAnsi="Times New Roman" w:cs="Times New Roman"/>
          <w:sz w:val="24"/>
          <w:szCs w:val="24"/>
        </w:rPr>
        <w:t xml:space="preserve"> = Low (L); </w:t>
      </w:r>
      <w:r>
        <w:rPr>
          <w:rFonts w:ascii="Times New Roman" w:eastAsia="Times New Roman" w:hAnsi="Times New Roman" w:cs="Times New Roman"/>
          <w:color w:val="366091"/>
          <w:sz w:val="24"/>
          <w:szCs w:val="24"/>
        </w:rPr>
        <w:t>Blue</w:t>
      </w:r>
      <w:r>
        <w:rPr>
          <w:rFonts w:ascii="Times New Roman" w:eastAsia="Times New Roman" w:hAnsi="Times New Roman" w:cs="Times New Roman"/>
          <w:sz w:val="24"/>
          <w:szCs w:val="24"/>
        </w:rPr>
        <w:t xml:space="preserve"> = Medium (M); </w:t>
      </w:r>
      <w:r>
        <w:rPr>
          <w:rFonts w:ascii="Times New Roman" w:eastAsia="Times New Roman" w:hAnsi="Times New Roman" w:cs="Times New Roman"/>
          <w:color w:val="FF0000"/>
          <w:sz w:val="24"/>
          <w:szCs w:val="24"/>
        </w:rPr>
        <w:t>Red</w:t>
      </w:r>
      <w:r>
        <w:rPr>
          <w:rFonts w:ascii="Times New Roman" w:eastAsia="Times New Roman" w:hAnsi="Times New Roman" w:cs="Times New Roman"/>
          <w:sz w:val="24"/>
          <w:szCs w:val="24"/>
        </w:rPr>
        <w:t xml:space="preserve"> = High (H). A – </w:t>
      </w:r>
      <w:proofErr w:type="spellStart"/>
      <w:r>
        <w:rPr>
          <w:rFonts w:ascii="Times New Roman" w:eastAsia="Times New Roman" w:hAnsi="Times New Roman" w:cs="Times New Roman"/>
          <w:sz w:val="24"/>
          <w:szCs w:val="24"/>
        </w:rPr>
        <w:t>Losou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Podi</w:t>
      </w:r>
      <w:proofErr w:type="spellEnd"/>
      <w:r>
        <w:rPr>
          <w:rFonts w:ascii="Times New Roman" w:eastAsia="Times New Roman" w:hAnsi="Times New Roman" w:cs="Times New Roman"/>
          <w:sz w:val="24"/>
          <w:szCs w:val="24"/>
        </w:rPr>
        <w:t xml:space="preserve">; B – </w:t>
      </w:r>
      <w:proofErr w:type="spellStart"/>
      <w:r>
        <w:rPr>
          <w:rFonts w:ascii="Times New Roman" w:eastAsia="Times New Roman" w:hAnsi="Times New Roman" w:cs="Times New Roman"/>
          <w:sz w:val="24"/>
          <w:szCs w:val="24"/>
        </w:rPr>
        <w:t>Sayap</w:t>
      </w:r>
      <w:proofErr w:type="spellEnd"/>
      <w:r>
        <w:rPr>
          <w:rFonts w:ascii="Times New Roman" w:eastAsia="Times New Roman" w:hAnsi="Times New Roman" w:cs="Times New Roman"/>
          <w:sz w:val="24"/>
          <w:szCs w:val="24"/>
        </w:rPr>
        <w:t xml:space="preserve">; C – Poring; D – </w:t>
      </w:r>
      <w:proofErr w:type="spellStart"/>
      <w:r>
        <w:rPr>
          <w:rFonts w:ascii="Times New Roman" w:eastAsia="Times New Roman" w:hAnsi="Times New Roman" w:cs="Times New Roman"/>
          <w:sz w:val="24"/>
          <w:szCs w:val="24"/>
        </w:rPr>
        <w:t>Monggis</w:t>
      </w:r>
      <w:proofErr w:type="spellEnd"/>
      <w:r>
        <w:rPr>
          <w:rFonts w:ascii="Times New Roman" w:eastAsia="Times New Roman" w:hAnsi="Times New Roman" w:cs="Times New Roman"/>
          <w:sz w:val="24"/>
          <w:szCs w:val="24"/>
        </w:rPr>
        <w:t xml:space="preserve">; E – </w:t>
      </w:r>
      <w:proofErr w:type="spellStart"/>
      <w:r>
        <w:rPr>
          <w:rFonts w:ascii="Times New Roman" w:eastAsia="Times New Roman" w:hAnsi="Times New Roman" w:cs="Times New Roman"/>
          <w:sz w:val="24"/>
          <w:szCs w:val="24"/>
        </w:rPr>
        <w:t>Serinsim</w:t>
      </w:r>
      <w:proofErr w:type="spellEnd"/>
      <w:r>
        <w:rPr>
          <w:rFonts w:ascii="Times New Roman" w:eastAsia="Times New Roman" w:hAnsi="Times New Roman" w:cs="Times New Roman"/>
          <w:sz w:val="24"/>
          <w:szCs w:val="24"/>
        </w:rPr>
        <w:t xml:space="preserve">; F – </w:t>
      </w:r>
      <w:proofErr w:type="spellStart"/>
      <w:r>
        <w:rPr>
          <w:rFonts w:ascii="Times New Roman" w:eastAsia="Times New Roman" w:hAnsi="Times New Roman" w:cs="Times New Roman"/>
          <w:sz w:val="24"/>
          <w:szCs w:val="24"/>
        </w:rPr>
        <w:t>Nalapak</w:t>
      </w:r>
      <w:proofErr w:type="spellEnd"/>
    </w:p>
    <w:p w14:paraId="0F69D912" w14:textId="77777777" w:rsidR="00F736FC" w:rsidRDefault="00F736FC">
      <w:pPr>
        <w:spacing w:after="0" w:line="240" w:lineRule="auto"/>
        <w:ind w:firstLine="720"/>
        <w:jc w:val="both"/>
        <w:rPr>
          <w:rFonts w:ascii="Times New Roman" w:eastAsia="Times New Roman" w:hAnsi="Times New Roman" w:cs="Times New Roman"/>
          <w:sz w:val="24"/>
          <w:szCs w:val="24"/>
        </w:rPr>
      </w:pPr>
    </w:p>
    <w:p w14:paraId="6AB9334B"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Study site C is a highly popular eco-tourism area with hot spring pools contributing to high sensitivity score (Table 3). Additionally, the area attracts numerous visitors for water-based recreational activities at </w:t>
      </w:r>
      <w:proofErr w:type="spellStart"/>
      <w:r>
        <w:rPr>
          <w:rFonts w:ascii="Times New Roman" w:eastAsia="Times New Roman" w:hAnsi="Times New Roman" w:cs="Times New Roman"/>
          <w:sz w:val="24"/>
          <w:szCs w:val="24"/>
        </w:rPr>
        <w:t>Kipungit</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Langanan</w:t>
      </w:r>
      <w:proofErr w:type="spellEnd"/>
      <w:r>
        <w:rPr>
          <w:rFonts w:ascii="Times New Roman" w:eastAsia="Times New Roman" w:hAnsi="Times New Roman" w:cs="Times New Roman"/>
          <w:sz w:val="24"/>
          <w:szCs w:val="24"/>
        </w:rPr>
        <w:t xml:space="preserve"> Waterfall. The absence of restriction on visitor numbers further elevates its sensitivity level. In contrast, study sites B, D, and E which are serving as access points to several mountains, received low to medium sensitivity scores. These sites are not heavily promoted as tourist destinations due to their geographical location. Specifically Mount </w:t>
      </w:r>
      <w:proofErr w:type="spellStart"/>
      <w:r>
        <w:rPr>
          <w:rFonts w:ascii="Times New Roman" w:eastAsia="Times New Roman" w:hAnsi="Times New Roman" w:cs="Times New Roman"/>
          <w:sz w:val="24"/>
          <w:szCs w:val="24"/>
        </w:rPr>
        <w:t>Minodtuhan</w:t>
      </w:r>
      <w:proofErr w:type="spellEnd"/>
      <w:r>
        <w:rPr>
          <w:rFonts w:ascii="Times New Roman" w:eastAsia="Times New Roman" w:hAnsi="Times New Roman" w:cs="Times New Roman"/>
          <w:sz w:val="24"/>
          <w:szCs w:val="24"/>
        </w:rPr>
        <w:t xml:space="preserve"> is located at study site B, Mount </w:t>
      </w:r>
      <w:proofErr w:type="spellStart"/>
      <w:r>
        <w:rPr>
          <w:rFonts w:ascii="Times New Roman" w:eastAsia="Times New Roman" w:hAnsi="Times New Roman" w:cs="Times New Roman"/>
          <w:sz w:val="24"/>
          <w:szCs w:val="24"/>
        </w:rPr>
        <w:t>Tambuyukon</w:t>
      </w:r>
      <w:proofErr w:type="spellEnd"/>
      <w:r>
        <w:rPr>
          <w:rFonts w:ascii="Times New Roman" w:eastAsia="Times New Roman" w:hAnsi="Times New Roman" w:cs="Times New Roman"/>
          <w:sz w:val="24"/>
          <w:szCs w:val="24"/>
        </w:rPr>
        <w:t xml:space="preserve"> at study site D, and Mount </w:t>
      </w:r>
      <w:proofErr w:type="spellStart"/>
      <w:r>
        <w:rPr>
          <w:rFonts w:ascii="Times New Roman" w:eastAsia="Times New Roman" w:hAnsi="Times New Roman" w:cs="Times New Roman"/>
          <w:sz w:val="24"/>
          <w:szCs w:val="24"/>
        </w:rPr>
        <w:t>Nambuyukong</w:t>
      </w:r>
      <w:proofErr w:type="spellEnd"/>
      <w:r>
        <w:rPr>
          <w:rFonts w:ascii="Times New Roman" w:eastAsia="Times New Roman" w:hAnsi="Times New Roman" w:cs="Times New Roman"/>
          <w:sz w:val="24"/>
          <w:szCs w:val="24"/>
        </w:rPr>
        <w:t xml:space="preserve"> at study site E. The long travel distances and poor road infrastructure have contributed to the limited ecotourism activities in study site F. Study site A, which recorded almost no tourist activity, received low score for the sensitivity component.</w:t>
      </w:r>
    </w:p>
    <w:p w14:paraId="5DF1C772"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Ecotourism serves as a supplementary income generating activity for many local communities, particularly those offering cultural and nature based attractions (</w:t>
      </w:r>
      <w:proofErr w:type="spellStart"/>
      <w:r>
        <w:rPr>
          <w:rFonts w:ascii="Times New Roman" w:eastAsia="Times New Roman" w:hAnsi="Times New Roman" w:cs="Times New Roman"/>
          <w:sz w:val="24"/>
          <w:szCs w:val="24"/>
        </w:rPr>
        <w:t>Pingking</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Rosazman</w:t>
      </w:r>
      <w:proofErr w:type="spellEnd"/>
      <w:r>
        <w:rPr>
          <w:rFonts w:ascii="Times New Roman" w:eastAsia="Times New Roman" w:hAnsi="Times New Roman" w:cs="Times New Roman"/>
          <w:sz w:val="24"/>
          <w:szCs w:val="24"/>
        </w:rPr>
        <w:t xml:space="preserve">, 2020). Communities residing near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gain a benefit from the increased economic opportunities presented by ecotourism, particularly in villages situated near Mount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Mojiol</w:t>
      </w:r>
      <w:proofErr w:type="spellEnd"/>
      <w:r>
        <w:rPr>
          <w:rFonts w:ascii="Times New Roman" w:eastAsia="Times New Roman" w:hAnsi="Times New Roman" w:cs="Times New Roman"/>
          <w:sz w:val="24"/>
          <w:szCs w:val="24"/>
        </w:rPr>
        <w:t xml:space="preserve">, 2019). The popularity of Mount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as a climbing destination attracts both domestic and international tourists to the surrounding areas, leading to increased demand for accommodation in hotels and homestays offered by the local communities (</w:t>
      </w:r>
      <w:proofErr w:type="spellStart"/>
      <w:r>
        <w:rPr>
          <w:rFonts w:ascii="Times New Roman" w:eastAsia="Times New Roman" w:hAnsi="Times New Roman" w:cs="Times New Roman"/>
          <w:sz w:val="24"/>
          <w:szCs w:val="24"/>
        </w:rPr>
        <w:t>Franey</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2021). However, it is important to note that most of the study sites evaluated in this research are located outside the core ecotourism zones of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w:t>
      </w:r>
    </w:p>
    <w:p w14:paraId="1F7D3C47" w14:textId="77777777" w:rsidR="00F736FC" w:rsidRDefault="00F736FC">
      <w:pPr>
        <w:spacing w:after="0" w:line="240" w:lineRule="auto"/>
        <w:ind w:firstLine="720"/>
        <w:jc w:val="both"/>
        <w:rPr>
          <w:rFonts w:ascii="Times New Roman" w:eastAsia="Times New Roman" w:hAnsi="Times New Roman" w:cs="Times New Roman"/>
          <w:sz w:val="24"/>
          <w:szCs w:val="24"/>
        </w:rPr>
      </w:pPr>
    </w:p>
    <w:p w14:paraId="227E3DCC" w14:textId="77777777" w:rsidR="00F736FC" w:rsidRDefault="00103CC2">
      <w:pPr>
        <w:pBdr>
          <w:top w:val="nil"/>
          <w:left w:val="nil"/>
          <w:bottom w:val="nil"/>
          <w:right w:val="nil"/>
          <w:between w:val="nil"/>
        </w:pBdr>
        <w:spacing w:after="0" w:line="24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Adaptive capacity of </w:t>
      </w:r>
      <w:proofErr w:type="spellStart"/>
      <w:r>
        <w:rPr>
          <w:rFonts w:ascii="Times New Roman" w:eastAsia="Times New Roman" w:hAnsi="Times New Roman" w:cs="Times New Roman"/>
          <w:i/>
          <w:sz w:val="24"/>
          <w:szCs w:val="24"/>
        </w:rPr>
        <w:t>Araceae</w:t>
      </w:r>
      <w:proofErr w:type="spellEnd"/>
      <w:r>
        <w:rPr>
          <w:rFonts w:ascii="Times New Roman" w:eastAsia="Times New Roman" w:hAnsi="Times New Roman" w:cs="Times New Roman"/>
          <w:i/>
          <w:sz w:val="24"/>
          <w:szCs w:val="24"/>
        </w:rPr>
        <w:t xml:space="preserve"> to social-ecological activities</w:t>
      </w:r>
    </w:p>
    <w:p w14:paraId="601571F5" w14:textId="77777777" w:rsidR="00F736FC" w:rsidRDefault="00F736FC">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31C19C58" w14:textId="77777777" w:rsidR="00F736FC" w:rsidRDefault="00103CC2">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Study sites D and F demonstrated a high level of adaptive capacity, while the remaining four study sites exhibited a medium level of adaptive capacity (Table 4). </w:t>
      </w:r>
      <w:r>
        <w:rPr>
          <w:rFonts w:ascii="Times New Roman" w:eastAsia="Times New Roman" w:hAnsi="Times New Roman" w:cs="Times New Roman"/>
          <w:color w:val="0D0D0D"/>
          <w:sz w:val="24"/>
          <w:szCs w:val="24"/>
          <w:highlight w:val="white"/>
        </w:rPr>
        <w:t xml:space="preserve">Several criteria showed varying scoring, ranging from low to medium to high. These included forest types, crop types, tourist infrastructures, tourist activities, and visitor numbers. Two criteria consistently received medium scores across all sites, which are forest layer and soil texture. Three criteria showed varied scores between medium to high, which are slope, distance to the nearest river, and canopy cover. Notably, two criteria scored high across all study sites: compliance with community land use and microhabitat of wild </w:t>
      </w:r>
      <w:proofErr w:type="spellStart"/>
      <w:r>
        <w:rPr>
          <w:rFonts w:ascii="Times New Roman" w:eastAsia="Times New Roman" w:hAnsi="Times New Roman" w:cs="Times New Roman"/>
          <w:color w:val="0D0D0D"/>
          <w:sz w:val="24"/>
          <w:szCs w:val="24"/>
          <w:highlight w:val="white"/>
        </w:rPr>
        <w:t>Araceae</w:t>
      </w:r>
      <w:proofErr w:type="spellEnd"/>
      <w:r>
        <w:rPr>
          <w:rFonts w:ascii="Times New Roman" w:eastAsia="Times New Roman" w:hAnsi="Times New Roman" w:cs="Times New Roman"/>
          <w:color w:val="0D0D0D"/>
          <w:sz w:val="24"/>
          <w:szCs w:val="24"/>
          <w:highlight w:val="white"/>
        </w:rPr>
        <w:t>.</w:t>
      </w:r>
    </w:p>
    <w:p w14:paraId="6B97BBBA" w14:textId="77777777" w:rsidR="00F736FC" w:rsidRDefault="00103CC2">
      <w:pPr>
        <w:spacing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In contrast, the land use duration criterion received consistently low scores (1) for all study sites (Table 6).</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Long-term land use for agriculture has been linked to increased soil erosion and substantial ecological disruption. Based on the Community-Based Adaptation (CBA) approach, which focuses on enhancing adaptive capacity through integration of socioeconomic development with community livelihoods, such interventions can mitigate factors contributing to vulnerability </w:t>
      </w:r>
      <w:r>
        <w:rPr>
          <w:rFonts w:ascii="Times New Roman" w:eastAsia="Times New Roman" w:hAnsi="Times New Roman" w:cs="Times New Roman"/>
          <w:sz w:val="24"/>
          <w:szCs w:val="24"/>
        </w:rPr>
        <w:lastRenderedPageBreak/>
        <w:t>(Forsyth, 2013). Meanwhile, the Ecosystem-Based Adaptation (EBA) approach emphasizes climate change adaptation through the conservation and restoration of ecosystem services, offering socio-economic benefits to local communities (Locatelli et al., 2009). In this context, the application of mixed cropping systems and crop rotation can help improve soil properties and maintain nutrient availability for surrounding vegetation (</w:t>
      </w:r>
      <w:proofErr w:type="spellStart"/>
      <w:r>
        <w:rPr>
          <w:rFonts w:ascii="Times New Roman" w:eastAsia="Times New Roman" w:hAnsi="Times New Roman" w:cs="Times New Roman"/>
          <w:sz w:val="24"/>
          <w:szCs w:val="24"/>
        </w:rPr>
        <w:t>Alhameid</w:t>
      </w:r>
      <w:proofErr w:type="spellEnd"/>
      <w:r>
        <w:rPr>
          <w:rFonts w:ascii="Times New Roman" w:eastAsia="Times New Roman" w:hAnsi="Times New Roman" w:cs="Times New Roman"/>
          <w:sz w:val="24"/>
          <w:szCs w:val="24"/>
        </w:rPr>
        <w:t xml:space="preserve"> et al., 2017; </w:t>
      </w:r>
      <w:proofErr w:type="spellStart"/>
      <w:r>
        <w:rPr>
          <w:rFonts w:ascii="Times New Roman" w:eastAsia="Times New Roman" w:hAnsi="Times New Roman" w:cs="Times New Roman"/>
          <w:sz w:val="24"/>
          <w:szCs w:val="24"/>
        </w:rPr>
        <w:t>Wallenfang</w:t>
      </w:r>
      <w:proofErr w:type="spellEnd"/>
      <w:r>
        <w:rPr>
          <w:rFonts w:ascii="Times New Roman" w:eastAsia="Times New Roman" w:hAnsi="Times New Roman" w:cs="Times New Roman"/>
          <w:sz w:val="24"/>
          <w:szCs w:val="24"/>
        </w:rPr>
        <w:t xml:space="preserve"> et al., 2015). Compliance with community land use practices is high based on the Terms and Conditions for Obtaining Gardening Permits Under Section 48 (1) of the Parks Enactment 1984 (Sabah Parks, 1984). Study site A recorded the highest score for tourist infrastructure criterion (Table 4), while study sites C and E received the lowest scores, namely one. According to </w:t>
      </w:r>
      <w:proofErr w:type="spellStart"/>
      <w:r>
        <w:rPr>
          <w:rFonts w:ascii="Times New Roman" w:eastAsia="Times New Roman" w:hAnsi="Times New Roman" w:cs="Times New Roman"/>
          <w:sz w:val="24"/>
          <w:szCs w:val="24"/>
        </w:rPr>
        <w:t>Nurul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Athirah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less developed areas are considered to have higher adaptive capacity compared to more developed areas due to reduced infrastructure-related disturbances.</w:t>
      </w:r>
    </w:p>
    <w:p w14:paraId="3709ADA8" w14:textId="77777777" w:rsidR="00F736FC" w:rsidRDefault="00F736FC">
      <w:pPr>
        <w:spacing w:after="0" w:line="240" w:lineRule="auto"/>
        <w:ind w:hanging="2"/>
        <w:jc w:val="both"/>
        <w:rPr>
          <w:rFonts w:ascii="Times New Roman" w:eastAsia="Times New Roman" w:hAnsi="Times New Roman" w:cs="Times New Roman"/>
          <w:sz w:val="20"/>
          <w:szCs w:val="20"/>
        </w:rPr>
      </w:pPr>
    </w:p>
    <w:p w14:paraId="0957CCD8" w14:textId="77777777" w:rsidR="00F736FC" w:rsidRDefault="00103CC2">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6.</w:t>
      </w:r>
      <w:r>
        <w:rPr>
          <w:rFonts w:ascii="Times New Roman" w:eastAsia="Times New Roman" w:hAnsi="Times New Roman" w:cs="Times New Roman"/>
          <w:sz w:val="24"/>
          <w:szCs w:val="24"/>
        </w:rPr>
        <w:t xml:space="preserve"> Adaptive capacity scores for each study site</w:t>
      </w:r>
    </w:p>
    <w:p w14:paraId="085A2089" w14:textId="77777777" w:rsidR="00F736FC" w:rsidRDefault="00F736FC">
      <w:pPr>
        <w:spacing w:after="0" w:line="240" w:lineRule="auto"/>
        <w:ind w:hanging="2"/>
        <w:jc w:val="center"/>
        <w:rPr>
          <w:rFonts w:ascii="Times New Roman" w:eastAsia="Times New Roman" w:hAnsi="Times New Roman" w:cs="Times New Roman"/>
          <w:sz w:val="20"/>
          <w:szCs w:val="20"/>
        </w:rPr>
      </w:pPr>
    </w:p>
    <w:tbl>
      <w:tblPr>
        <w:tblStyle w:val="a5"/>
        <w:tblW w:w="9360" w:type="dxa"/>
        <w:tblBorders>
          <w:top w:val="nil"/>
          <w:left w:val="nil"/>
          <w:bottom w:val="nil"/>
          <w:right w:val="nil"/>
          <w:insideH w:val="nil"/>
          <w:insideV w:val="nil"/>
        </w:tblBorders>
        <w:tblLayout w:type="fixed"/>
        <w:tblLook w:val="0400" w:firstRow="0" w:lastRow="0" w:firstColumn="0" w:lastColumn="0" w:noHBand="0" w:noVBand="1"/>
      </w:tblPr>
      <w:tblGrid>
        <w:gridCol w:w="696"/>
        <w:gridCol w:w="601"/>
        <w:gridCol w:w="2065"/>
        <w:gridCol w:w="2029"/>
        <w:gridCol w:w="597"/>
        <w:gridCol w:w="603"/>
        <w:gridCol w:w="627"/>
        <w:gridCol w:w="715"/>
        <w:gridCol w:w="732"/>
        <w:gridCol w:w="695"/>
      </w:tblGrid>
      <w:tr w:rsidR="00F736FC" w14:paraId="7F399837" w14:textId="77777777">
        <w:tc>
          <w:tcPr>
            <w:tcW w:w="3362" w:type="dxa"/>
            <w:gridSpan w:val="3"/>
            <w:vMerge w:val="restart"/>
            <w:tcBorders>
              <w:top w:val="single" w:sz="4" w:space="0" w:color="000000"/>
            </w:tcBorders>
            <w:shd w:val="clear" w:color="auto" w:fill="8DB3E2"/>
          </w:tcPr>
          <w:p w14:paraId="049EE5BD"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Study sites adaptive capacity</w:t>
            </w:r>
          </w:p>
        </w:tc>
        <w:tc>
          <w:tcPr>
            <w:tcW w:w="2029" w:type="dxa"/>
            <w:vMerge w:val="restart"/>
            <w:tcBorders>
              <w:top w:val="single" w:sz="4" w:space="0" w:color="000000"/>
            </w:tcBorders>
            <w:shd w:val="clear" w:color="auto" w:fill="8DB3E2"/>
          </w:tcPr>
          <w:p w14:paraId="5EE03F74"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w:t>
            </w:r>
          </w:p>
        </w:tc>
        <w:tc>
          <w:tcPr>
            <w:tcW w:w="3969" w:type="dxa"/>
            <w:gridSpan w:val="6"/>
            <w:tcBorders>
              <w:top w:val="single" w:sz="4" w:space="0" w:color="000000"/>
              <w:bottom w:val="single" w:sz="4" w:space="0" w:color="000000"/>
            </w:tcBorders>
            <w:shd w:val="clear" w:color="auto" w:fill="8DB3E2"/>
          </w:tcPr>
          <w:p w14:paraId="5BEF1D08"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Study site scores</w:t>
            </w:r>
          </w:p>
        </w:tc>
      </w:tr>
      <w:tr w:rsidR="00F736FC" w14:paraId="2DFFE3A0" w14:textId="77777777">
        <w:tc>
          <w:tcPr>
            <w:tcW w:w="3362" w:type="dxa"/>
            <w:gridSpan w:val="3"/>
            <w:vMerge/>
            <w:tcBorders>
              <w:top w:val="single" w:sz="4" w:space="0" w:color="000000"/>
            </w:tcBorders>
            <w:shd w:val="clear" w:color="auto" w:fill="8DB3E2"/>
          </w:tcPr>
          <w:p w14:paraId="5F916DCA"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b/>
                <w:sz w:val="24"/>
                <w:szCs w:val="24"/>
              </w:rPr>
            </w:pPr>
          </w:p>
        </w:tc>
        <w:tc>
          <w:tcPr>
            <w:tcW w:w="2029" w:type="dxa"/>
            <w:vMerge/>
            <w:tcBorders>
              <w:top w:val="single" w:sz="4" w:space="0" w:color="000000"/>
            </w:tcBorders>
            <w:shd w:val="clear" w:color="auto" w:fill="8DB3E2"/>
          </w:tcPr>
          <w:p w14:paraId="692DC94E"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b/>
                <w:sz w:val="24"/>
                <w:szCs w:val="24"/>
              </w:rPr>
            </w:pPr>
          </w:p>
        </w:tc>
        <w:tc>
          <w:tcPr>
            <w:tcW w:w="597" w:type="dxa"/>
            <w:tcBorders>
              <w:top w:val="single" w:sz="4" w:space="0" w:color="000000"/>
              <w:bottom w:val="single" w:sz="4" w:space="0" w:color="000000"/>
            </w:tcBorders>
            <w:shd w:val="clear" w:color="auto" w:fill="8DB3E2"/>
          </w:tcPr>
          <w:p w14:paraId="1C9096E5"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603" w:type="dxa"/>
            <w:tcBorders>
              <w:top w:val="single" w:sz="4" w:space="0" w:color="000000"/>
              <w:bottom w:val="single" w:sz="4" w:space="0" w:color="000000"/>
            </w:tcBorders>
            <w:shd w:val="clear" w:color="auto" w:fill="8DB3E2"/>
          </w:tcPr>
          <w:p w14:paraId="71F995B2"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627" w:type="dxa"/>
            <w:tcBorders>
              <w:top w:val="single" w:sz="4" w:space="0" w:color="000000"/>
              <w:bottom w:val="single" w:sz="4" w:space="0" w:color="000000"/>
            </w:tcBorders>
            <w:shd w:val="clear" w:color="auto" w:fill="8DB3E2"/>
          </w:tcPr>
          <w:p w14:paraId="0EF0CAF3"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715" w:type="dxa"/>
            <w:tcBorders>
              <w:top w:val="single" w:sz="4" w:space="0" w:color="000000"/>
              <w:bottom w:val="single" w:sz="4" w:space="0" w:color="000000"/>
            </w:tcBorders>
            <w:shd w:val="clear" w:color="auto" w:fill="8DB3E2"/>
          </w:tcPr>
          <w:p w14:paraId="46A6745D"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732" w:type="dxa"/>
            <w:tcBorders>
              <w:top w:val="single" w:sz="4" w:space="0" w:color="000000"/>
              <w:bottom w:val="single" w:sz="4" w:space="0" w:color="000000"/>
            </w:tcBorders>
            <w:shd w:val="clear" w:color="auto" w:fill="8DB3E2"/>
          </w:tcPr>
          <w:p w14:paraId="7ACAF470"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695" w:type="dxa"/>
            <w:tcBorders>
              <w:top w:val="single" w:sz="4" w:space="0" w:color="000000"/>
              <w:bottom w:val="single" w:sz="4" w:space="0" w:color="000000"/>
            </w:tcBorders>
            <w:shd w:val="clear" w:color="auto" w:fill="8DB3E2"/>
          </w:tcPr>
          <w:p w14:paraId="57107907"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r>
      <w:tr w:rsidR="00F736FC" w14:paraId="3CAECDB9" w14:textId="77777777">
        <w:tc>
          <w:tcPr>
            <w:tcW w:w="696" w:type="dxa"/>
            <w:vMerge w:val="restart"/>
            <w:tcBorders>
              <w:top w:val="single" w:sz="4" w:space="0" w:color="000000"/>
            </w:tcBorders>
          </w:tcPr>
          <w:p w14:paraId="4CCC420C" w14:textId="77777777" w:rsidR="00F736FC" w:rsidRDefault="00103CC2">
            <w:pPr>
              <w:ind w:hanging="2"/>
              <w:jc w:val="center"/>
              <w:rPr>
                <w:rFonts w:ascii="Times New Roman" w:eastAsia="Times New Roman" w:hAnsi="Times New Roman" w:cs="Times New Roman"/>
                <w:b/>
                <w:sz w:val="24"/>
                <w:szCs w:val="24"/>
              </w:rPr>
            </w:pPr>
            <w:r>
              <w:rPr>
                <w:noProof/>
                <w:lang w:val="en-MY"/>
              </w:rPr>
              <mc:AlternateContent>
                <mc:Choice Requires="wps">
                  <w:drawing>
                    <wp:anchor distT="45720" distB="45720" distL="114300" distR="114300" simplePos="0" relativeHeight="251664384" behindDoc="0" locked="0" layoutInCell="1" hidden="0" allowOverlap="1" wp14:anchorId="767C6B30" wp14:editId="1E2912D1">
                      <wp:simplePos x="0" y="0"/>
                      <wp:positionH relativeFrom="column">
                        <wp:posOffset>12701</wp:posOffset>
                      </wp:positionH>
                      <wp:positionV relativeFrom="paragraph">
                        <wp:posOffset>-932179</wp:posOffset>
                      </wp:positionV>
                      <wp:extent cx="287655" cy="1157605"/>
                      <wp:effectExtent l="0" t="0" r="0" b="0"/>
                      <wp:wrapSquare wrapText="bothSides" distT="45720" distB="45720" distL="114300" distR="114300"/>
                      <wp:docPr id="1190483617" name="Rectangle 1190483617"/>
                      <wp:cNvGraphicFramePr/>
                      <a:graphic xmlns:a="http://schemas.openxmlformats.org/drawingml/2006/main">
                        <a:graphicData uri="http://schemas.microsoft.com/office/word/2010/wordprocessingShape">
                          <wps:wsp>
                            <wps:cNvSpPr/>
                            <wps:spPr>
                              <a:xfrm rot="-5400000">
                                <a:off x="4771960" y="3640935"/>
                                <a:ext cx="1148080" cy="278130"/>
                              </a:xfrm>
                              <a:prstGeom prst="rect">
                                <a:avLst/>
                              </a:prstGeom>
                              <a:solidFill>
                                <a:srgbClr val="FFFFFF"/>
                              </a:solidFill>
                              <a:ln>
                                <a:noFill/>
                              </a:ln>
                            </wps:spPr>
                            <wps:txbx>
                              <w:txbxContent>
                                <w:p w14:paraId="36B26191" w14:textId="77777777" w:rsidR="00F736FC" w:rsidRDefault="00103CC2">
                                  <w:pPr>
                                    <w:spacing w:line="275" w:lineRule="auto"/>
                                    <w:ind w:hanging="2"/>
                                    <w:jc w:val="center"/>
                                    <w:textDirection w:val="btLr"/>
                                  </w:pPr>
                                  <w:r>
                                    <w:rPr>
                                      <w:rFonts w:ascii="Georgia" w:eastAsia="Georgia" w:hAnsi="Georgia" w:cs="Georgia"/>
                                      <w:b/>
                                      <w:color w:val="000000"/>
                                      <w:sz w:val="18"/>
                                    </w:rPr>
                                    <w:t>INTRINSIC</w:t>
                                  </w:r>
                                </w:p>
                              </w:txbxContent>
                            </wps:txbx>
                            <wps:bodyPr spcFirstLastPara="1" wrap="square" lIns="91425" tIns="45700" rIns="91425" bIns="45700" anchor="t" anchorCtr="0">
                              <a:noAutofit/>
                            </wps:bodyPr>
                          </wps:wsp>
                        </a:graphicData>
                      </a:graphic>
                    </wp:anchor>
                  </w:drawing>
                </mc:Choice>
                <mc:Fallback>
                  <w:pict>
                    <v:rect w14:anchorId="767C6B30" id="Rectangle 1190483617" o:spid="_x0000_s1032" style="position:absolute;left:0;text-align:left;margin-left:1pt;margin-top:-73.4pt;width:22.65pt;height:91.15pt;rotation:-90;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" stroked="f">
                      <v:textbox inset="2.53958mm,1.2694mm,2.53958mm,1.2694mm">
                        <w:txbxContent>
                          <w:p w14:paraId="36B26191" w14:textId="77777777" w:rsidR="00F736FC" w:rsidRDefault="00103CC2">
                            <w:pPr>
                              <w:spacing w:line="275" w:lineRule="auto"/>
                              <w:ind w:hanging="2"/>
                              <w:jc w:val="center"/>
                              <w:textDirection w:val="btLr"/>
                            </w:pPr>
                            <w:r>
                              <w:rPr>
                                <w:rFonts w:ascii="Georgia" w:eastAsia="Georgia" w:hAnsi="Georgia" w:cs="Georgia"/>
                                <w:b/>
                                <w:color w:val="000000"/>
                                <w:sz w:val="18"/>
                              </w:rPr>
                              <w:t>INTRINSIC</w:t>
                            </w:r>
                          </w:p>
                        </w:txbxContent>
                      </v:textbox>
                      <w10:wrap type="square"/>
                    </v:rect>
                  </w:pict>
                </mc:Fallback>
              </mc:AlternateContent>
            </w:r>
          </w:p>
        </w:tc>
        <w:tc>
          <w:tcPr>
            <w:tcW w:w="601" w:type="dxa"/>
            <w:tcBorders>
              <w:top w:val="single" w:sz="4" w:space="0" w:color="000000"/>
            </w:tcBorders>
          </w:tcPr>
          <w:p w14:paraId="530EA6CB"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065" w:type="dxa"/>
            <w:tcBorders>
              <w:top w:val="single" w:sz="4" w:space="0" w:color="000000"/>
            </w:tcBorders>
          </w:tcPr>
          <w:p w14:paraId="74218AD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Type of forest</w:t>
            </w:r>
          </w:p>
        </w:tc>
        <w:tc>
          <w:tcPr>
            <w:tcW w:w="2029" w:type="dxa"/>
            <w:tcBorders>
              <w:top w:val="single" w:sz="4" w:space="0" w:color="000000"/>
            </w:tcBorders>
          </w:tcPr>
          <w:p w14:paraId="45D7624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 Staff</w:t>
            </w:r>
          </w:p>
        </w:tc>
        <w:tc>
          <w:tcPr>
            <w:tcW w:w="597" w:type="dxa"/>
            <w:tcBorders>
              <w:top w:val="single" w:sz="4" w:space="0" w:color="000000"/>
            </w:tcBorders>
            <w:shd w:val="clear" w:color="auto" w:fill="00B050"/>
          </w:tcPr>
          <w:p w14:paraId="72E2C68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03" w:type="dxa"/>
            <w:tcBorders>
              <w:top w:val="single" w:sz="4" w:space="0" w:color="000000"/>
            </w:tcBorders>
            <w:shd w:val="clear" w:color="auto" w:fill="00B050"/>
          </w:tcPr>
          <w:p w14:paraId="00E685A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27" w:type="dxa"/>
            <w:tcBorders>
              <w:top w:val="single" w:sz="4" w:space="0" w:color="000000"/>
            </w:tcBorders>
            <w:shd w:val="clear" w:color="auto" w:fill="FF0000"/>
          </w:tcPr>
          <w:p w14:paraId="26A321E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15" w:type="dxa"/>
            <w:tcBorders>
              <w:top w:val="single" w:sz="4" w:space="0" w:color="000000"/>
            </w:tcBorders>
            <w:shd w:val="clear" w:color="auto" w:fill="FF0000"/>
          </w:tcPr>
          <w:p w14:paraId="5B577B05"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2" w:type="dxa"/>
            <w:tcBorders>
              <w:top w:val="single" w:sz="4" w:space="0" w:color="000000"/>
            </w:tcBorders>
            <w:shd w:val="clear" w:color="auto" w:fill="00B050"/>
          </w:tcPr>
          <w:p w14:paraId="461762B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5" w:type="dxa"/>
            <w:tcBorders>
              <w:top w:val="single" w:sz="4" w:space="0" w:color="000000"/>
            </w:tcBorders>
            <w:shd w:val="clear" w:color="auto" w:fill="00B050"/>
          </w:tcPr>
          <w:p w14:paraId="0A3209C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736FC" w14:paraId="7822F90B" w14:textId="77777777">
        <w:tc>
          <w:tcPr>
            <w:tcW w:w="696" w:type="dxa"/>
            <w:vMerge/>
            <w:tcBorders>
              <w:top w:val="single" w:sz="4" w:space="0" w:color="000000"/>
            </w:tcBorders>
          </w:tcPr>
          <w:p w14:paraId="1916FA4A"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601" w:type="dxa"/>
          </w:tcPr>
          <w:p w14:paraId="218CB8AF"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065" w:type="dxa"/>
          </w:tcPr>
          <w:p w14:paraId="2E95D636"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Forest layer</w:t>
            </w:r>
          </w:p>
        </w:tc>
        <w:tc>
          <w:tcPr>
            <w:tcW w:w="2029" w:type="dxa"/>
          </w:tcPr>
          <w:p w14:paraId="454797C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w:t>
            </w:r>
          </w:p>
        </w:tc>
        <w:tc>
          <w:tcPr>
            <w:tcW w:w="597" w:type="dxa"/>
            <w:shd w:val="clear" w:color="auto" w:fill="0070C0"/>
          </w:tcPr>
          <w:p w14:paraId="6696960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03" w:type="dxa"/>
            <w:shd w:val="clear" w:color="auto" w:fill="0070C0"/>
          </w:tcPr>
          <w:p w14:paraId="3A06FB4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27" w:type="dxa"/>
            <w:shd w:val="clear" w:color="auto" w:fill="0070C0"/>
          </w:tcPr>
          <w:p w14:paraId="38E310D0"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15" w:type="dxa"/>
            <w:shd w:val="clear" w:color="auto" w:fill="0070C0"/>
          </w:tcPr>
          <w:p w14:paraId="7A08C79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2" w:type="dxa"/>
            <w:shd w:val="clear" w:color="auto" w:fill="0070C0"/>
          </w:tcPr>
          <w:p w14:paraId="3DDEB9E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5" w:type="dxa"/>
            <w:shd w:val="clear" w:color="auto" w:fill="0070C0"/>
          </w:tcPr>
          <w:p w14:paraId="248E0A04"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736FC" w14:paraId="6FE359B9" w14:textId="77777777">
        <w:tc>
          <w:tcPr>
            <w:tcW w:w="696" w:type="dxa"/>
            <w:vMerge/>
            <w:tcBorders>
              <w:top w:val="single" w:sz="4" w:space="0" w:color="000000"/>
            </w:tcBorders>
          </w:tcPr>
          <w:p w14:paraId="70B900AC"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601" w:type="dxa"/>
          </w:tcPr>
          <w:p w14:paraId="045BB30F"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065" w:type="dxa"/>
          </w:tcPr>
          <w:p w14:paraId="4CF1019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Soil texture</w:t>
            </w:r>
          </w:p>
        </w:tc>
        <w:tc>
          <w:tcPr>
            <w:tcW w:w="2029" w:type="dxa"/>
          </w:tcPr>
          <w:p w14:paraId="54D5FD94"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w:t>
            </w:r>
          </w:p>
        </w:tc>
        <w:tc>
          <w:tcPr>
            <w:tcW w:w="597" w:type="dxa"/>
            <w:shd w:val="clear" w:color="auto" w:fill="0070C0"/>
          </w:tcPr>
          <w:p w14:paraId="306DF1C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03" w:type="dxa"/>
            <w:shd w:val="clear" w:color="auto" w:fill="0070C0"/>
          </w:tcPr>
          <w:p w14:paraId="04E239E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27" w:type="dxa"/>
            <w:shd w:val="clear" w:color="auto" w:fill="0070C0"/>
          </w:tcPr>
          <w:p w14:paraId="75D483D2"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15" w:type="dxa"/>
            <w:shd w:val="clear" w:color="auto" w:fill="0070C0"/>
          </w:tcPr>
          <w:p w14:paraId="74D209D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2" w:type="dxa"/>
            <w:shd w:val="clear" w:color="auto" w:fill="0070C0"/>
          </w:tcPr>
          <w:p w14:paraId="38D19025"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5" w:type="dxa"/>
            <w:shd w:val="clear" w:color="auto" w:fill="0070C0"/>
          </w:tcPr>
          <w:p w14:paraId="5A93B714"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736FC" w14:paraId="033A9153" w14:textId="77777777">
        <w:tc>
          <w:tcPr>
            <w:tcW w:w="696" w:type="dxa"/>
            <w:vMerge/>
            <w:tcBorders>
              <w:top w:val="single" w:sz="4" w:space="0" w:color="000000"/>
            </w:tcBorders>
          </w:tcPr>
          <w:p w14:paraId="7FF5F7C7"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601" w:type="dxa"/>
          </w:tcPr>
          <w:p w14:paraId="1A2F8AF3"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065" w:type="dxa"/>
          </w:tcPr>
          <w:p w14:paraId="2CF2574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Slope (</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w:t>
            </w:r>
          </w:p>
        </w:tc>
        <w:tc>
          <w:tcPr>
            <w:tcW w:w="2029" w:type="dxa"/>
          </w:tcPr>
          <w:p w14:paraId="680B382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w:t>
            </w:r>
          </w:p>
        </w:tc>
        <w:tc>
          <w:tcPr>
            <w:tcW w:w="597" w:type="dxa"/>
            <w:shd w:val="clear" w:color="auto" w:fill="00B050"/>
          </w:tcPr>
          <w:p w14:paraId="1176FA15"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03" w:type="dxa"/>
            <w:shd w:val="clear" w:color="auto" w:fill="0070C0"/>
          </w:tcPr>
          <w:p w14:paraId="1C64A20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27" w:type="dxa"/>
            <w:shd w:val="clear" w:color="auto" w:fill="FF0000"/>
          </w:tcPr>
          <w:p w14:paraId="5BA92C2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15" w:type="dxa"/>
            <w:shd w:val="clear" w:color="auto" w:fill="FF0000"/>
          </w:tcPr>
          <w:p w14:paraId="040EC74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2" w:type="dxa"/>
            <w:shd w:val="clear" w:color="auto" w:fill="FF0000"/>
          </w:tcPr>
          <w:p w14:paraId="4600C29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95" w:type="dxa"/>
            <w:shd w:val="clear" w:color="auto" w:fill="FF0000"/>
          </w:tcPr>
          <w:p w14:paraId="2636111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736FC" w14:paraId="5D39298A" w14:textId="77777777">
        <w:tc>
          <w:tcPr>
            <w:tcW w:w="696" w:type="dxa"/>
            <w:vMerge/>
            <w:tcBorders>
              <w:top w:val="single" w:sz="4" w:space="0" w:color="000000"/>
            </w:tcBorders>
          </w:tcPr>
          <w:p w14:paraId="78E5DB31"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601" w:type="dxa"/>
          </w:tcPr>
          <w:p w14:paraId="2516CFEE"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065" w:type="dxa"/>
          </w:tcPr>
          <w:p w14:paraId="7733A1D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Distant to the closer river (m)</w:t>
            </w:r>
          </w:p>
        </w:tc>
        <w:tc>
          <w:tcPr>
            <w:tcW w:w="2029" w:type="dxa"/>
          </w:tcPr>
          <w:p w14:paraId="12D5BBA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*Staff, Field observation</w:t>
            </w:r>
          </w:p>
        </w:tc>
        <w:tc>
          <w:tcPr>
            <w:tcW w:w="597" w:type="dxa"/>
            <w:shd w:val="clear" w:color="auto" w:fill="0070C0"/>
          </w:tcPr>
          <w:p w14:paraId="2C8C049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03" w:type="dxa"/>
            <w:shd w:val="clear" w:color="auto" w:fill="FF0000"/>
          </w:tcPr>
          <w:p w14:paraId="12995E1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27" w:type="dxa"/>
            <w:shd w:val="clear" w:color="auto" w:fill="0070C0"/>
          </w:tcPr>
          <w:p w14:paraId="20BC540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15" w:type="dxa"/>
            <w:shd w:val="clear" w:color="auto" w:fill="FF0000"/>
          </w:tcPr>
          <w:p w14:paraId="73F0740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2" w:type="dxa"/>
            <w:shd w:val="clear" w:color="auto" w:fill="FF0000"/>
          </w:tcPr>
          <w:p w14:paraId="6AA0D29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95" w:type="dxa"/>
            <w:shd w:val="clear" w:color="auto" w:fill="FF0000"/>
          </w:tcPr>
          <w:p w14:paraId="36BBC9C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736FC" w14:paraId="54BFB179" w14:textId="77777777">
        <w:tc>
          <w:tcPr>
            <w:tcW w:w="696" w:type="dxa"/>
            <w:vMerge/>
            <w:tcBorders>
              <w:top w:val="single" w:sz="4" w:space="0" w:color="000000"/>
            </w:tcBorders>
          </w:tcPr>
          <w:p w14:paraId="74FB8732"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601" w:type="dxa"/>
          </w:tcPr>
          <w:p w14:paraId="707E70DD"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065" w:type="dxa"/>
          </w:tcPr>
          <w:p w14:paraId="3DBCB71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Canopy cover (% seedling)</w:t>
            </w:r>
          </w:p>
        </w:tc>
        <w:tc>
          <w:tcPr>
            <w:tcW w:w="2029" w:type="dxa"/>
          </w:tcPr>
          <w:p w14:paraId="0BC98B8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w:t>
            </w:r>
          </w:p>
        </w:tc>
        <w:tc>
          <w:tcPr>
            <w:tcW w:w="597" w:type="dxa"/>
            <w:shd w:val="clear" w:color="auto" w:fill="FF0000"/>
          </w:tcPr>
          <w:p w14:paraId="4DF9C800"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3" w:type="dxa"/>
            <w:shd w:val="clear" w:color="auto" w:fill="FF0000"/>
          </w:tcPr>
          <w:p w14:paraId="027A96A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27" w:type="dxa"/>
            <w:shd w:val="clear" w:color="auto" w:fill="0070C0"/>
          </w:tcPr>
          <w:p w14:paraId="33F302D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15" w:type="dxa"/>
            <w:shd w:val="clear" w:color="auto" w:fill="FF0000"/>
          </w:tcPr>
          <w:p w14:paraId="0CC0374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2" w:type="dxa"/>
            <w:shd w:val="clear" w:color="auto" w:fill="0070C0"/>
          </w:tcPr>
          <w:p w14:paraId="4515EC2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5" w:type="dxa"/>
            <w:shd w:val="clear" w:color="auto" w:fill="FF0000"/>
          </w:tcPr>
          <w:p w14:paraId="7512291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736FC" w14:paraId="4E668D9E" w14:textId="77777777">
        <w:tc>
          <w:tcPr>
            <w:tcW w:w="696" w:type="dxa"/>
            <w:vMerge/>
            <w:tcBorders>
              <w:top w:val="single" w:sz="4" w:space="0" w:color="000000"/>
            </w:tcBorders>
          </w:tcPr>
          <w:p w14:paraId="59083F81"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601" w:type="dxa"/>
          </w:tcPr>
          <w:p w14:paraId="2C791BD2"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2065" w:type="dxa"/>
          </w:tcPr>
          <w:p w14:paraId="3D2D069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Microhabitat</w:t>
            </w:r>
          </w:p>
        </w:tc>
        <w:tc>
          <w:tcPr>
            <w:tcW w:w="2029" w:type="dxa"/>
          </w:tcPr>
          <w:p w14:paraId="03632E72"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w:t>
            </w:r>
          </w:p>
        </w:tc>
        <w:tc>
          <w:tcPr>
            <w:tcW w:w="597" w:type="dxa"/>
            <w:shd w:val="clear" w:color="auto" w:fill="FF0000"/>
          </w:tcPr>
          <w:p w14:paraId="0EF97F7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3" w:type="dxa"/>
            <w:shd w:val="clear" w:color="auto" w:fill="FF0000"/>
          </w:tcPr>
          <w:p w14:paraId="149CC17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27" w:type="dxa"/>
            <w:shd w:val="clear" w:color="auto" w:fill="FF0000"/>
          </w:tcPr>
          <w:p w14:paraId="5CB6D10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15" w:type="dxa"/>
            <w:shd w:val="clear" w:color="auto" w:fill="FF0000"/>
          </w:tcPr>
          <w:p w14:paraId="6C7D57A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2" w:type="dxa"/>
            <w:shd w:val="clear" w:color="auto" w:fill="FF0000"/>
          </w:tcPr>
          <w:p w14:paraId="1F995DC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95" w:type="dxa"/>
            <w:shd w:val="clear" w:color="auto" w:fill="FF0000"/>
          </w:tcPr>
          <w:p w14:paraId="59AFF56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736FC" w14:paraId="131BA51E" w14:textId="77777777">
        <w:tc>
          <w:tcPr>
            <w:tcW w:w="696" w:type="dxa"/>
            <w:vMerge w:val="restart"/>
          </w:tcPr>
          <w:p w14:paraId="4F53C362" w14:textId="77777777" w:rsidR="00F736FC" w:rsidRDefault="00103CC2">
            <w:pPr>
              <w:ind w:hanging="2"/>
              <w:jc w:val="center"/>
              <w:rPr>
                <w:rFonts w:ascii="Times New Roman" w:eastAsia="Times New Roman" w:hAnsi="Times New Roman" w:cs="Times New Roman"/>
                <w:b/>
                <w:sz w:val="24"/>
                <w:szCs w:val="24"/>
              </w:rPr>
            </w:pPr>
            <w:bookmarkStart w:id="5" w:name="_heading=h.c1x2u92i5nfa" w:colFirst="0" w:colLast="0"/>
            <w:bookmarkEnd w:id="5"/>
            <w:r>
              <w:rPr>
                <w:noProof/>
                <w:lang w:val="en-MY"/>
              </w:rPr>
              <mc:AlternateContent>
                <mc:Choice Requires="wps">
                  <w:drawing>
                    <wp:anchor distT="45720" distB="45720" distL="114300" distR="114300" simplePos="0" relativeHeight="251665408" behindDoc="0" locked="0" layoutInCell="1" hidden="0" allowOverlap="1" wp14:anchorId="28C39180" wp14:editId="71B1B077">
                      <wp:simplePos x="0" y="0"/>
                      <wp:positionH relativeFrom="column">
                        <wp:posOffset>1</wp:posOffset>
                      </wp:positionH>
                      <wp:positionV relativeFrom="paragraph">
                        <wp:posOffset>-830579</wp:posOffset>
                      </wp:positionV>
                      <wp:extent cx="302895" cy="1078230"/>
                      <wp:effectExtent l="0" t="0" r="0" b="0"/>
                      <wp:wrapSquare wrapText="bothSides" distT="45720" distB="45720" distL="114300" distR="114300"/>
                      <wp:docPr id="1190483616" name="Rectangle 1190483616"/>
                      <wp:cNvGraphicFramePr/>
                      <a:graphic xmlns:a="http://schemas.openxmlformats.org/drawingml/2006/main">
                        <a:graphicData uri="http://schemas.microsoft.com/office/word/2010/wordprocessingShape">
                          <wps:wsp>
                            <wps:cNvSpPr/>
                            <wps:spPr>
                              <a:xfrm rot="-5400000">
                                <a:off x="4811648" y="3633315"/>
                                <a:ext cx="1068705" cy="293370"/>
                              </a:xfrm>
                              <a:prstGeom prst="rect">
                                <a:avLst/>
                              </a:prstGeom>
                              <a:solidFill>
                                <a:srgbClr val="FFFFFF"/>
                              </a:solidFill>
                              <a:ln>
                                <a:noFill/>
                              </a:ln>
                            </wps:spPr>
                            <wps:txbx>
                              <w:txbxContent>
                                <w:p w14:paraId="1C8CD888" w14:textId="77777777" w:rsidR="00F736FC" w:rsidRDefault="00103CC2">
                                  <w:pPr>
                                    <w:spacing w:line="275" w:lineRule="auto"/>
                                    <w:ind w:hanging="2"/>
                                    <w:jc w:val="center"/>
                                    <w:textDirection w:val="btLr"/>
                                  </w:pPr>
                                  <w:r>
                                    <w:rPr>
                                      <w:rFonts w:ascii="Georgia" w:eastAsia="Georgia" w:hAnsi="Georgia" w:cs="Georgia"/>
                                      <w:b/>
                                      <w:color w:val="000000"/>
                                      <w:sz w:val="18"/>
                                    </w:rPr>
                                    <w:t>EXTRINSIC</w:t>
                                  </w:r>
                                </w:p>
                              </w:txbxContent>
                            </wps:txbx>
                            <wps:bodyPr spcFirstLastPara="1" wrap="square" lIns="91425" tIns="45700" rIns="91425" bIns="45700" anchor="t" anchorCtr="0">
                              <a:noAutofit/>
                            </wps:bodyPr>
                          </wps:wsp>
                        </a:graphicData>
                      </a:graphic>
                    </wp:anchor>
                  </w:drawing>
                </mc:Choice>
                <mc:Fallback>
                  <w:pict>
                    <v:rect w14:anchorId="28C39180" id="Rectangle 1190483616" o:spid="_x0000_s1033" style="position:absolute;left:0;text-align:left;margin-left:0;margin-top:-65.4pt;width:23.85pt;height:84.9pt;rotation:-90;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" stroked="f">
                      <v:textbox inset="2.53958mm,1.2694mm,2.53958mm,1.2694mm">
                        <w:txbxContent>
                          <w:p w14:paraId="1C8CD888" w14:textId="77777777" w:rsidR="00F736FC" w:rsidRDefault="00103CC2">
                            <w:pPr>
                              <w:spacing w:line="275" w:lineRule="auto"/>
                              <w:ind w:hanging="2"/>
                              <w:jc w:val="center"/>
                              <w:textDirection w:val="btLr"/>
                            </w:pPr>
                            <w:r>
                              <w:rPr>
                                <w:rFonts w:ascii="Georgia" w:eastAsia="Georgia" w:hAnsi="Georgia" w:cs="Georgia"/>
                                <w:b/>
                                <w:color w:val="000000"/>
                                <w:sz w:val="18"/>
                              </w:rPr>
                              <w:t>EXTRINSIC</w:t>
                            </w:r>
                          </w:p>
                        </w:txbxContent>
                      </v:textbox>
                      <w10:wrap type="square"/>
                    </v:rect>
                  </w:pict>
                </mc:Fallback>
              </mc:AlternateContent>
            </w:r>
          </w:p>
        </w:tc>
        <w:tc>
          <w:tcPr>
            <w:tcW w:w="601" w:type="dxa"/>
          </w:tcPr>
          <w:p w14:paraId="5B7B7066"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2065" w:type="dxa"/>
          </w:tcPr>
          <w:p w14:paraId="2993E52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Years of land used</w:t>
            </w:r>
          </w:p>
        </w:tc>
        <w:tc>
          <w:tcPr>
            <w:tcW w:w="2029" w:type="dxa"/>
          </w:tcPr>
          <w:p w14:paraId="29CBCD4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Staff</w:t>
            </w:r>
          </w:p>
        </w:tc>
        <w:tc>
          <w:tcPr>
            <w:tcW w:w="597" w:type="dxa"/>
            <w:shd w:val="clear" w:color="auto" w:fill="00B050"/>
          </w:tcPr>
          <w:p w14:paraId="0A902100"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03" w:type="dxa"/>
            <w:shd w:val="clear" w:color="auto" w:fill="00B050"/>
          </w:tcPr>
          <w:p w14:paraId="564EB38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27" w:type="dxa"/>
            <w:shd w:val="clear" w:color="auto" w:fill="00B050"/>
          </w:tcPr>
          <w:p w14:paraId="244AE4B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15" w:type="dxa"/>
            <w:shd w:val="clear" w:color="auto" w:fill="00B050"/>
          </w:tcPr>
          <w:p w14:paraId="6834242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2" w:type="dxa"/>
            <w:shd w:val="clear" w:color="auto" w:fill="00B050"/>
          </w:tcPr>
          <w:p w14:paraId="335CD64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5" w:type="dxa"/>
            <w:shd w:val="clear" w:color="auto" w:fill="00B050"/>
          </w:tcPr>
          <w:p w14:paraId="0B95F66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736FC" w14:paraId="2E7E032F" w14:textId="77777777">
        <w:tc>
          <w:tcPr>
            <w:tcW w:w="696" w:type="dxa"/>
            <w:vMerge/>
          </w:tcPr>
          <w:p w14:paraId="269A2A7F"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601" w:type="dxa"/>
          </w:tcPr>
          <w:p w14:paraId="035CFF44"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2065" w:type="dxa"/>
          </w:tcPr>
          <w:p w14:paraId="21B97ED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Type of crops</w:t>
            </w:r>
          </w:p>
        </w:tc>
        <w:tc>
          <w:tcPr>
            <w:tcW w:w="2029" w:type="dxa"/>
          </w:tcPr>
          <w:p w14:paraId="6444AFB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 Community, Staff</w:t>
            </w:r>
          </w:p>
        </w:tc>
        <w:tc>
          <w:tcPr>
            <w:tcW w:w="597" w:type="dxa"/>
            <w:shd w:val="clear" w:color="auto" w:fill="00B050"/>
          </w:tcPr>
          <w:p w14:paraId="3A16BC2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03" w:type="dxa"/>
            <w:shd w:val="clear" w:color="auto" w:fill="0070C0"/>
          </w:tcPr>
          <w:p w14:paraId="153C08F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27" w:type="dxa"/>
            <w:shd w:val="clear" w:color="auto" w:fill="00B050"/>
          </w:tcPr>
          <w:p w14:paraId="3B31CB4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15" w:type="dxa"/>
            <w:shd w:val="clear" w:color="auto" w:fill="FF0000"/>
          </w:tcPr>
          <w:p w14:paraId="0050DFF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2" w:type="dxa"/>
            <w:shd w:val="clear" w:color="auto" w:fill="00B050"/>
          </w:tcPr>
          <w:p w14:paraId="39AD4A9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5" w:type="dxa"/>
            <w:shd w:val="clear" w:color="auto" w:fill="0070C0"/>
          </w:tcPr>
          <w:p w14:paraId="48137BB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736FC" w14:paraId="0CB141E6" w14:textId="77777777">
        <w:tc>
          <w:tcPr>
            <w:tcW w:w="696" w:type="dxa"/>
            <w:vMerge/>
          </w:tcPr>
          <w:p w14:paraId="334CE489"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601" w:type="dxa"/>
          </w:tcPr>
          <w:p w14:paraId="27E83A08"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2065" w:type="dxa"/>
          </w:tcPr>
          <w:p w14:paraId="13070BB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Tourist’s activities</w:t>
            </w:r>
          </w:p>
        </w:tc>
        <w:tc>
          <w:tcPr>
            <w:tcW w:w="2029" w:type="dxa"/>
          </w:tcPr>
          <w:p w14:paraId="105937E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Staff</w:t>
            </w:r>
          </w:p>
        </w:tc>
        <w:tc>
          <w:tcPr>
            <w:tcW w:w="597" w:type="dxa"/>
            <w:shd w:val="clear" w:color="auto" w:fill="0070C0"/>
          </w:tcPr>
          <w:p w14:paraId="49C2A39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03" w:type="dxa"/>
            <w:shd w:val="clear" w:color="auto" w:fill="00B050"/>
          </w:tcPr>
          <w:p w14:paraId="4B0B79D4"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27" w:type="dxa"/>
            <w:shd w:val="clear" w:color="auto" w:fill="00B050"/>
          </w:tcPr>
          <w:p w14:paraId="124D91E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15" w:type="dxa"/>
            <w:shd w:val="clear" w:color="auto" w:fill="00B050"/>
          </w:tcPr>
          <w:p w14:paraId="44E34D9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32" w:type="dxa"/>
            <w:shd w:val="clear" w:color="auto" w:fill="00B050"/>
          </w:tcPr>
          <w:p w14:paraId="5F2491AA"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5" w:type="dxa"/>
            <w:shd w:val="clear" w:color="auto" w:fill="FF0000"/>
          </w:tcPr>
          <w:p w14:paraId="18F5119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736FC" w14:paraId="79F05D03" w14:textId="77777777">
        <w:tc>
          <w:tcPr>
            <w:tcW w:w="696" w:type="dxa"/>
            <w:vMerge/>
          </w:tcPr>
          <w:p w14:paraId="0739DF30"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601" w:type="dxa"/>
          </w:tcPr>
          <w:p w14:paraId="5233E49E"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2065" w:type="dxa"/>
          </w:tcPr>
          <w:p w14:paraId="2BD6535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visitors</w:t>
            </w:r>
          </w:p>
        </w:tc>
        <w:tc>
          <w:tcPr>
            <w:tcW w:w="2029" w:type="dxa"/>
          </w:tcPr>
          <w:p w14:paraId="5849326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Staff</w:t>
            </w:r>
          </w:p>
        </w:tc>
        <w:tc>
          <w:tcPr>
            <w:tcW w:w="597" w:type="dxa"/>
            <w:shd w:val="clear" w:color="auto" w:fill="FF0000"/>
          </w:tcPr>
          <w:p w14:paraId="0B1FCA4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3" w:type="dxa"/>
            <w:shd w:val="clear" w:color="auto" w:fill="0070C0"/>
          </w:tcPr>
          <w:p w14:paraId="5D9EC680"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27" w:type="dxa"/>
            <w:shd w:val="clear" w:color="auto" w:fill="00B050"/>
          </w:tcPr>
          <w:p w14:paraId="2F3200C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15" w:type="dxa"/>
            <w:shd w:val="clear" w:color="auto" w:fill="0070C0"/>
          </w:tcPr>
          <w:p w14:paraId="2C53C74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32" w:type="dxa"/>
            <w:shd w:val="clear" w:color="auto" w:fill="00B050"/>
          </w:tcPr>
          <w:p w14:paraId="2511B0F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5" w:type="dxa"/>
            <w:shd w:val="clear" w:color="auto" w:fill="0070C0"/>
          </w:tcPr>
          <w:p w14:paraId="32BF8F7C"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F736FC" w14:paraId="05A36E68" w14:textId="77777777">
        <w:tc>
          <w:tcPr>
            <w:tcW w:w="696" w:type="dxa"/>
            <w:vMerge/>
          </w:tcPr>
          <w:p w14:paraId="152D3B8C"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601" w:type="dxa"/>
          </w:tcPr>
          <w:p w14:paraId="03521C4A"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2065" w:type="dxa"/>
          </w:tcPr>
          <w:p w14:paraId="0013FFB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Infrastructures for tourist</w:t>
            </w:r>
          </w:p>
        </w:tc>
        <w:tc>
          <w:tcPr>
            <w:tcW w:w="2029" w:type="dxa"/>
          </w:tcPr>
          <w:p w14:paraId="1A4648E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*Field observation</w:t>
            </w:r>
          </w:p>
        </w:tc>
        <w:tc>
          <w:tcPr>
            <w:tcW w:w="597" w:type="dxa"/>
            <w:shd w:val="clear" w:color="auto" w:fill="FF0000"/>
          </w:tcPr>
          <w:p w14:paraId="1568B27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3" w:type="dxa"/>
            <w:shd w:val="clear" w:color="auto" w:fill="0070C0"/>
          </w:tcPr>
          <w:p w14:paraId="6C9255B4"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27" w:type="dxa"/>
            <w:shd w:val="clear" w:color="auto" w:fill="00B050"/>
          </w:tcPr>
          <w:p w14:paraId="44EEC8DF"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15" w:type="dxa"/>
            <w:shd w:val="clear" w:color="auto" w:fill="0070C0"/>
          </w:tcPr>
          <w:p w14:paraId="179CF99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32" w:type="dxa"/>
            <w:shd w:val="clear" w:color="auto" w:fill="00B050"/>
          </w:tcPr>
          <w:p w14:paraId="7C1FE2E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95" w:type="dxa"/>
            <w:shd w:val="clear" w:color="auto" w:fill="0070C0"/>
          </w:tcPr>
          <w:p w14:paraId="6E4FC77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736FC" w14:paraId="0AEFB27B" w14:textId="77777777">
        <w:tc>
          <w:tcPr>
            <w:tcW w:w="696" w:type="dxa"/>
            <w:vMerge/>
          </w:tcPr>
          <w:p w14:paraId="69CF4759" w14:textId="77777777" w:rsidR="00F736FC" w:rsidRDefault="00F736FC">
            <w:pPr>
              <w:widowControl w:val="0"/>
              <w:pBdr>
                <w:top w:val="nil"/>
                <w:left w:val="nil"/>
                <w:bottom w:val="nil"/>
                <w:right w:val="nil"/>
                <w:between w:val="nil"/>
              </w:pBdr>
              <w:spacing w:line="276" w:lineRule="auto"/>
              <w:ind w:firstLine="0"/>
              <w:rPr>
                <w:rFonts w:ascii="Times New Roman" w:eastAsia="Times New Roman" w:hAnsi="Times New Roman" w:cs="Times New Roman"/>
                <w:sz w:val="24"/>
                <w:szCs w:val="24"/>
              </w:rPr>
            </w:pPr>
          </w:p>
        </w:tc>
        <w:tc>
          <w:tcPr>
            <w:tcW w:w="601" w:type="dxa"/>
            <w:tcBorders>
              <w:bottom w:val="single" w:sz="4" w:space="0" w:color="000000"/>
            </w:tcBorders>
          </w:tcPr>
          <w:p w14:paraId="4FF10AAE"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2065" w:type="dxa"/>
            <w:tcBorders>
              <w:bottom w:val="single" w:sz="4" w:space="0" w:color="000000"/>
            </w:tcBorders>
          </w:tcPr>
          <w:p w14:paraId="6D339DE2"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Compliance with village land use</w:t>
            </w:r>
          </w:p>
        </w:tc>
        <w:tc>
          <w:tcPr>
            <w:tcW w:w="2029" w:type="dxa"/>
            <w:tcBorders>
              <w:bottom w:val="single" w:sz="4" w:space="0" w:color="000000"/>
            </w:tcBorders>
          </w:tcPr>
          <w:p w14:paraId="703CDDC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Staff</w:t>
            </w:r>
          </w:p>
        </w:tc>
        <w:tc>
          <w:tcPr>
            <w:tcW w:w="597" w:type="dxa"/>
            <w:tcBorders>
              <w:bottom w:val="single" w:sz="4" w:space="0" w:color="000000"/>
            </w:tcBorders>
            <w:shd w:val="clear" w:color="auto" w:fill="FF0000"/>
          </w:tcPr>
          <w:p w14:paraId="6A155D6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03" w:type="dxa"/>
            <w:tcBorders>
              <w:bottom w:val="single" w:sz="4" w:space="0" w:color="000000"/>
            </w:tcBorders>
            <w:shd w:val="clear" w:color="auto" w:fill="FF0000"/>
          </w:tcPr>
          <w:p w14:paraId="50AE3713"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27" w:type="dxa"/>
            <w:tcBorders>
              <w:bottom w:val="single" w:sz="4" w:space="0" w:color="000000"/>
            </w:tcBorders>
            <w:shd w:val="clear" w:color="auto" w:fill="FF0000"/>
          </w:tcPr>
          <w:p w14:paraId="4683C63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15" w:type="dxa"/>
            <w:tcBorders>
              <w:bottom w:val="single" w:sz="4" w:space="0" w:color="000000"/>
            </w:tcBorders>
            <w:shd w:val="clear" w:color="auto" w:fill="FF0000"/>
          </w:tcPr>
          <w:p w14:paraId="4859196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32" w:type="dxa"/>
            <w:tcBorders>
              <w:bottom w:val="single" w:sz="4" w:space="0" w:color="000000"/>
            </w:tcBorders>
            <w:shd w:val="clear" w:color="auto" w:fill="FF0000"/>
          </w:tcPr>
          <w:p w14:paraId="1D307F4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95" w:type="dxa"/>
            <w:tcBorders>
              <w:bottom w:val="single" w:sz="4" w:space="0" w:color="000000"/>
            </w:tcBorders>
            <w:shd w:val="clear" w:color="auto" w:fill="FF0000"/>
          </w:tcPr>
          <w:p w14:paraId="6890829D"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736FC" w14:paraId="7584152F" w14:textId="77777777">
        <w:tc>
          <w:tcPr>
            <w:tcW w:w="5391" w:type="dxa"/>
            <w:gridSpan w:val="4"/>
            <w:tcBorders>
              <w:top w:val="single" w:sz="4" w:space="0" w:color="000000"/>
              <w:bottom w:val="single" w:sz="4" w:space="0" w:color="000000"/>
            </w:tcBorders>
          </w:tcPr>
          <w:p w14:paraId="289ECC50"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score</w:t>
            </w:r>
          </w:p>
        </w:tc>
        <w:tc>
          <w:tcPr>
            <w:tcW w:w="597" w:type="dxa"/>
            <w:tcBorders>
              <w:top w:val="single" w:sz="4" w:space="0" w:color="000000"/>
              <w:bottom w:val="single" w:sz="4" w:space="0" w:color="000000"/>
            </w:tcBorders>
            <w:shd w:val="clear" w:color="auto" w:fill="0070C0"/>
          </w:tcPr>
          <w:p w14:paraId="6F10D24E"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603" w:type="dxa"/>
            <w:tcBorders>
              <w:top w:val="single" w:sz="4" w:space="0" w:color="000000"/>
              <w:bottom w:val="single" w:sz="4" w:space="0" w:color="000000"/>
            </w:tcBorders>
            <w:shd w:val="clear" w:color="auto" w:fill="0070C0"/>
          </w:tcPr>
          <w:p w14:paraId="7360F1D8"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627" w:type="dxa"/>
            <w:tcBorders>
              <w:top w:val="single" w:sz="4" w:space="0" w:color="000000"/>
              <w:bottom w:val="single" w:sz="4" w:space="0" w:color="000000"/>
            </w:tcBorders>
            <w:shd w:val="clear" w:color="auto" w:fill="0070C0"/>
          </w:tcPr>
          <w:p w14:paraId="692AE0E1"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15" w:type="dxa"/>
            <w:tcBorders>
              <w:top w:val="single" w:sz="4" w:space="0" w:color="000000"/>
              <w:bottom w:val="single" w:sz="4" w:space="0" w:color="000000"/>
            </w:tcBorders>
            <w:shd w:val="clear" w:color="auto" w:fill="FF0000"/>
          </w:tcPr>
          <w:p w14:paraId="2D0209DB"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732" w:type="dxa"/>
            <w:tcBorders>
              <w:top w:val="single" w:sz="4" w:space="0" w:color="000000"/>
              <w:bottom w:val="single" w:sz="4" w:space="0" w:color="000000"/>
            </w:tcBorders>
            <w:shd w:val="clear" w:color="auto" w:fill="0070C0"/>
          </w:tcPr>
          <w:p w14:paraId="4240E289"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695" w:type="dxa"/>
            <w:tcBorders>
              <w:top w:val="single" w:sz="4" w:space="0" w:color="000000"/>
              <w:bottom w:val="single" w:sz="4" w:space="0" w:color="000000"/>
            </w:tcBorders>
            <w:shd w:val="clear" w:color="auto" w:fill="FF0000"/>
          </w:tcPr>
          <w:p w14:paraId="4E3F82A7" w14:textId="77777777" w:rsidR="00F736FC" w:rsidRDefault="00103CC2">
            <w:pPr>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F736FC" w14:paraId="7B0024B0" w14:textId="77777777">
        <w:tc>
          <w:tcPr>
            <w:tcW w:w="5391" w:type="dxa"/>
            <w:gridSpan w:val="4"/>
            <w:tcBorders>
              <w:top w:val="single" w:sz="4" w:space="0" w:color="000000"/>
              <w:bottom w:val="single" w:sz="4" w:space="0" w:color="000000"/>
            </w:tcBorders>
          </w:tcPr>
          <w:p w14:paraId="672DA814"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w:t>
            </w:r>
          </w:p>
        </w:tc>
        <w:tc>
          <w:tcPr>
            <w:tcW w:w="597" w:type="dxa"/>
            <w:tcBorders>
              <w:top w:val="single" w:sz="4" w:space="0" w:color="000000"/>
              <w:bottom w:val="single" w:sz="4" w:space="0" w:color="000000"/>
            </w:tcBorders>
            <w:shd w:val="clear" w:color="auto" w:fill="0070C0"/>
          </w:tcPr>
          <w:p w14:paraId="5D95F8C8"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603" w:type="dxa"/>
            <w:tcBorders>
              <w:top w:val="single" w:sz="4" w:space="0" w:color="000000"/>
              <w:bottom w:val="single" w:sz="4" w:space="0" w:color="000000"/>
            </w:tcBorders>
            <w:shd w:val="clear" w:color="auto" w:fill="0070C0"/>
          </w:tcPr>
          <w:p w14:paraId="5D75F19D"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627" w:type="dxa"/>
            <w:tcBorders>
              <w:top w:val="single" w:sz="4" w:space="0" w:color="000000"/>
              <w:bottom w:val="single" w:sz="4" w:space="0" w:color="000000"/>
            </w:tcBorders>
            <w:shd w:val="clear" w:color="auto" w:fill="0070C0"/>
          </w:tcPr>
          <w:p w14:paraId="10C2EF87"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715" w:type="dxa"/>
            <w:tcBorders>
              <w:top w:val="single" w:sz="4" w:space="0" w:color="000000"/>
              <w:bottom w:val="single" w:sz="4" w:space="0" w:color="000000"/>
            </w:tcBorders>
            <w:shd w:val="clear" w:color="auto" w:fill="FF0000"/>
          </w:tcPr>
          <w:p w14:paraId="216BB934"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w:t>
            </w:r>
          </w:p>
        </w:tc>
        <w:tc>
          <w:tcPr>
            <w:tcW w:w="732" w:type="dxa"/>
            <w:tcBorders>
              <w:top w:val="single" w:sz="4" w:space="0" w:color="000000"/>
              <w:bottom w:val="single" w:sz="4" w:space="0" w:color="000000"/>
            </w:tcBorders>
            <w:shd w:val="clear" w:color="auto" w:fill="0070C0"/>
          </w:tcPr>
          <w:p w14:paraId="3CACCB58"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695" w:type="dxa"/>
            <w:tcBorders>
              <w:top w:val="single" w:sz="4" w:space="0" w:color="000000"/>
              <w:bottom w:val="single" w:sz="4" w:space="0" w:color="000000"/>
            </w:tcBorders>
            <w:shd w:val="clear" w:color="auto" w:fill="FF0000"/>
          </w:tcPr>
          <w:p w14:paraId="4C01C570" w14:textId="77777777" w:rsidR="00F736FC" w:rsidRDefault="00103CC2">
            <w:pPr>
              <w:keepNext/>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w:t>
            </w:r>
          </w:p>
        </w:tc>
      </w:tr>
    </w:tbl>
    <w:p w14:paraId="4F8C6D52" w14:textId="77777777" w:rsidR="00F736FC" w:rsidRDefault="00103CC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*on 29-31 May 2023, and on 1-2 June 2023; </w:t>
      </w:r>
      <w:r>
        <w:rPr>
          <w:rFonts w:ascii="Times New Roman" w:eastAsia="Times New Roman" w:hAnsi="Times New Roman" w:cs="Times New Roman"/>
          <w:color w:val="00B050"/>
          <w:sz w:val="24"/>
          <w:szCs w:val="24"/>
        </w:rPr>
        <w:t>Green</w:t>
      </w:r>
      <w:r>
        <w:rPr>
          <w:rFonts w:ascii="Times New Roman" w:eastAsia="Times New Roman" w:hAnsi="Times New Roman" w:cs="Times New Roman"/>
          <w:sz w:val="24"/>
          <w:szCs w:val="24"/>
        </w:rPr>
        <w:t xml:space="preserve"> = Low (L); </w:t>
      </w:r>
      <w:r>
        <w:rPr>
          <w:rFonts w:ascii="Times New Roman" w:eastAsia="Times New Roman" w:hAnsi="Times New Roman" w:cs="Times New Roman"/>
          <w:color w:val="366091"/>
          <w:sz w:val="24"/>
          <w:szCs w:val="24"/>
        </w:rPr>
        <w:t>Blue</w:t>
      </w:r>
      <w:r>
        <w:rPr>
          <w:rFonts w:ascii="Times New Roman" w:eastAsia="Times New Roman" w:hAnsi="Times New Roman" w:cs="Times New Roman"/>
          <w:sz w:val="24"/>
          <w:szCs w:val="24"/>
        </w:rPr>
        <w:t xml:space="preserve"> = Medium (M); </w:t>
      </w:r>
      <w:r>
        <w:rPr>
          <w:rFonts w:ascii="Times New Roman" w:eastAsia="Times New Roman" w:hAnsi="Times New Roman" w:cs="Times New Roman"/>
          <w:color w:val="FF0000"/>
          <w:sz w:val="24"/>
          <w:szCs w:val="24"/>
        </w:rPr>
        <w:t>Red</w:t>
      </w:r>
      <w:r>
        <w:rPr>
          <w:rFonts w:ascii="Times New Roman" w:eastAsia="Times New Roman" w:hAnsi="Times New Roman" w:cs="Times New Roman"/>
          <w:sz w:val="24"/>
          <w:szCs w:val="24"/>
        </w:rPr>
        <w:t xml:space="preserve"> = High (H). A – </w:t>
      </w:r>
      <w:proofErr w:type="spellStart"/>
      <w:r>
        <w:rPr>
          <w:rFonts w:ascii="Times New Roman" w:eastAsia="Times New Roman" w:hAnsi="Times New Roman" w:cs="Times New Roman"/>
          <w:sz w:val="24"/>
          <w:szCs w:val="24"/>
        </w:rPr>
        <w:t>Losou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Podi</w:t>
      </w:r>
      <w:proofErr w:type="spellEnd"/>
      <w:r>
        <w:rPr>
          <w:rFonts w:ascii="Times New Roman" w:eastAsia="Times New Roman" w:hAnsi="Times New Roman" w:cs="Times New Roman"/>
          <w:sz w:val="24"/>
          <w:szCs w:val="24"/>
        </w:rPr>
        <w:t xml:space="preserve">; B – </w:t>
      </w:r>
      <w:proofErr w:type="spellStart"/>
      <w:r>
        <w:rPr>
          <w:rFonts w:ascii="Times New Roman" w:eastAsia="Times New Roman" w:hAnsi="Times New Roman" w:cs="Times New Roman"/>
          <w:sz w:val="24"/>
          <w:szCs w:val="24"/>
        </w:rPr>
        <w:t>Sayap</w:t>
      </w:r>
      <w:proofErr w:type="spellEnd"/>
      <w:r>
        <w:rPr>
          <w:rFonts w:ascii="Times New Roman" w:eastAsia="Times New Roman" w:hAnsi="Times New Roman" w:cs="Times New Roman"/>
          <w:sz w:val="24"/>
          <w:szCs w:val="24"/>
        </w:rPr>
        <w:t xml:space="preserve">; C – Poring; D – </w:t>
      </w:r>
      <w:proofErr w:type="spellStart"/>
      <w:r>
        <w:rPr>
          <w:rFonts w:ascii="Times New Roman" w:eastAsia="Times New Roman" w:hAnsi="Times New Roman" w:cs="Times New Roman"/>
          <w:sz w:val="24"/>
          <w:szCs w:val="24"/>
        </w:rPr>
        <w:t>Monggis</w:t>
      </w:r>
      <w:proofErr w:type="spellEnd"/>
      <w:r>
        <w:rPr>
          <w:rFonts w:ascii="Times New Roman" w:eastAsia="Times New Roman" w:hAnsi="Times New Roman" w:cs="Times New Roman"/>
          <w:sz w:val="24"/>
          <w:szCs w:val="24"/>
        </w:rPr>
        <w:t xml:space="preserve">; E – </w:t>
      </w:r>
      <w:proofErr w:type="spellStart"/>
      <w:r>
        <w:rPr>
          <w:rFonts w:ascii="Times New Roman" w:eastAsia="Times New Roman" w:hAnsi="Times New Roman" w:cs="Times New Roman"/>
          <w:sz w:val="24"/>
          <w:szCs w:val="24"/>
        </w:rPr>
        <w:t>Serinsim</w:t>
      </w:r>
      <w:proofErr w:type="spellEnd"/>
      <w:r>
        <w:rPr>
          <w:rFonts w:ascii="Times New Roman" w:eastAsia="Times New Roman" w:hAnsi="Times New Roman" w:cs="Times New Roman"/>
          <w:sz w:val="24"/>
          <w:szCs w:val="24"/>
        </w:rPr>
        <w:t xml:space="preserve">; F – </w:t>
      </w:r>
      <w:proofErr w:type="spellStart"/>
      <w:r>
        <w:rPr>
          <w:rFonts w:ascii="Times New Roman" w:eastAsia="Times New Roman" w:hAnsi="Times New Roman" w:cs="Times New Roman"/>
          <w:sz w:val="24"/>
          <w:szCs w:val="24"/>
        </w:rPr>
        <w:t>Nalapak</w:t>
      </w:r>
      <w:proofErr w:type="spellEnd"/>
    </w:p>
    <w:p w14:paraId="594AC684" w14:textId="77777777" w:rsidR="00F736FC" w:rsidRDefault="00F736FC">
      <w:pPr>
        <w:pBdr>
          <w:top w:val="nil"/>
          <w:left w:val="nil"/>
          <w:bottom w:val="nil"/>
          <w:right w:val="nil"/>
          <w:between w:val="nil"/>
        </w:pBdr>
        <w:spacing w:after="0" w:line="240" w:lineRule="auto"/>
        <w:ind w:firstLine="0"/>
        <w:jc w:val="both"/>
        <w:rPr>
          <w:rFonts w:ascii="Georgia" w:eastAsia="Georgia" w:hAnsi="Georgia" w:cs="Georgia"/>
        </w:rPr>
      </w:pPr>
    </w:p>
    <w:p w14:paraId="78938211" w14:textId="77777777" w:rsidR="00B71821" w:rsidRDefault="00B71821">
      <w:pPr>
        <w:pBdr>
          <w:top w:val="nil"/>
          <w:left w:val="nil"/>
          <w:bottom w:val="nil"/>
          <w:right w:val="nil"/>
          <w:between w:val="nil"/>
        </w:pBdr>
        <w:spacing w:after="0" w:line="240" w:lineRule="auto"/>
        <w:ind w:hanging="2"/>
        <w:jc w:val="both"/>
        <w:rPr>
          <w:rFonts w:ascii="Times New Roman" w:eastAsia="Times New Roman" w:hAnsi="Times New Roman" w:cs="Times New Roman"/>
          <w:i/>
          <w:sz w:val="24"/>
          <w:szCs w:val="24"/>
        </w:rPr>
      </w:pPr>
    </w:p>
    <w:p w14:paraId="626B033B" w14:textId="77777777" w:rsidR="00B71821" w:rsidRDefault="00B71821">
      <w:pPr>
        <w:pBdr>
          <w:top w:val="nil"/>
          <w:left w:val="nil"/>
          <w:bottom w:val="nil"/>
          <w:right w:val="nil"/>
          <w:between w:val="nil"/>
        </w:pBdr>
        <w:spacing w:after="0" w:line="240" w:lineRule="auto"/>
        <w:ind w:hanging="2"/>
        <w:jc w:val="both"/>
        <w:rPr>
          <w:rFonts w:ascii="Times New Roman" w:eastAsia="Times New Roman" w:hAnsi="Times New Roman" w:cs="Times New Roman"/>
          <w:i/>
          <w:sz w:val="24"/>
          <w:szCs w:val="24"/>
        </w:rPr>
      </w:pPr>
    </w:p>
    <w:p w14:paraId="24AEAD17" w14:textId="1A55A36B" w:rsidR="00F736FC" w:rsidRDefault="00103CC2">
      <w:pPr>
        <w:pBdr>
          <w:top w:val="nil"/>
          <w:left w:val="nil"/>
          <w:bottom w:val="nil"/>
          <w:right w:val="nil"/>
          <w:between w:val="nil"/>
        </w:pBdr>
        <w:spacing w:after="0" w:line="240" w:lineRule="auto"/>
        <w:ind w:hanging="2"/>
        <w:jc w:val="both"/>
        <w:rPr>
          <w:rFonts w:ascii="Times New Roman" w:eastAsia="Times New Roman" w:hAnsi="Times New Roman" w:cs="Times New Roman"/>
          <w:i/>
          <w:sz w:val="24"/>
          <w:szCs w:val="24"/>
        </w:rPr>
      </w:pPr>
      <w:bookmarkStart w:id="6" w:name="_GoBack"/>
      <w:bookmarkEnd w:id="6"/>
      <w:r>
        <w:rPr>
          <w:rFonts w:ascii="Times New Roman" w:eastAsia="Times New Roman" w:hAnsi="Times New Roman" w:cs="Times New Roman"/>
          <w:i/>
          <w:sz w:val="24"/>
          <w:szCs w:val="24"/>
        </w:rPr>
        <w:lastRenderedPageBreak/>
        <w:t xml:space="preserve">Vulnerability of </w:t>
      </w:r>
      <w:proofErr w:type="spellStart"/>
      <w:r>
        <w:rPr>
          <w:rFonts w:ascii="Times New Roman" w:eastAsia="Times New Roman" w:hAnsi="Times New Roman" w:cs="Times New Roman"/>
          <w:i/>
          <w:sz w:val="24"/>
          <w:szCs w:val="24"/>
        </w:rPr>
        <w:t>Araceae</w:t>
      </w:r>
      <w:proofErr w:type="spellEnd"/>
      <w:r>
        <w:rPr>
          <w:rFonts w:ascii="Times New Roman" w:eastAsia="Times New Roman" w:hAnsi="Times New Roman" w:cs="Times New Roman"/>
          <w:i/>
          <w:sz w:val="24"/>
          <w:szCs w:val="24"/>
        </w:rPr>
        <w:t xml:space="preserve"> to social-ecological activities</w:t>
      </w:r>
    </w:p>
    <w:p w14:paraId="5C331DDA" w14:textId="77777777" w:rsidR="00F736FC" w:rsidRDefault="00F736FC">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300D0D83" w14:textId="77777777" w:rsidR="00F736FC" w:rsidRDefault="00103CC2">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level of potential impact was obtained based on the combined results of exposure and sensitivity levels (Table 7). Study sites C and E have a medium potential impact, while study sites A, B, D, and F were categorized as having a low potential impact. These potential impact scores were subsequently cross-tabulated with adaptive capacity components to assess overall vulnerability. The analysis revealed that study sites C and E scored a medium level of vulnerability to social-ecological activities. Both study sites are frequently visited by tourists on a daily basis. Activities such as hiking and trekking through forested areas have resulted in physical damage to individual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plants and their habitats along pedestrian trails (</w:t>
      </w:r>
      <w:proofErr w:type="spellStart"/>
      <w:r>
        <w:rPr>
          <w:rFonts w:ascii="Times New Roman" w:eastAsia="Times New Roman" w:hAnsi="Times New Roman" w:cs="Times New Roman"/>
          <w:sz w:val="24"/>
          <w:szCs w:val="24"/>
        </w:rPr>
        <w:t>Normah</w:t>
      </w:r>
      <w:proofErr w:type="spellEnd"/>
      <w:r>
        <w:rPr>
          <w:rFonts w:ascii="Times New Roman" w:eastAsia="Times New Roman" w:hAnsi="Times New Roman" w:cs="Times New Roman"/>
          <w:sz w:val="24"/>
          <w:szCs w:val="24"/>
        </w:rPr>
        <w:t xml:space="preserve"> et al., 2016). </w:t>
      </w:r>
      <w:r>
        <w:rPr>
          <w:rFonts w:ascii="Times New Roman" w:eastAsia="Times New Roman" w:hAnsi="Times New Roman" w:cs="Times New Roman"/>
          <w:color w:val="0D0D0D"/>
          <w:sz w:val="24"/>
          <w:szCs w:val="24"/>
          <w:highlight w:val="white"/>
        </w:rPr>
        <w:t xml:space="preserve">However, field observations indicated that the presence of tourists did not affect </w:t>
      </w:r>
      <w:proofErr w:type="spellStart"/>
      <w:r>
        <w:rPr>
          <w:rFonts w:ascii="Times New Roman" w:eastAsia="Times New Roman" w:hAnsi="Times New Roman" w:cs="Times New Roman"/>
          <w:color w:val="0D0D0D"/>
          <w:sz w:val="24"/>
          <w:szCs w:val="24"/>
          <w:highlight w:val="white"/>
        </w:rPr>
        <w:t>Araceae</w:t>
      </w:r>
      <w:proofErr w:type="spellEnd"/>
      <w:r>
        <w:rPr>
          <w:rFonts w:ascii="Times New Roman" w:eastAsia="Times New Roman" w:hAnsi="Times New Roman" w:cs="Times New Roman"/>
          <w:color w:val="0D0D0D"/>
          <w:sz w:val="24"/>
          <w:szCs w:val="24"/>
          <w:highlight w:val="white"/>
        </w:rPr>
        <w:t xml:space="preserve"> habitats located outside of the main trekking routes</w:t>
      </w:r>
      <w:r>
        <w:rPr>
          <w:rFonts w:ascii="Times New Roman" w:eastAsia="Times New Roman" w:hAnsi="Times New Roman" w:cs="Times New Roman"/>
          <w:sz w:val="24"/>
          <w:szCs w:val="24"/>
        </w:rPr>
        <w:t xml:space="preserve"> (Figure 1: A – B).</w:t>
      </w:r>
    </w:p>
    <w:p w14:paraId="7FCC21D8" w14:textId="77777777" w:rsidR="00F736FC" w:rsidRDefault="00103CC2">
      <w:pPr>
        <w:spacing w:after="0" w:line="240" w:lineRule="auto"/>
        <w:ind w:firstLine="720"/>
        <w:jc w:val="both"/>
        <w:rPr>
          <w:rFonts w:ascii="Times New Roman" w:eastAsia="Times New Roman" w:hAnsi="Times New Roman" w:cs="Times New Roman"/>
          <w:color w:val="0D0D0D"/>
          <w:sz w:val="24"/>
          <w:szCs w:val="24"/>
          <w:highlight w:val="white"/>
        </w:rPr>
      </w:pPr>
      <w:r>
        <w:rPr>
          <w:rFonts w:ascii="Times New Roman" w:eastAsia="Times New Roman" w:hAnsi="Times New Roman" w:cs="Times New Roman"/>
          <w:color w:val="0D0D0D"/>
          <w:sz w:val="24"/>
          <w:szCs w:val="24"/>
          <w:highlight w:val="white"/>
        </w:rPr>
        <w:t xml:space="preserve">The </w:t>
      </w:r>
      <w:proofErr w:type="spellStart"/>
      <w:r>
        <w:rPr>
          <w:rFonts w:ascii="Times New Roman" w:eastAsia="Times New Roman" w:hAnsi="Times New Roman" w:cs="Times New Roman"/>
          <w:color w:val="0D0D0D"/>
          <w:sz w:val="24"/>
          <w:szCs w:val="24"/>
          <w:highlight w:val="white"/>
        </w:rPr>
        <w:t>Kinabalu</w:t>
      </w:r>
      <w:proofErr w:type="spellEnd"/>
      <w:r>
        <w:rPr>
          <w:rFonts w:ascii="Times New Roman" w:eastAsia="Times New Roman" w:hAnsi="Times New Roman" w:cs="Times New Roman"/>
          <w:color w:val="0D0D0D"/>
          <w:sz w:val="24"/>
          <w:szCs w:val="24"/>
          <w:highlight w:val="white"/>
        </w:rPr>
        <w:t xml:space="preserve"> </w:t>
      </w:r>
      <w:r>
        <w:rPr>
          <w:rFonts w:ascii="Times New Roman" w:eastAsia="Times New Roman" w:hAnsi="Times New Roman" w:cs="Times New Roman"/>
          <w:sz w:val="24"/>
          <w:szCs w:val="24"/>
        </w:rPr>
        <w:t xml:space="preserve">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color w:val="0D0D0D"/>
          <w:sz w:val="24"/>
          <w:szCs w:val="24"/>
          <w:highlight w:val="white"/>
        </w:rPr>
        <w:t xml:space="preserve"> authorities regularly enforce the Parks Enactment 1984 (Act No. 6 of 1984, State of Sabah) 2007 Amendment, (</w:t>
      </w:r>
      <w:proofErr w:type="spellStart"/>
      <w:r>
        <w:rPr>
          <w:rFonts w:ascii="Times New Roman" w:eastAsia="Times New Roman" w:hAnsi="Times New Roman" w:cs="Times New Roman"/>
          <w:color w:val="0D0D0D"/>
          <w:sz w:val="24"/>
          <w:szCs w:val="24"/>
          <w:highlight w:val="white"/>
        </w:rPr>
        <w:t>Kerajaan</w:t>
      </w:r>
      <w:proofErr w:type="spellEnd"/>
      <w:r>
        <w:rPr>
          <w:rFonts w:ascii="Times New Roman" w:eastAsia="Times New Roman" w:hAnsi="Times New Roman" w:cs="Times New Roman"/>
          <w:color w:val="0D0D0D"/>
          <w:sz w:val="24"/>
          <w:szCs w:val="24"/>
          <w:highlight w:val="white"/>
        </w:rPr>
        <w:t xml:space="preserve"> </w:t>
      </w:r>
      <w:proofErr w:type="spellStart"/>
      <w:r>
        <w:rPr>
          <w:rFonts w:ascii="Times New Roman" w:eastAsia="Times New Roman" w:hAnsi="Times New Roman" w:cs="Times New Roman"/>
          <w:color w:val="0D0D0D"/>
          <w:sz w:val="24"/>
          <w:szCs w:val="24"/>
          <w:highlight w:val="white"/>
        </w:rPr>
        <w:t>Negeri</w:t>
      </w:r>
      <w:proofErr w:type="spellEnd"/>
      <w:r>
        <w:rPr>
          <w:rFonts w:ascii="Times New Roman" w:eastAsia="Times New Roman" w:hAnsi="Times New Roman" w:cs="Times New Roman"/>
          <w:color w:val="0D0D0D"/>
          <w:sz w:val="24"/>
          <w:szCs w:val="24"/>
          <w:highlight w:val="white"/>
        </w:rPr>
        <w:t xml:space="preserve"> Sabah, 1984) by conducting regular patrols along the </w:t>
      </w:r>
      <w:proofErr w:type="spellStart"/>
      <w:r>
        <w:rPr>
          <w:rFonts w:ascii="Times New Roman" w:eastAsia="Times New Roman" w:hAnsi="Times New Roman" w:cs="Times New Roman"/>
          <w:color w:val="0D0D0D"/>
          <w:sz w:val="24"/>
          <w:szCs w:val="24"/>
          <w:highlight w:val="white"/>
        </w:rPr>
        <w:t>Kinabalu</w:t>
      </w:r>
      <w:proofErr w:type="spellEnd"/>
      <w:r>
        <w:rPr>
          <w:rFonts w:ascii="Times New Roman" w:eastAsia="Times New Roman" w:hAnsi="Times New Roman" w:cs="Times New Roman"/>
          <w:color w:val="0D0D0D"/>
          <w:sz w:val="24"/>
          <w:szCs w:val="24"/>
          <w:highlight w:val="white"/>
        </w:rPr>
        <w:t xml:space="preserve"> </w:t>
      </w:r>
      <w:r>
        <w:rPr>
          <w:rFonts w:ascii="Times New Roman" w:eastAsia="Times New Roman" w:hAnsi="Times New Roman" w:cs="Times New Roman"/>
          <w:sz w:val="24"/>
          <w:szCs w:val="24"/>
        </w:rPr>
        <w:t xml:space="preserve">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color w:val="0D0D0D"/>
          <w:sz w:val="24"/>
          <w:szCs w:val="24"/>
          <w:highlight w:val="white"/>
        </w:rPr>
        <w:t xml:space="preserve"> boundaries. Moreover, communities residing near the park’s border demonstrate a very high awareness regarding the importance of habitat conservation within the </w:t>
      </w:r>
      <w:proofErr w:type="spellStart"/>
      <w:r>
        <w:rPr>
          <w:rFonts w:ascii="Times New Roman" w:eastAsia="Times New Roman" w:hAnsi="Times New Roman" w:cs="Times New Roman"/>
          <w:color w:val="0D0D0D"/>
          <w:sz w:val="24"/>
          <w:szCs w:val="24"/>
          <w:highlight w:val="white"/>
        </w:rPr>
        <w:t>Kinabalu</w:t>
      </w:r>
      <w:proofErr w:type="spellEnd"/>
      <w:r>
        <w:rPr>
          <w:rFonts w:ascii="Times New Roman" w:eastAsia="Times New Roman" w:hAnsi="Times New Roman" w:cs="Times New Roman"/>
          <w:color w:val="0D0D0D"/>
          <w:sz w:val="24"/>
          <w:szCs w:val="24"/>
          <w:highlight w:val="white"/>
        </w:rPr>
        <w:t xml:space="preserve"> </w:t>
      </w:r>
      <w:r>
        <w:rPr>
          <w:rFonts w:ascii="Times New Roman" w:eastAsia="Times New Roman" w:hAnsi="Times New Roman" w:cs="Times New Roman"/>
          <w:sz w:val="24"/>
          <w:szCs w:val="24"/>
        </w:rPr>
        <w:t xml:space="preserve">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color w:val="0D0D0D"/>
          <w:sz w:val="24"/>
          <w:szCs w:val="24"/>
          <w:highlight w:val="white"/>
        </w:rPr>
        <w:t xml:space="preserve">. These communities comply with the Community Lot Usage regulations established by the Sabah Parks, which contributes significantly to the protection of </w:t>
      </w:r>
      <w:proofErr w:type="spellStart"/>
      <w:r>
        <w:rPr>
          <w:rFonts w:ascii="Times New Roman" w:eastAsia="Times New Roman" w:hAnsi="Times New Roman" w:cs="Times New Roman"/>
          <w:color w:val="0D0D0D"/>
          <w:sz w:val="24"/>
          <w:szCs w:val="24"/>
          <w:highlight w:val="white"/>
        </w:rPr>
        <w:t>Araceae</w:t>
      </w:r>
      <w:proofErr w:type="spellEnd"/>
      <w:r>
        <w:rPr>
          <w:rFonts w:ascii="Times New Roman" w:eastAsia="Times New Roman" w:hAnsi="Times New Roman" w:cs="Times New Roman"/>
          <w:color w:val="0D0D0D"/>
          <w:sz w:val="24"/>
          <w:szCs w:val="24"/>
          <w:highlight w:val="white"/>
        </w:rPr>
        <w:t xml:space="preserve"> habitats by minimizing direct human disturbances.</w:t>
      </w:r>
    </w:p>
    <w:p w14:paraId="553B51B4" w14:textId="77777777" w:rsidR="00F736FC" w:rsidRDefault="00F736FC">
      <w:pPr>
        <w:spacing w:after="0" w:line="240" w:lineRule="auto"/>
        <w:ind w:hanging="2"/>
        <w:jc w:val="both"/>
        <w:rPr>
          <w:rFonts w:ascii="Times New Roman" w:eastAsia="Times New Roman" w:hAnsi="Times New Roman" w:cs="Times New Roman"/>
          <w:color w:val="0D0D0D"/>
          <w:sz w:val="24"/>
          <w:szCs w:val="24"/>
          <w:highlight w:val="white"/>
        </w:rPr>
      </w:pPr>
    </w:p>
    <w:p w14:paraId="5FBA5881" w14:textId="77777777" w:rsidR="00F736FC" w:rsidRDefault="00103CC2">
      <w:pPr>
        <w:keepNext/>
        <w:pBdr>
          <w:top w:val="nil"/>
          <w:left w:val="nil"/>
          <w:bottom w:val="nil"/>
          <w:right w:val="nil"/>
          <w:between w:val="nil"/>
        </w:pBdr>
        <w:spacing w:after="0" w:line="240" w:lineRule="auto"/>
        <w:ind w:left="5" w:hanging="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w:t>
      </w:r>
      <w:r>
        <w:rPr>
          <w:rFonts w:ascii="Times New Roman" w:eastAsia="Times New Roman" w:hAnsi="Times New Roman" w:cs="Times New Roman"/>
          <w:b/>
          <w:sz w:val="24"/>
          <w:szCs w:val="24"/>
        </w:rPr>
        <w:t>7</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Vulnerability level for each study site in the </w:t>
      </w:r>
      <w:proofErr w:type="spellStart"/>
      <w:r>
        <w:rPr>
          <w:rFonts w:ascii="Times New Roman" w:eastAsia="Times New Roman" w:hAnsi="Times New Roman" w:cs="Times New Roman"/>
          <w:color w:val="000000"/>
          <w:sz w:val="24"/>
          <w:szCs w:val="24"/>
        </w:rPr>
        <w:t>Kinabalu</w:t>
      </w:r>
      <w:proofErr w:type="spellEnd"/>
      <w:r>
        <w:rPr>
          <w:rFonts w:ascii="Times New Roman" w:eastAsia="Times New Roman" w:hAnsi="Times New Roman" w:cs="Times New Roman"/>
          <w:color w:val="000000"/>
          <w:sz w:val="24"/>
          <w:szCs w:val="24"/>
        </w:rPr>
        <w:t xml:space="preserve"> Park</w:t>
      </w:r>
    </w:p>
    <w:p w14:paraId="0AE23F35" w14:textId="77777777" w:rsidR="00F736FC" w:rsidRDefault="00F736FC">
      <w:pPr>
        <w:spacing w:after="0" w:line="240" w:lineRule="auto"/>
        <w:ind w:hanging="2"/>
      </w:pPr>
    </w:p>
    <w:tbl>
      <w:tblPr>
        <w:tblStyle w:val="a6"/>
        <w:tblW w:w="9360" w:type="dxa"/>
        <w:tblBorders>
          <w:top w:val="nil"/>
          <w:left w:val="nil"/>
          <w:bottom w:val="nil"/>
          <w:right w:val="nil"/>
          <w:insideH w:val="nil"/>
          <w:insideV w:val="nil"/>
        </w:tblBorders>
        <w:tblLayout w:type="fixed"/>
        <w:tblLook w:val="0400" w:firstRow="0" w:lastRow="0" w:firstColumn="0" w:lastColumn="0" w:noHBand="0" w:noVBand="1"/>
      </w:tblPr>
      <w:tblGrid>
        <w:gridCol w:w="1907"/>
        <w:gridCol w:w="1352"/>
        <w:gridCol w:w="1447"/>
        <w:gridCol w:w="1743"/>
        <w:gridCol w:w="1350"/>
        <w:gridCol w:w="1561"/>
      </w:tblGrid>
      <w:tr w:rsidR="00F736FC" w14:paraId="762A9A84" w14:textId="77777777">
        <w:tc>
          <w:tcPr>
            <w:tcW w:w="1907" w:type="dxa"/>
            <w:tcBorders>
              <w:top w:val="single" w:sz="4" w:space="0" w:color="000000"/>
              <w:bottom w:val="single" w:sz="4" w:space="0" w:color="000000"/>
            </w:tcBorders>
          </w:tcPr>
          <w:p w14:paraId="249F8EC6"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w:t>
            </w:r>
          </w:p>
          <w:p w14:paraId="18351674"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(Study sites)</w:t>
            </w:r>
          </w:p>
        </w:tc>
        <w:tc>
          <w:tcPr>
            <w:tcW w:w="1352" w:type="dxa"/>
            <w:tcBorders>
              <w:top w:val="single" w:sz="4" w:space="0" w:color="000000"/>
              <w:bottom w:val="single" w:sz="4" w:space="0" w:color="000000"/>
            </w:tcBorders>
          </w:tcPr>
          <w:p w14:paraId="47AB0F6C"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Exposure</w:t>
            </w:r>
          </w:p>
        </w:tc>
        <w:tc>
          <w:tcPr>
            <w:tcW w:w="1447" w:type="dxa"/>
            <w:tcBorders>
              <w:top w:val="single" w:sz="4" w:space="0" w:color="000000"/>
              <w:bottom w:val="single" w:sz="4" w:space="0" w:color="000000"/>
            </w:tcBorders>
          </w:tcPr>
          <w:p w14:paraId="087B6D51"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Sensitivity</w:t>
            </w:r>
          </w:p>
        </w:tc>
        <w:tc>
          <w:tcPr>
            <w:tcW w:w="1743" w:type="dxa"/>
            <w:tcBorders>
              <w:top w:val="single" w:sz="4" w:space="0" w:color="000000"/>
              <w:bottom w:val="single" w:sz="4" w:space="0" w:color="000000"/>
            </w:tcBorders>
          </w:tcPr>
          <w:p w14:paraId="021D700E"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Potential Impact, IP (Exposure </w:t>
            </w:r>
            <w:r>
              <w:rPr>
                <w:rFonts w:ascii="Times New Roman" w:eastAsia="Times New Roman" w:hAnsi="Times New Roman" w:cs="Times New Roman"/>
                <w:b/>
                <w:i/>
                <w:sz w:val="24"/>
                <w:szCs w:val="24"/>
              </w:rPr>
              <w:t xml:space="preserve">x </w:t>
            </w:r>
            <w:r>
              <w:rPr>
                <w:rFonts w:ascii="Times New Roman" w:eastAsia="Times New Roman" w:hAnsi="Times New Roman" w:cs="Times New Roman"/>
                <w:b/>
                <w:sz w:val="24"/>
                <w:szCs w:val="24"/>
              </w:rPr>
              <w:t>sensitivity)</w:t>
            </w:r>
          </w:p>
        </w:tc>
        <w:tc>
          <w:tcPr>
            <w:tcW w:w="1350" w:type="dxa"/>
            <w:tcBorders>
              <w:top w:val="single" w:sz="4" w:space="0" w:color="000000"/>
              <w:bottom w:val="single" w:sz="4" w:space="0" w:color="000000"/>
            </w:tcBorders>
          </w:tcPr>
          <w:p w14:paraId="3E608255"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Adaptive Capacity, AC</w:t>
            </w:r>
          </w:p>
        </w:tc>
        <w:tc>
          <w:tcPr>
            <w:tcW w:w="1561" w:type="dxa"/>
            <w:tcBorders>
              <w:top w:val="single" w:sz="4" w:space="0" w:color="000000"/>
              <w:bottom w:val="single" w:sz="4" w:space="0" w:color="000000"/>
            </w:tcBorders>
          </w:tcPr>
          <w:p w14:paraId="1774C808" w14:textId="77777777" w:rsidR="00F736FC" w:rsidRDefault="00103CC2">
            <w:pPr>
              <w:ind w:hanging="2"/>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Vulnerable (IP </w:t>
            </w:r>
            <w:r>
              <w:rPr>
                <w:rFonts w:ascii="Times New Roman" w:eastAsia="Times New Roman" w:hAnsi="Times New Roman" w:cs="Times New Roman"/>
                <w:b/>
                <w:i/>
                <w:sz w:val="24"/>
                <w:szCs w:val="24"/>
              </w:rPr>
              <w:t xml:space="preserve">x </w:t>
            </w:r>
            <w:r>
              <w:rPr>
                <w:rFonts w:ascii="Times New Roman" w:eastAsia="Times New Roman" w:hAnsi="Times New Roman" w:cs="Times New Roman"/>
                <w:b/>
                <w:sz w:val="24"/>
                <w:szCs w:val="24"/>
              </w:rPr>
              <w:t>AC)</w:t>
            </w:r>
          </w:p>
        </w:tc>
      </w:tr>
      <w:tr w:rsidR="00F736FC" w14:paraId="05289170" w14:textId="77777777">
        <w:tc>
          <w:tcPr>
            <w:tcW w:w="1907" w:type="dxa"/>
            <w:tcBorders>
              <w:top w:val="single" w:sz="4" w:space="0" w:color="000000"/>
            </w:tcBorders>
          </w:tcPr>
          <w:p w14:paraId="5B76C252"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1352" w:type="dxa"/>
            <w:tcBorders>
              <w:top w:val="single" w:sz="4" w:space="0" w:color="000000"/>
            </w:tcBorders>
            <w:shd w:val="clear" w:color="auto" w:fill="00B050"/>
          </w:tcPr>
          <w:p w14:paraId="7609B41B"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1447" w:type="dxa"/>
            <w:tcBorders>
              <w:top w:val="single" w:sz="4" w:space="0" w:color="000000"/>
            </w:tcBorders>
            <w:shd w:val="clear" w:color="auto" w:fill="0070C0"/>
          </w:tcPr>
          <w:p w14:paraId="6D4F545C"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743" w:type="dxa"/>
            <w:tcBorders>
              <w:top w:val="single" w:sz="4" w:space="0" w:color="000000"/>
            </w:tcBorders>
            <w:shd w:val="clear" w:color="auto" w:fill="00B050"/>
          </w:tcPr>
          <w:p w14:paraId="176444A3"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1350" w:type="dxa"/>
            <w:tcBorders>
              <w:top w:val="single" w:sz="4" w:space="0" w:color="000000"/>
            </w:tcBorders>
            <w:shd w:val="clear" w:color="auto" w:fill="0070C0"/>
          </w:tcPr>
          <w:p w14:paraId="7CA9D463"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561" w:type="dxa"/>
            <w:tcBorders>
              <w:top w:val="single" w:sz="4" w:space="0" w:color="000000"/>
            </w:tcBorders>
            <w:shd w:val="clear" w:color="auto" w:fill="00B050"/>
          </w:tcPr>
          <w:p w14:paraId="1A45DC7E"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r>
      <w:tr w:rsidR="00F736FC" w14:paraId="6C3C2C44" w14:textId="77777777">
        <w:tc>
          <w:tcPr>
            <w:tcW w:w="1907" w:type="dxa"/>
          </w:tcPr>
          <w:p w14:paraId="006029FE"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1352" w:type="dxa"/>
            <w:shd w:val="clear" w:color="auto" w:fill="00B050"/>
          </w:tcPr>
          <w:p w14:paraId="0437A083"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1447" w:type="dxa"/>
            <w:shd w:val="clear" w:color="auto" w:fill="0070C0"/>
          </w:tcPr>
          <w:p w14:paraId="65156DA6"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743" w:type="dxa"/>
            <w:shd w:val="clear" w:color="auto" w:fill="00B050"/>
          </w:tcPr>
          <w:p w14:paraId="021C5A07"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1350" w:type="dxa"/>
            <w:shd w:val="clear" w:color="auto" w:fill="0070C0"/>
          </w:tcPr>
          <w:p w14:paraId="14B66E46"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561" w:type="dxa"/>
            <w:shd w:val="clear" w:color="auto" w:fill="00B050"/>
          </w:tcPr>
          <w:p w14:paraId="35B141F5"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r>
      <w:tr w:rsidR="00F736FC" w14:paraId="71286B62" w14:textId="77777777">
        <w:tc>
          <w:tcPr>
            <w:tcW w:w="1907" w:type="dxa"/>
          </w:tcPr>
          <w:p w14:paraId="5B7B2BDB"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1352" w:type="dxa"/>
            <w:shd w:val="clear" w:color="auto" w:fill="0070C0"/>
          </w:tcPr>
          <w:p w14:paraId="1F4E53D7"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447" w:type="dxa"/>
            <w:shd w:val="clear" w:color="auto" w:fill="0070C0"/>
          </w:tcPr>
          <w:p w14:paraId="1AF32C6F"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743" w:type="dxa"/>
            <w:shd w:val="clear" w:color="auto" w:fill="0070C0"/>
          </w:tcPr>
          <w:p w14:paraId="7DFC632E"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350" w:type="dxa"/>
            <w:shd w:val="clear" w:color="auto" w:fill="0070C0"/>
          </w:tcPr>
          <w:p w14:paraId="5675D924"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561" w:type="dxa"/>
            <w:shd w:val="clear" w:color="auto" w:fill="0070C0"/>
          </w:tcPr>
          <w:p w14:paraId="0218169E"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r>
      <w:tr w:rsidR="00F736FC" w14:paraId="1FA98A1C" w14:textId="77777777">
        <w:tc>
          <w:tcPr>
            <w:tcW w:w="1907" w:type="dxa"/>
          </w:tcPr>
          <w:p w14:paraId="36AC9374"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1352" w:type="dxa"/>
            <w:shd w:val="clear" w:color="auto" w:fill="0070C0"/>
          </w:tcPr>
          <w:p w14:paraId="15A1957F"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447" w:type="dxa"/>
            <w:shd w:val="clear" w:color="auto" w:fill="00B050"/>
          </w:tcPr>
          <w:p w14:paraId="72F0E022"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1743" w:type="dxa"/>
            <w:shd w:val="clear" w:color="auto" w:fill="00B050"/>
          </w:tcPr>
          <w:p w14:paraId="1DD35EA2"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1350" w:type="dxa"/>
            <w:shd w:val="clear" w:color="auto" w:fill="FF0000"/>
          </w:tcPr>
          <w:p w14:paraId="50E21E14"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w:t>
            </w:r>
          </w:p>
        </w:tc>
        <w:tc>
          <w:tcPr>
            <w:tcW w:w="1561" w:type="dxa"/>
            <w:shd w:val="clear" w:color="auto" w:fill="00B050"/>
          </w:tcPr>
          <w:p w14:paraId="0DA8CC12"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r>
      <w:tr w:rsidR="00F736FC" w14:paraId="1294076F" w14:textId="77777777">
        <w:tc>
          <w:tcPr>
            <w:tcW w:w="1907" w:type="dxa"/>
          </w:tcPr>
          <w:p w14:paraId="46241728"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1352" w:type="dxa"/>
            <w:shd w:val="clear" w:color="auto" w:fill="0070C0"/>
          </w:tcPr>
          <w:p w14:paraId="71994234"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447" w:type="dxa"/>
            <w:shd w:val="clear" w:color="auto" w:fill="0070C0"/>
          </w:tcPr>
          <w:p w14:paraId="1F8DBB94"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743" w:type="dxa"/>
            <w:shd w:val="clear" w:color="auto" w:fill="0070C0"/>
          </w:tcPr>
          <w:p w14:paraId="1B61EBD1"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350" w:type="dxa"/>
            <w:shd w:val="clear" w:color="auto" w:fill="0070C0"/>
          </w:tcPr>
          <w:p w14:paraId="16A07C9B"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561" w:type="dxa"/>
            <w:shd w:val="clear" w:color="auto" w:fill="0070C0"/>
          </w:tcPr>
          <w:p w14:paraId="25D90B52"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r>
      <w:tr w:rsidR="00F736FC" w14:paraId="410C8087" w14:textId="77777777">
        <w:tc>
          <w:tcPr>
            <w:tcW w:w="1907" w:type="dxa"/>
            <w:tcBorders>
              <w:bottom w:val="single" w:sz="4" w:space="0" w:color="000000"/>
            </w:tcBorders>
          </w:tcPr>
          <w:p w14:paraId="53EDDB1B"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1352" w:type="dxa"/>
            <w:tcBorders>
              <w:bottom w:val="single" w:sz="4" w:space="0" w:color="000000"/>
            </w:tcBorders>
            <w:shd w:val="clear" w:color="auto" w:fill="0070C0"/>
          </w:tcPr>
          <w:p w14:paraId="66FB73F9"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p>
        </w:tc>
        <w:tc>
          <w:tcPr>
            <w:tcW w:w="1447" w:type="dxa"/>
            <w:tcBorders>
              <w:bottom w:val="single" w:sz="4" w:space="0" w:color="000000"/>
            </w:tcBorders>
            <w:shd w:val="clear" w:color="auto" w:fill="00B050"/>
          </w:tcPr>
          <w:p w14:paraId="579CF724"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1743" w:type="dxa"/>
            <w:tcBorders>
              <w:bottom w:val="single" w:sz="4" w:space="0" w:color="000000"/>
            </w:tcBorders>
            <w:shd w:val="clear" w:color="auto" w:fill="00B050"/>
          </w:tcPr>
          <w:p w14:paraId="3BC1F832"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c>
          <w:tcPr>
            <w:tcW w:w="1350" w:type="dxa"/>
            <w:tcBorders>
              <w:bottom w:val="single" w:sz="4" w:space="0" w:color="000000"/>
            </w:tcBorders>
            <w:shd w:val="clear" w:color="auto" w:fill="FF0000"/>
          </w:tcPr>
          <w:p w14:paraId="1B5B6105"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w:t>
            </w:r>
          </w:p>
        </w:tc>
        <w:tc>
          <w:tcPr>
            <w:tcW w:w="1561" w:type="dxa"/>
            <w:tcBorders>
              <w:bottom w:val="single" w:sz="4" w:space="0" w:color="000000"/>
            </w:tcBorders>
            <w:shd w:val="clear" w:color="auto" w:fill="00B050"/>
          </w:tcPr>
          <w:p w14:paraId="1BA5C1E7" w14:textId="77777777" w:rsidR="00F736FC" w:rsidRDefault="00103CC2">
            <w:pPr>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w:t>
            </w:r>
          </w:p>
        </w:tc>
      </w:tr>
    </w:tbl>
    <w:p w14:paraId="17AB8B12" w14:textId="77777777" w:rsidR="00F736FC" w:rsidRDefault="00103CC2">
      <w:pPr>
        <w:spacing w:after="0"/>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w:t>
      </w:r>
      <w:r>
        <w:rPr>
          <w:rFonts w:ascii="Times New Roman" w:eastAsia="Times New Roman" w:hAnsi="Times New Roman" w:cs="Times New Roman"/>
          <w:color w:val="00B050"/>
          <w:sz w:val="24"/>
          <w:szCs w:val="24"/>
        </w:rPr>
        <w:t xml:space="preserve">Green </w:t>
      </w:r>
      <w:r>
        <w:rPr>
          <w:rFonts w:ascii="Times New Roman" w:eastAsia="Times New Roman" w:hAnsi="Times New Roman" w:cs="Times New Roman"/>
          <w:sz w:val="24"/>
          <w:szCs w:val="24"/>
        </w:rPr>
        <w:t xml:space="preserve">= Low (L); </w:t>
      </w:r>
      <w:r>
        <w:rPr>
          <w:rFonts w:ascii="Times New Roman" w:eastAsia="Times New Roman" w:hAnsi="Times New Roman" w:cs="Times New Roman"/>
          <w:color w:val="366091"/>
          <w:sz w:val="24"/>
          <w:szCs w:val="24"/>
        </w:rPr>
        <w:t>Blue</w:t>
      </w:r>
      <w:r>
        <w:rPr>
          <w:rFonts w:ascii="Times New Roman" w:eastAsia="Times New Roman" w:hAnsi="Times New Roman" w:cs="Times New Roman"/>
          <w:sz w:val="24"/>
          <w:szCs w:val="24"/>
        </w:rPr>
        <w:t xml:space="preserve"> = Medium (M); </w:t>
      </w:r>
      <w:r>
        <w:rPr>
          <w:rFonts w:ascii="Times New Roman" w:eastAsia="Times New Roman" w:hAnsi="Times New Roman" w:cs="Times New Roman"/>
          <w:color w:val="FF0000"/>
          <w:sz w:val="24"/>
          <w:szCs w:val="24"/>
        </w:rPr>
        <w:t>Red</w:t>
      </w:r>
      <w:r>
        <w:rPr>
          <w:rFonts w:ascii="Times New Roman" w:eastAsia="Times New Roman" w:hAnsi="Times New Roman" w:cs="Times New Roman"/>
          <w:sz w:val="24"/>
          <w:szCs w:val="24"/>
        </w:rPr>
        <w:t xml:space="preserve"> = High (H). A – </w:t>
      </w:r>
      <w:proofErr w:type="spellStart"/>
      <w:r>
        <w:rPr>
          <w:rFonts w:ascii="Times New Roman" w:eastAsia="Times New Roman" w:hAnsi="Times New Roman" w:cs="Times New Roman"/>
          <w:sz w:val="24"/>
          <w:szCs w:val="24"/>
        </w:rPr>
        <w:t>Losou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Podi</w:t>
      </w:r>
      <w:proofErr w:type="spellEnd"/>
      <w:r>
        <w:rPr>
          <w:rFonts w:ascii="Times New Roman" w:eastAsia="Times New Roman" w:hAnsi="Times New Roman" w:cs="Times New Roman"/>
          <w:sz w:val="24"/>
          <w:szCs w:val="24"/>
        </w:rPr>
        <w:t xml:space="preserve">; B – </w:t>
      </w:r>
      <w:proofErr w:type="spellStart"/>
      <w:r>
        <w:rPr>
          <w:rFonts w:ascii="Times New Roman" w:eastAsia="Times New Roman" w:hAnsi="Times New Roman" w:cs="Times New Roman"/>
          <w:sz w:val="24"/>
          <w:szCs w:val="24"/>
        </w:rPr>
        <w:t>Sayap</w:t>
      </w:r>
      <w:proofErr w:type="spellEnd"/>
      <w:r>
        <w:rPr>
          <w:rFonts w:ascii="Times New Roman" w:eastAsia="Times New Roman" w:hAnsi="Times New Roman" w:cs="Times New Roman"/>
          <w:sz w:val="24"/>
          <w:szCs w:val="24"/>
        </w:rPr>
        <w:t xml:space="preserve">; C – Poring; D – </w:t>
      </w:r>
      <w:proofErr w:type="spellStart"/>
      <w:r>
        <w:rPr>
          <w:rFonts w:ascii="Times New Roman" w:eastAsia="Times New Roman" w:hAnsi="Times New Roman" w:cs="Times New Roman"/>
          <w:sz w:val="24"/>
          <w:szCs w:val="24"/>
        </w:rPr>
        <w:t>Monggis</w:t>
      </w:r>
      <w:proofErr w:type="spellEnd"/>
      <w:r>
        <w:rPr>
          <w:rFonts w:ascii="Times New Roman" w:eastAsia="Times New Roman" w:hAnsi="Times New Roman" w:cs="Times New Roman"/>
          <w:sz w:val="24"/>
          <w:szCs w:val="24"/>
        </w:rPr>
        <w:t xml:space="preserve">; E – </w:t>
      </w:r>
      <w:proofErr w:type="spellStart"/>
      <w:r>
        <w:rPr>
          <w:rFonts w:ascii="Times New Roman" w:eastAsia="Times New Roman" w:hAnsi="Times New Roman" w:cs="Times New Roman"/>
          <w:sz w:val="24"/>
          <w:szCs w:val="24"/>
        </w:rPr>
        <w:t>Serinsim</w:t>
      </w:r>
      <w:proofErr w:type="spellEnd"/>
      <w:r>
        <w:rPr>
          <w:rFonts w:ascii="Times New Roman" w:eastAsia="Times New Roman" w:hAnsi="Times New Roman" w:cs="Times New Roman"/>
          <w:sz w:val="24"/>
          <w:szCs w:val="24"/>
        </w:rPr>
        <w:t xml:space="preserve">; F – </w:t>
      </w:r>
      <w:proofErr w:type="spellStart"/>
      <w:r>
        <w:rPr>
          <w:rFonts w:ascii="Times New Roman" w:eastAsia="Times New Roman" w:hAnsi="Times New Roman" w:cs="Times New Roman"/>
          <w:sz w:val="24"/>
          <w:szCs w:val="24"/>
        </w:rPr>
        <w:t>Nalapak</w:t>
      </w:r>
      <w:proofErr w:type="spellEnd"/>
    </w:p>
    <w:p w14:paraId="2B02E4B7" w14:textId="77777777" w:rsidR="00F736FC" w:rsidRDefault="00F736FC">
      <w:pPr>
        <w:pBdr>
          <w:top w:val="nil"/>
          <w:left w:val="nil"/>
          <w:bottom w:val="nil"/>
          <w:right w:val="nil"/>
          <w:between w:val="nil"/>
        </w:pBdr>
        <w:spacing w:after="0" w:line="360" w:lineRule="auto"/>
        <w:ind w:firstLine="0"/>
        <w:rPr>
          <w:rFonts w:ascii="Times New Roman" w:eastAsia="Times New Roman" w:hAnsi="Times New Roman" w:cs="Times New Roman"/>
          <w:b/>
          <w:color w:val="000000"/>
          <w:sz w:val="20"/>
          <w:szCs w:val="20"/>
        </w:rPr>
      </w:pPr>
    </w:p>
    <w:p w14:paraId="290D1CA5"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field observation, several human activities were found to impact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species. For example, Photo 1(A) shows </w:t>
      </w:r>
      <w:proofErr w:type="spellStart"/>
      <w:r>
        <w:rPr>
          <w:rFonts w:ascii="Times New Roman" w:eastAsia="Times New Roman" w:hAnsi="Times New Roman" w:cs="Times New Roman"/>
          <w:i/>
          <w:sz w:val="24"/>
          <w:szCs w:val="24"/>
        </w:rPr>
        <w:t>Rhaphidophora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korthalsii</w:t>
      </w:r>
      <w:proofErr w:type="spellEnd"/>
      <w:r>
        <w:rPr>
          <w:rFonts w:ascii="Times New Roman" w:eastAsia="Times New Roman" w:hAnsi="Times New Roman" w:cs="Times New Roman"/>
          <w:sz w:val="24"/>
          <w:szCs w:val="24"/>
        </w:rPr>
        <w:t xml:space="preserve"> growing in the </w:t>
      </w:r>
      <w:proofErr w:type="spellStart"/>
      <w:r>
        <w:rPr>
          <w:rFonts w:ascii="Times New Roman" w:eastAsia="Times New Roman" w:hAnsi="Times New Roman" w:cs="Times New Roman"/>
          <w:sz w:val="24"/>
          <w:szCs w:val="24"/>
        </w:rPr>
        <w:t>centre</w:t>
      </w:r>
      <w:proofErr w:type="spellEnd"/>
      <w:r>
        <w:rPr>
          <w:rFonts w:ascii="Times New Roman" w:eastAsia="Times New Roman" w:hAnsi="Times New Roman" w:cs="Times New Roman"/>
          <w:sz w:val="24"/>
          <w:szCs w:val="24"/>
        </w:rPr>
        <w:t xml:space="preserve"> of a trail and being trampled by hikers heading to Mount </w:t>
      </w:r>
      <w:proofErr w:type="spellStart"/>
      <w:r>
        <w:rPr>
          <w:rFonts w:ascii="Times New Roman" w:eastAsia="Times New Roman" w:hAnsi="Times New Roman" w:cs="Times New Roman"/>
          <w:sz w:val="24"/>
          <w:szCs w:val="24"/>
        </w:rPr>
        <w:t>Nambuyukong</w:t>
      </w:r>
      <w:proofErr w:type="spellEnd"/>
      <w:r>
        <w:rPr>
          <w:rFonts w:ascii="Times New Roman" w:eastAsia="Times New Roman" w:hAnsi="Times New Roman" w:cs="Times New Roman"/>
          <w:sz w:val="24"/>
          <w:szCs w:val="24"/>
        </w:rPr>
        <w:t xml:space="preserve">. Other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individuals, such as </w:t>
      </w:r>
      <w:proofErr w:type="spellStart"/>
      <w:r>
        <w:rPr>
          <w:rFonts w:ascii="Times New Roman" w:eastAsia="Times New Roman" w:hAnsi="Times New Roman" w:cs="Times New Roman"/>
          <w:i/>
          <w:sz w:val="24"/>
          <w:szCs w:val="24"/>
        </w:rPr>
        <w:t>Scindapsus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pictus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Schismatoglottis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sp., were also observed growing directly along pedestrian trails as shown in Photo 1(B). Natural disasters have also contributed to habitat degradation. The 2015 earthquake that struck Mount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trigger landslides in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Park, resulting in the fall of large trees and destruction of native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habitats, including </w:t>
      </w:r>
      <w:proofErr w:type="spellStart"/>
      <w:r>
        <w:rPr>
          <w:rFonts w:ascii="Times New Roman" w:eastAsia="Times New Roman" w:hAnsi="Times New Roman" w:cs="Times New Roman"/>
          <w:i/>
          <w:sz w:val="24"/>
          <w:szCs w:val="24"/>
        </w:rPr>
        <w:t>Ooia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sayapensis</w:t>
      </w:r>
      <w:proofErr w:type="spellEnd"/>
      <w:r>
        <w:rPr>
          <w:rFonts w:ascii="Times New Roman" w:eastAsia="Times New Roman" w:hAnsi="Times New Roman" w:cs="Times New Roman"/>
          <w:sz w:val="24"/>
          <w:szCs w:val="24"/>
        </w:rPr>
        <w:t xml:space="preserve"> and several </w:t>
      </w:r>
      <w:proofErr w:type="spellStart"/>
      <w:r>
        <w:rPr>
          <w:rFonts w:ascii="Times New Roman" w:eastAsia="Times New Roman" w:hAnsi="Times New Roman" w:cs="Times New Roman"/>
          <w:i/>
          <w:sz w:val="24"/>
          <w:szCs w:val="24"/>
        </w:rPr>
        <w:t>Schismatoglottis</w:t>
      </w:r>
      <w:proofErr w:type="spellEnd"/>
      <w:r>
        <w:rPr>
          <w:rFonts w:ascii="Times New Roman" w:eastAsia="Times New Roman" w:hAnsi="Times New Roman" w:cs="Times New Roman"/>
          <w:sz w:val="24"/>
          <w:szCs w:val="24"/>
        </w:rPr>
        <w:t xml:space="preserve"> species found along the </w:t>
      </w:r>
      <w:proofErr w:type="spellStart"/>
      <w:r>
        <w:rPr>
          <w:rFonts w:ascii="Times New Roman" w:eastAsia="Times New Roman" w:hAnsi="Times New Roman" w:cs="Times New Roman"/>
          <w:sz w:val="24"/>
          <w:szCs w:val="24"/>
        </w:rPr>
        <w:t>Kemantis</w:t>
      </w:r>
      <w:proofErr w:type="spellEnd"/>
      <w:r>
        <w:rPr>
          <w:rFonts w:ascii="Times New Roman" w:eastAsia="Times New Roman" w:hAnsi="Times New Roman" w:cs="Times New Roman"/>
          <w:sz w:val="24"/>
          <w:szCs w:val="24"/>
        </w:rPr>
        <w:t xml:space="preserve"> River at </w:t>
      </w:r>
      <w:proofErr w:type="spellStart"/>
      <w:r>
        <w:rPr>
          <w:rFonts w:ascii="Times New Roman" w:eastAsia="Times New Roman" w:hAnsi="Times New Roman" w:cs="Times New Roman"/>
          <w:sz w:val="24"/>
          <w:szCs w:val="24"/>
        </w:rPr>
        <w:t>Sayap</w:t>
      </w:r>
      <w:proofErr w:type="spellEnd"/>
      <w:r>
        <w:rPr>
          <w:rFonts w:ascii="Times New Roman" w:eastAsia="Times New Roman" w:hAnsi="Times New Roman" w:cs="Times New Roman"/>
          <w:sz w:val="24"/>
          <w:szCs w:val="24"/>
        </w:rPr>
        <w:t xml:space="preserve"> Substation as shown in Photo 1(C). Additionally, agricultural activities carried out by the </w:t>
      </w:r>
      <w:proofErr w:type="spellStart"/>
      <w:r>
        <w:rPr>
          <w:rFonts w:ascii="Times New Roman" w:eastAsia="Times New Roman" w:hAnsi="Times New Roman" w:cs="Times New Roman"/>
          <w:sz w:val="24"/>
          <w:szCs w:val="24"/>
        </w:rPr>
        <w:t>Sayap</w:t>
      </w:r>
      <w:proofErr w:type="spellEnd"/>
      <w:r>
        <w:rPr>
          <w:rFonts w:ascii="Times New Roman" w:eastAsia="Times New Roman" w:hAnsi="Times New Roman" w:cs="Times New Roman"/>
          <w:sz w:val="24"/>
          <w:szCs w:val="24"/>
        </w:rPr>
        <w:t xml:space="preserve"> Village community in a disputed land area have further impacted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habitats as shown in Photo 1(D).</w:t>
      </w:r>
    </w:p>
    <w:p w14:paraId="7710A973" w14:textId="77777777" w:rsidR="00F736FC" w:rsidRDefault="00F736FC">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54193DE" w14:textId="77777777" w:rsidR="00F736FC" w:rsidRDefault="00103CC2">
      <w:pPr>
        <w:keepNext/>
        <w:spacing w:after="0"/>
        <w:ind w:hanging="2"/>
        <w:jc w:val="center"/>
        <w:rPr>
          <w:rFonts w:ascii="Georgia" w:eastAsia="Georgia" w:hAnsi="Georgia" w:cs="Georgia"/>
        </w:rPr>
      </w:pPr>
      <w:r>
        <w:rPr>
          <w:rFonts w:ascii="Georgia" w:eastAsia="Georgia" w:hAnsi="Georgia" w:cs="Georgia"/>
          <w:noProof/>
          <w:lang w:val="en-MY"/>
        </w:rPr>
        <w:drawing>
          <wp:inline distT="0" distB="0" distL="0" distR="0" wp14:anchorId="48CBC4AF" wp14:editId="4C45465D">
            <wp:extent cx="6060188" cy="3614658"/>
            <wp:effectExtent l="0" t="0" r="0" b="0"/>
            <wp:docPr id="11904836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060188" cy="3614658"/>
                    </a:xfrm>
                    <a:prstGeom prst="rect">
                      <a:avLst/>
                    </a:prstGeom>
                    <a:ln/>
                  </pic:spPr>
                </pic:pic>
              </a:graphicData>
            </a:graphic>
          </wp:inline>
        </w:drawing>
      </w:r>
    </w:p>
    <w:p w14:paraId="4FD2857D" w14:textId="77777777" w:rsidR="00F736FC" w:rsidRDefault="00103CC2">
      <w:pPr>
        <w:pBdr>
          <w:top w:val="nil"/>
          <w:left w:val="nil"/>
          <w:bottom w:val="nil"/>
          <w:right w:val="nil"/>
          <w:between w:val="nil"/>
        </w:pBdr>
        <w:spacing w:after="0" w:line="240" w:lineRule="auto"/>
        <w:ind w:left="5" w:hanging="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Photo 1.</w:t>
      </w:r>
      <w:r>
        <w:rPr>
          <w:rFonts w:ascii="Times New Roman" w:eastAsia="Times New Roman" w:hAnsi="Times New Roman" w:cs="Times New Roman"/>
          <w:color w:val="000000"/>
          <w:sz w:val="24"/>
          <w:szCs w:val="24"/>
        </w:rPr>
        <w:t xml:space="preserve"> A – Impact of footprints on the stem of </w:t>
      </w:r>
      <w:proofErr w:type="spellStart"/>
      <w:r>
        <w:rPr>
          <w:rFonts w:ascii="Times New Roman" w:eastAsia="Times New Roman" w:hAnsi="Times New Roman" w:cs="Times New Roman"/>
          <w:i/>
          <w:color w:val="000000"/>
          <w:sz w:val="24"/>
          <w:szCs w:val="24"/>
        </w:rPr>
        <w:t>Rhaphidophora</w:t>
      </w:r>
      <w:proofErr w:type="spellEnd"/>
      <w:r>
        <w:rPr>
          <w:rFonts w:ascii="Times New Roman" w:eastAsia="Times New Roman" w:hAnsi="Times New Roman" w:cs="Times New Roman"/>
          <w:color w:val="000000"/>
          <w:sz w:val="24"/>
          <w:szCs w:val="24"/>
        </w:rPr>
        <w:t xml:space="preserve"> sp. along the trail at site E. </w:t>
      </w:r>
    </w:p>
    <w:p w14:paraId="5A57DE15" w14:textId="77777777" w:rsidR="00F736FC" w:rsidRDefault="00103CC2">
      <w:pPr>
        <w:spacing w:after="0" w:line="240" w:lineRule="auto"/>
        <w:ind w:left="85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 Some individuals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(highlighted in red circles) found along the trail to    </w:t>
      </w:r>
      <w:proofErr w:type="spellStart"/>
      <w:r>
        <w:rPr>
          <w:rFonts w:ascii="Times New Roman" w:eastAsia="Times New Roman" w:hAnsi="Times New Roman" w:cs="Times New Roman"/>
          <w:sz w:val="24"/>
          <w:szCs w:val="24"/>
        </w:rPr>
        <w:t>Nambuyukong</w:t>
      </w:r>
      <w:proofErr w:type="spellEnd"/>
      <w:r>
        <w:rPr>
          <w:rFonts w:ascii="Times New Roman" w:eastAsia="Times New Roman" w:hAnsi="Times New Roman" w:cs="Times New Roman"/>
          <w:sz w:val="24"/>
          <w:szCs w:val="24"/>
        </w:rPr>
        <w:t xml:space="preserve"> at site E.</w:t>
      </w:r>
    </w:p>
    <w:p w14:paraId="77EFA504" w14:textId="77777777" w:rsidR="00F736FC" w:rsidRDefault="00103CC2">
      <w:pPr>
        <w:spacing w:after="0" w:line="240" w:lineRule="auto"/>
        <w:ind w:left="851"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 The condition of the </w:t>
      </w:r>
      <w:proofErr w:type="spellStart"/>
      <w:r>
        <w:rPr>
          <w:rFonts w:ascii="Times New Roman" w:eastAsia="Times New Roman" w:hAnsi="Times New Roman" w:cs="Times New Roman"/>
          <w:sz w:val="24"/>
          <w:szCs w:val="24"/>
        </w:rPr>
        <w:t>Kemantis</w:t>
      </w:r>
      <w:proofErr w:type="spellEnd"/>
      <w:r>
        <w:rPr>
          <w:rFonts w:ascii="Times New Roman" w:eastAsia="Times New Roman" w:hAnsi="Times New Roman" w:cs="Times New Roman"/>
          <w:sz w:val="24"/>
          <w:szCs w:val="24"/>
        </w:rPr>
        <w:t xml:space="preserve"> River at site B, which is a habitat for several wild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species such as </w:t>
      </w:r>
      <w:proofErr w:type="spellStart"/>
      <w:r>
        <w:rPr>
          <w:rFonts w:ascii="Times New Roman" w:eastAsia="Times New Roman" w:hAnsi="Times New Roman" w:cs="Times New Roman"/>
          <w:i/>
          <w:sz w:val="24"/>
          <w:szCs w:val="24"/>
        </w:rPr>
        <w:t>Ooia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sayapensis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Rhaphidophora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korthalsii</w:t>
      </w:r>
      <w:proofErr w:type="spellEnd"/>
      <w:r>
        <w:rPr>
          <w:rFonts w:ascii="Times New Roman" w:eastAsia="Times New Roman" w:hAnsi="Times New Roman" w:cs="Times New Roman"/>
          <w:sz w:val="24"/>
          <w:szCs w:val="24"/>
        </w:rPr>
        <w:t>, is disrupted by fallen trees due to the effects of a landslide.</w:t>
      </w:r>
    </w:p>
    <w:p w14:paraId="3F9A7F0B" w14:textId="77777777" w:rsidR="00F736FC" w:rsidRDefault="00103CC2">
      <w:pPr>
        <w:spacing w:after="0" w:line="240" w:lineRule="auto"/>
        <w:ind w:left="849"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 Agricultural areas cultivated by the community within the disputed area (site B).</w:t>
      </w:r>
    </w:p>
    <w:p w14:paraId="250894C0" w14:textId="77777777" w:rsidR="00F736FC" w:rsidRDefault="00F736FC">
      <w:pPr>
        <w:spacing w:after="0" w:line="240" w:lineRule="auto"/>
        <w:ind w:hanging="2"/>
        <w:jc w:val="center"/>
        <w:rPr>
          <w:rFonts w:ascii="Times New Roman" w:eastAsia="Times New Roman" w:hAnsi="Times New Roman" w:cs="Times New Roman"/>
        </w:rPr>
      </w:pPr>
    </w:p>
    <w:p w14:paraId="553F55BA" w14:textId="77777777" w:rsidR="00F736FC" w:rsidRDefault="00F736FC">
      <w:pPr>
        <w:spacing w:after="0" w:line="240" w:lineRule="auto"/>
        <w:ind w:hanging="2"/>
        <w:jc w:val="center"/>
        <w:rPr>
          <w:rFonts w:ascii="Times New Roman" w:eastAsia="Times New Roman" w:hAnsi="Times New Roman" w:cs="Times New Roman"/>
        </w:rPr>
      </w:pPr>
    </w:p>
    <w:p w14:paraId="79C8A173" w14:textId="77777777" w:rsidR="00F736FC" w:rsidRDefault="00103CC2">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14:paraId="20E6B3A9" w14:textId="77777777" w:rsidR="00F736FC" w:rsidRDefault="00F736FC">
      <w:pPr>
        <w:spacing w:after="0" w:line="240" w:lineRule="auto"/>
        <w:ind w:hanging="2"/>
        <w:rPr>
          <w:rFonts w:ascii="Times New Roman" w:eastAsia="Times New Roman" w:hAnsi="Times New Roman" w:cs="Times New Roman"/>
          <w:sz w:val="24"/>
          <w:szCs w:val="24"/>
        </w:rPr>
      </w:pPr>
    </w:p>
    <w:p w14:paraId="4D873009" w14:textId="77777777" w:rsidR="00F736FC" w:rsidRDefault="00103CC2">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six study sites, only two study sites (Poring and </w:t>
      </w:r>
      <w:proofErr w:type="spellStart"/>
      <w:r>
        <w:rPr>
          <w:rFonts w:ascii="Times New Roman" w:eastAsia="Times New Roman" w:hAnsi="Times New Roman" w:cs="Times New Roman"/>
          <w:sz w:val="24"/>
          <w:szCs w:val="24"/>
        </w:rPr>
        <w:t>Serinsim</w:t>
      </w:r>
      <w:proofErr w:type="spellEnd"/>
      <w:r>
        <w:rPr>
          <w:rFonts w:ascii="Times New Roman" w:eastAsia="Times New Roman" w:hAnsi="Times New Roman" w:cs="Times New Roman"/>
          <w:sz w:val="24"/>
          <w:szCs w:val="24"/>
        </w:rPr>
        <w:t xml:space="preserve">) indicate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habitat has medium vulnerability to social-ecology, based on medium scores for both potential impact and adaptive capacity. Meanwhile, the remaining four study sites (</w:t>
      </w:r>
      <w:proofErr w:type="spellStart"/>
      <w:r>
        <w:rPr>
          <w:rFonts w:ascii="Times New Roman" w:eastAsia="Times New Roman" w:hAnsi="Times New Roman" w:cs="Times New Roman"/>
          <w:sz w:val="24"/>
          <w:szCs w:val="24"/>
        </w:rPr>
        <w:t>Losou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Monggis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Nalapak</w:t>
      </w:r>
      <w:proofErr w:type="spellEnd"/>
      <w:r>
        <w:rPr>
          <w:rFonts w:ascii="Times New Roman" w:eastAsia="Times New Roman" w:hAnsi="Times New Roman" w:cs="Times New Roman"/>
          <w:sz w:val="24"/>
          <w:szCs w:val="24"/>
        </w:rPr>
        <w:t xml:space="preserve">) showed a low vulnerability to social-ecology. </w:t>
      </w:r>
      <w:proofErr w:type="spellStart"/>
      <w:r>
        <w:rPr>
          <w:rFonts w:ascii="Times New Roman" w:eastAsia="Times New Roman" w:hAnsi="Times New Roman" w:cs="Times New Roman"/>
          <w:sz w:val="24"/>
          <w:szCs w:val="24"/>
        </w:rPr>
        <w:t>Monggis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Nalapak</w:t>
      </w:r>
      <w:proofErr w:type="spellEnd"/>
      <w:r>
        <w:rPr>
          <w:rFonts w:ascii="Times New Roman" w:eastAsia="Times New Roman" w:hAnsi="Times New Roman" w:cs="Times New Roman"/>
          <w:sz w:val="24"/>
          <w:szCs w:val="24"/>
        </w:rPr>
        <w:t xml:space="preserve"> exhibited low potential impact, but with high adaptive capacity. While </w:t>
      </w:r>
      <w:proofErr w:type="spellStart"/>
      <w:r>
        <w:rPr>
          <w:rFonts w:ascii="Times New Roman" w:eastAsia="Times New Roman" w:hAnsi="Times New Roman" w:cs="Times New Roman"/>
          <w:sz w:val="24"/>
          <w:szCs w:val="24"/>
        </w:rPr>
        <w:t>Losou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Podi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Sayap</w:t>
      </w:r>
      <w:proofErr w:type="spellEnd"/>
      <w:r>
        <w:rPr>
          <w:rFonts w:ascii="Times New Roman" w:eastAsia="Times New Roman" w:hAnsi="Times New Roman" w:cs="Times New Roman"/>
          <w:sz w:val="24"/>
          <w:szCs w:val="24"/>
        </w:rPr>
        <w:t xml:space="preserve"> show low potential impact, combined with medium adaptive capacity.</w:t>
      </w:r>
    </w:p>
    <w:p w14:paraId="564ABAB6"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study sites are located within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area and under the jurisdiction of Sabah Parks. The presence of strict park regulations, along with strong community awareness regarding habitat protection, appears to contribute to the relatively low to medium levels of climate vulnerability observed across the study areas. Additionally, the geographical setting at the base of Mount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results in relatively uniform environmental conditions, which may have influenced these findings. However, this assessment mainly relied on secondary data and field observations, with limited quantitative ecological and climatic data available for the specific habitat requirements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species in the study sites. This data </w:t>
      </w:r>
      <w:r>
        <w:rPr>
          <w:rFonts w:ascii="Times New Roman" w:eastAsia="Times New Roman" w:hAnsi="Times New Roman" w:cs="Times New Roman"/>
          <w:sz w:val="24"/>
          <w:szCs w:val="24"/>
        </w:rPr>
        <w:lastRenderedPageBreak/>
        <w:t xml:space="preserve">limitation may have influenced the accuracy of vulnerability scoring.  A more comprehensive assessment, including species-level ecological data, </w:t>
      </w:r>
      <w:proofErr w:type="spellStart"/>
      <w:r>
        <w:rPr>
          <w:rFonts w:ascii="Times New Roman" w:eastAsia="Times New Roman" w:hAnsi="Times New Roman" w:cs="Times New Roman"/>
          <w:sz w:val="24"/>
          <w:szCs w:val="24"/>
        </w:rPr>
        <w:t>phenological</w:t>
      </w:r>
      <w:proofErr w:type="spellEnd"/>
      <w:r>
        <w:rPr>
          <w:rFonts w:ascii="Times New Roman" w:eastAsia="Times New Roman" w:hAnsi="Times New Roman" w:cs="Times New Roman"/>
          <w:sz w:val="24"/>
          <w:szCs w:val="24"/>
        </w:rPr>
        <w:t xml:space="preserve"> monitoring, and long-term environmental data is necessary for a more robust evaluation. It is also possible that the actual vulnerability level is higher than currently estimated, particularly in the absence of sustainable human activity management within these ecosystems.</w:t>
      </w:r>
    </w:p>
    <w:p w14:paraId="0BE9B21C"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Sabah Parks play an important role in protection and preservation of the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and other plants within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However, the lack of detailed species inventories and ecological studies represents a significant gap. Future research should aim to close these gaps through collaborative efforts between researchers, local communities, and conservation authorities. By adopting a holistic and adaptive management framework, integrating both scientific and community driven approaches, the vulnerability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to social-ecological activities pressures can be effectively mitigated to ensure the long term survival of this ecologically and culturally valuable plant. </w:t>
      </w:r>
    </w:p>
    <w:p w14:paraId="1F62956B" w14:textId="77777777" w:rsidR="00F736FC" w:rsidRDefault="00103CC2">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strengthen the conservation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within the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Global </w:t>
      </w:r>
      <w:proofErr w:type="spellStart"/>
      <w:r>
        <w:rPr>
          <w:rFonts w:ascii="Times New Roman" w:eastAsia="Times New Roman" w:hAnsi="Times New Roman" w:cs="Times New Roman"/>
          <w:sz w:val="24"/>
          <w:szCs w:val="24"/>
        </w:rPr>
        <w:t>Geopark</w:t>
      </w:r>
      <w:proofErr w:type="spellEnd"/>
      <w:r>
        <w:rPr>
          <w:rFonts w:ascii="Times New Roman" w:eastAsia="Times New Roman" w:hAnsi="Times New Roman" w:cs="Times New Roman"/>
          <w:sz w:val="24"/>
          <w:szCs w:val="24"/>
        </w:rPr>
        <w:t xml:space="preserve">, several strategic actions should be implemented. First, the development of a centralized database that documents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diversity, distribution, and ecological preferences is essential for supporting species-specific conservation planning. This effort should be complemented by regular biodiversity assessments to track population trends and monitor habitat changes, especially in relation to climate variability and land-use transformation. In parallel, environmental education and outreach programs must be enhanced within local communities to encourage sustainable use practices and promote stewardship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rich habitats. The adoption of Ecosystem-Based Adaptation (EBA) strategies, including forest restoration and the protection of ecological corridors, can also enhance overall ecosystem resilience. Additionally, Community-Based Adaptation (CBA) initiatives that integrate traditional ecological knowledge with scientific insights will ensure that conservation efforts are aligned with local socio-cultural values and livelihoods. Finally, the establishment of species-specific conservation zones or micro reserves, particularly in medium vulnerability sites such as Poring and </w:t>
      </w:r>
      <w:proofErr w:type="spellStart"/>
      <w:r>
        <w:rPr>
          <w:rFonts w:ascii="Times New Roman" w:eastAsia="Times New Roman" w:hAnsi="Times New Roman" w:cs="Times New Roman"/>
          <w:sz w:val="24"/>
          <w:szCs w:val="24"/>
        </w:rPr>
        <w:t>Serinsim</w:t>
      </w:r>
      <w:proofErr w:type="spellEnd"/>
      <w:r>
        <w:rPr>
          <w:rFonts w:ascii="Times New Roman" w:eastAsia="Times New Roman" w:hAnsi="Times New Roman" w:cs="Times New Roman"/>
          <w:sz w:val="24"/>
          <w:szCs w:val="24"/>
        </w:rPr>
        <w:t xml:space="preserve">, is critical to safeguard threatened or endemic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taxa.</w:t>
      </w:r>
    </w:p>
    <w:p w14:paraId="240AFB05" w14:textId="77777777" w:rsidR="00F736FC" w:rsidRDefault="00F736FC">
      <w:pPr>
        <w:spacing w:after="0" w:line="240" w:lineRule="auto"/>
        <w:ind w:hanging="2"/>
        <w:rPr>
          <w:rFonts w:ascii="Times New Roman" w:eastAsia="Times New Roman" w:hAnsi="Times New Roman" w:cs="Times New Roman"/>
          <w:sz w:val="24"/>
          <w:szCs w:val="24"/>
        </w:rPr>
      </w:pPr>
    </w:p>
    <w:p w14:paraId="544CBDCA" w14:textId="77777777" w:rsidR="00F736FC" w:rsidRDefault="00F736FC">
      <w:pPr>
        <w:spacing w:after="0" w:line="240" w:lineRule="auto"/>
        <w:ind w:hanging="2"/>
        <w:rPr>
          <w:rFonts w:ascii="Times New Roman" w:eastAsia="Times New Roman" w:hAnsi="Times New Roman" w:cs="Times New Roman"/>
          <w:sz w:val="24"/>
          <w:szCs w:val="24"/>
        </w:rPr>
      </w:pPr>
    </w:p>
    <w:p w14:paraId="1F19D975" w14:textId="77777777" w:rsidR="00F736FC" w:rsidRDefault="00103CC2">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Acknowledgement </w:t>
      </w:r>
    </w:p>
    <w:p w14:paraId="3DB826A2" w14:textId="77777777" w:rsidR="00F736FC" w:rsidRDefault="00103CC2">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AEF97B" w14:textId="77777777" w:rsidR="00F736FC" w:rsidRDefault="00103CC2">
      <w:pPr>
        <w:spacing w:after="0" w:line="240" w:lineRule="auto"/>
        <w:ind w:hanging="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study was funded by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Malaysia Sabah through Skim Dana NIC (SDN 22102) and </w:t>
      </w:r>
      <w:r>
        <w:rPr>
          <w:rFonts w:ascii="Times New Roman" w:eastAsia="Times New Roman" w:hAnsi="Times New Roman" w:cs="Times New Roman"/>
          <w:sz w:val="24"/>
          <w:szCs w:val="24"/>
          <w:highlight w:val="white"/>
        </w:rPr>
        <w:t>GUG0608-1/2023</w:t>
      </w:r>
      <w:r>
        <w:rPr>
          <w:rFonts w:ascii="Times New Roman" w:eastAsia="Times New Roman" w:hAnsi="Times New Roman" w:cs="Times New Roman"/>
          <w:sz w:val="24"/>
          <w:szCs w:val="24"/>
        </w:rPr>
        <w:t xml:space="preserve">. Thank you to </w:t>
      </w:r>
      <w:proofErr w:type="spellStart"/>
      <w:r>
        <w:rPr>
          <w:rFonts w:ascii="Times New Roman" w:eastAsia="Times New Roman" w:hAnsi="Times New Roman" w:cs="Times New Roman"/>
          <w:sz w:val="24"/>
          <w:szCs w:val="24"/>
        </w:rPr>
        <w:t>SaBC</w:t>
      </w:r>
      <w:proofErr w:type="spellEnd"/>
      <w:r>
        <w:rPr>
          <w:rFonts w:ascii="Times New Roman" w:eastAsia="Times New Roman" w:hAnsi="Times New Roman" w:cs="Times New Roman"/>
          <w:sz w:val="24"/>
          <w:szCs w:val="24"/>
        </w:rPr>
        <w:t xml:space="preserve"> under the access license number JKM/MBS.1000-2/2 JLD.16 (154) and Sabah Parks under the research permit number TTS 100-6/2 JLD.26 for allowing the research. Special thanks to Sabah Park’s staff, and community in each study site that was directly or indirectly involved in this study.</w:t>
      </w:r>
    </w:p>
    <w:p w14:paraId="3FA5BB5A" w14:textId="77777777" w:rsidR="00F736FC" w:rsidRDefault="00F736FC">
      <w:pPr>
        <w:spacing w:after="0" w:line="240" w:lineRule="auto"/>
        <w:ind w:hanging="2"/>
        <w:rPr>
          <w:rFonts w:ascii="Times New Roman" w:eastAsia="Times New Roman" w:hAnsi="Times New Roman" w:cs="Times New Roman"/>
          <w:sz w:val="24"/>
          <w:szCs w:val="24"/>
        </w:rPr>
      </w:pPr>
    </w:p>
    <w:p w14:paraId="5411331A" w14:textId="77777777" w:rsidR="00F736FC" w:rsidRDefault="00103CC2">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32E24A42" w14:textId="77777777" w:rsidR="00F736FC" w:rsidRDefault="00103CC2">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2E478957" w14:textId="77777777" w:rsidR="00F736FC" w:rsidRDefault="00103CC2">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096C8D66"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Acebey</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Krömer</w:t>
      </w:r>
      <w:proofErr w:type="spellEnd"/>
      <w:r>
        <w:rPr>
          <w:rFonts w:ascii="Times New Roman" w:eastAsia="Times New Roman" w:hAnsi="Times New Roman" w:cs="Times New Roman"/>
          <w:sz w:val="24"/>
          <w:szCs w:val="24"/>
        </w:rPr>
        <w:t xml:space="preserve">, T., </w:t>
      </w:r>
      <w:proofErr w:type="spellStart"/>
      <w:r>
        <w:rPr>
          <w:rFonts w:ascii="Times New Roman" w:eastAsia="Times New Roman" w:hAnsi="Times New Roman" w:cs="Times New Roman"/>
          <w:sz w:val="24"/>
          <w:szCs w:val="24"/>
        </w:rPr>
        <w:t>Maass</w:t>
      </w:r>
      <w:proofErr w:type="spellEnd"/>
      <w:r>
        <w:rPr>
          <w:rFonts w:ascii="Times New Roman" w:eastAsia="Times New Roman" w:hAnsi="Times New Roman" w:cs="Times New Roman"/>
          <w:sz w:val="24"/>
          <w:szCs w:val="24"/>
        </w:rPr>
        <w:t xml:space="preserve">, B. L., &amp; Kessler, M. (2010). </w:t>
      </w:r>
      <w:proofErr w:type="spellStart"/>
      <w:r>
        <w:rPr>
          <w:rFonts w:ascii="Times New Roman" w:eastAsia="Times New Roman" w:hAnsi="Times New Roman" w:cs="Times New Roman"/>
          <w:sz w:val="24"/>
          <w:szCs w:val="24"/>
        </w:rPr>
        <w:t>Ecoregional</w:t>
      </w:r>
      <w:proofErr w:type="spellEnd"/>
      <w:r>
        <w:rPr>
          <w:rFonts w:ascii="Times New Roman" w:eastAsia="Times New Roman" w:hAnsi="Times New Roman" w:cs="Times New Roman"/>
          <w:sz w:val="24"/>
          <w:szCs w:val="24"/>
        </w:rPr>
        <w:t xml:space="preserve"> distribution of potentially useful species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Bromeliaceae</w:t>
      </w:r>
      <w:proofErr w:type="spellEnd"/>
      <w:r>
        <w:rPr>
          <w:rFonts w:ascii="Times New Roman" w:eastAsia="Times New Roman" w:hAnsi="Times New Roman" w:cs="Times New Roman"/>
          <w:sz w:val="24"/>
          <w:szCs w:val="24"/>
        </w:rPr>
        <w:t xml:space="preserve"> as non-timber forest products in Bolivia. </w:t>
      </w:r>
      <w:r>
        <w:rPr>
          <w:rFonts w:ascii="Times New Roman" w:eastAsia="Times New Roman" w:hAnsi="Times New Roman" w:cs="Times New Roman"/>
          <w:i/>
          <w:sz w:val="24"/>
          <w:szCs w:val="24"/>
        </w:rPr>
        <w:t>Biodiversity and Conservation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 xml:space="preserve">, 2553–2564. </w:t>
      </w:r>
    </w:p>
    <w:p w14:paraId="24793DC6"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Aiba</w:t>
      </w:r>
      <w:proofErr w:type="spellEnd"/>
      <w:r>
        <w:rPr>
          <w:rFonts w:ascii="Times New Roman" w:eastAsia="Times New Roman" w:hAnsi="Times New Roman" w:cs="Times New Roman"/>
          <w:sz w:val="24"/>
          <w:szCs w:val="24"/>
        </w:rPr>
        <w:t xml:space="preserve">, S. I., &amp; </w:t>
      </w:r>
      <w:proofErr w:type="spellStart"/>
      <w:r>
        <w:rPr>
          <w:rFonts w:ascii="Times New Roman" w:eastAsia="Times New Roman" w:hAnsi="Times New Roman" w:cs="Times New Roman"/>
          <w:sz w:val="24"/>
          <w:szCs w:val="24"/>
        </w:rPr>
        <w:t>Kitayama</w:t>
      </w:r>
      <w:proofErr w:type="spellEnd"/>
      <w:r>
        <w:rPr>
          <w:rFonts w:ascii="Times New Roman" w:eastAsia="Times New Roman" w:hAnsi="Times New Roman" w:cs="Times New Roman"/>
          <w:sz w:val="24"/>
          <w:szCs w:val="24"/>
        </w:rPr>
        <w:t xml:space="preserve">, K. (2020). Light and nutrient limitations for tree growth on young versus old soils in a Bornean tropical montane forest. </w:t>
      </w:r>
      <w:r>
        <w:rPr>
          <w:rFonts w:ascii="Times New Roman" w:eastAsia="Times New Roman" w:hAnsi="Times New Roman" w:cs="Times New Roman"/>
          <w:i/>
          <w:sz w:val="24"/>
          <w:szCs w:val="24"/>
        </w:rPr>
        <w:t>Journal of Plant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133</w:t>
      </w:r>
      <w:r>
        <w:rPr>
          <w:rFonts w:ascii="Times New Roman" w:eastAsia="Times New Roman" w:hAnsi="Times New Roman" w:cs="Times New Roman"/>
          <w:sz w:val="24"/>
          <w:szCs w:val="24"/>
        </w:rPr>
        <w:t xml:space="preserve">, 665–679. </w:t>
      </w:r>
    </w:p>
    <w:p w14:paraId="5A43A5DA"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Alhameid</w:t>
      </w:r>
      <w:proofErr w:type="spellEnd"/>
      <w:r>
        <w:rPr>
          <w:rFonts w:ascii="Times New Roman" w:eastAsia="Times New Roman" w:hAnsi="Times New Roman" w:cs="Times New Roman"/>
          <w:sz w:val="24"/>
          <w:szCs w:val="24"/>
        </w:rPr>
        <w:t xml:space="preserve">, A., Ibrahim, M., Kumar, S., Sexton, P., &amp; Schumacher, T. E. (2017). Soil organic carbon changes impacted by crop rotational diversity under no-till farming in South Dakota, USA. </w:t>
      </w:r>
      <w:r>
        <w:rPr>
          <w:rFonts w:ascii="Times New Roman" w:eastAsia="Times New Roman" w:hAnsi="Times New Roman" w:cs="Times New Roman"/>
          <w:i/>
          <w:sz w:val="24"/>
          <w:szCs w:val="24"/>
        </w:rPr>
        <w:t>Soil Science Society of America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81</w:t>
      </w:r>
      <w:r>
        <w:rPr>
          <w:rFonts w:ascii="Times New Roman" w:eastAsia="Times New Roman" w:hAnsi="Times New Roman" w:cs="Times New Roman"/>
          <w:sz w:val="24"/>
          <w:szCs w:val="24"/>
        </w:rPr>
        <w:t xml:space="preserve">(4), 868–877. </w:t>
      </w:r>
    </w:p>
    <w:p w14:paraId="703E7CA0"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bookmarkStart w:id="7" w:name="_heading=h.n40v3dun59p" w:colFirst="0" w:colLast="0"/>
      <w:bookmarkEnd w:id="7"/>
      <w:proofErr w:type="spellStart"/>
      <w:r>
        <w:rPr>
          <w:rFonts w:ascii="Times New Roman" w:eastAsia="Times New Roman" w:hAnsi="Times New Roman" w:cs="Times New Roman"/>
          <w:sz w:val="24"/>
          <w:szCs w:val="24"/>
        </w:rPr>
        <w:t>Awang</w:t>
      </w:r>
      <w:proofErr w:type="spellEnd"/>
      <w:r>
        <w:rPr>
          <w:rFonts w:ascii="Times New Roman" w:eastAsia="Times New Roman" w:hAnsi="Times New Roman" w:cs="Times New Roman"/>
          <w:sz w:val="24"/>
          <w:szCs w:val="24"/>
        </w:rPr>
        <w:t xml:space="preserve">-Kanak, F. (2021). Plant parts and preparation of edible plants by indigenous </w:t>
      </w:r>
      <w:proofErr w:type="spellStart"/>
      <w:r>
        <w:rPr>
          <w:rFonts w:ascii="Times New Roman" w:eastAsia="Times New Roman" w:hAnsi="Times New Roman" w:cs="Times New Roman"/>
          <w:sz w:val="24"/>
          <w:szCs w:val="24"/>
        </w:rPr>
        <w:t>Sama</w:t>
      </w:r>
      <w:proofErr w:type="spellEnd"/>
      <w:r>
        <w:rPr>
          <w:rFonts w:ascii="Times New Roman" w:eastAsia="Times New Roman" w:hAnsi="Times New Roman" w:cs="Times New Roman"/>
          <w:sz w:val="24"/>
          <w:szCs w:val="24"/>
        </w:rPr>
        <w:t xml:space="preserve">-Bajau and Dusun people in Kota </w:t>
      </w:r>
      <w:proofErr w:type="spellStart"/>
      <w:r>
        <w:rPr>
          <w:rFonts w:ascii="Times New Roman" w:eastAsia="Times New Roman" w:hAnsi="Times New Roman" w:cs="Times New Roman"/>
          <w:sz w:val="24"/>
          <w:szCs w:val="24"/>
        </w:rPr>
        <w:t>Belud</w:t>
      </w:r>
      <w:proofErr w:type="spellEnd"/>
      <w:r>
        <w:rPr>
          <w:rFonts w:ascii="Times New Roman" w:eastAsia="Times New Roman" w:hAnsi="Times New Roman" w:cs="Times New Roman"/>
          <w:sz w:val="24"/>
          <w:szCs w:val="24"/>
        </w:rPr>
        <w:t xml:space="preserve">, Sabah. </w:t>
      </w:r>
      <w:r>
        <w:rPr>
          <w:rFonts w:ascii="Times New Roman" w:eastAsia="Times New Roman" w:hAnsi="Times New Roman" w:cs="Times New Roman"/>
          <w:i/>
          <w:sz w:val="24"/>
          <w:szCs w:val="24"/>
        </w:rPr>
        <w:t>IOP Conference Series: Earth and Environmental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756, </w:t>
      </w:r>
      <w:r>
        <w:rPr>
          <w:rFonts w:ascii="Times New Roman" w:eastAsia="Times New Roman" w:hAnsi="Times New Roman" w:cs="Times New Roman"/>
          <w:sz w:val="24"/>
          <w:szCs w:val="24"/>
        </w:rPr>
        <w:t>012023.</w:t>
      </w:r>
    </w:p>
    <w:p w14:paraId="283FFD90"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Baral</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Ghimire</w:t>
      </w:r>
      <w:proofErr w:type="spellEnd"/>
      <w:r>
        <w:rPr>
          <w:rFonts w:ascii="Times New Roman" w:eastAsia="Times New Roman" w:hAnsi="Times New Roman" w:cs="Times New Roman"/>
          <w:sz w:val="24"/>
          <w:szCs w:val="24"/>
        </w:rPr>
        <w:t xml:space="preserve">, P. (2020). Effect of tree canopy opening in the regeneration layer of </w:t>
      </w:r>
      <w:proofErr w:type="spellStart"/>
      <w:r>
        <w:rPr>
          <w:rFonts w:ascii="Times New Roman" w:eastAsia="Times New Roman" w:hAnsi="Times New Roman" w:cs="Times New Roman"/>
          <w:sz w:val="24"/>
          <w:szCs w:val="24"/>
        </w:rPr>
        <w:t>Terai</w:t>
      </w:r>
      <w:proofErr w:type="spellEnd"/>
      <w:r>
        <w:rPr>
          <w:rFonts w:ascii="Times New Roman" w:eastAsia="Times New Roman" w:hAnsi="Times New Roman" w:cs="Times New Roman"/>
          <w:sz w:val="24"/>
          <w:szCs w:val="24"/>
        </w:rPr>
        <w:t xml:space="preserve"> Sal (</w:t>
      </w:r>
      <w:proofErr w:type="spellStart"/>
      <w:r>
        <w:rPr>
          <w:rFonts w:ascii="Times New Roman" w:eastAsia="Times New Roman" w:hAnsi="Times New Roman" w:cs="Times New Roman"/>
          <w:sz w:val="24"/>
          <w:szCs w:val="24"/>
        </w:rPr>
        <w:t>Shorea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robusta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Gaertn</w:t>
      </w:r>
      <w:proofErr w:type="spellEnd"/>
      <w:r>
        <w:rPr>
          <w:rFonts w:ascii="Times New Roman" w:eastAsia="Times New Roman" w:hAnsi="Times New Roman" w:cs="Times New Roman"/>
          <w:sz w:val="24"/>
          <w:szCs w:val="24"/>
        </w:rPr>
        <w:t xml:space="preserve">.) forest in Western </w:t>
      </w:r>
      <w:proofErr w:type="gramStart"/>
      <w:r>
        <w:rPr>
          <w:rFonts w:ascii="Times New Roman" w:eastAsia="Times New Roman" w:hAnsi="Times New Roman" w:cs="Times New Roman"/>
          <w:sz w:val="24"/>
          <w:szCs w:val="24"/>
        </w:rPr>
        <w:t>Nepal :</w:t>
      </w:r>
      <w:proofErr w:type="gramEnd"/>
      <w:r>
        <w:rPr>
          <w:rFonts w:ascii="Times New Roman" w:eastAsia="Times New Roman" w:hAnsi="Times New Roman" w:cs="Times New Roman"/>
          <w:sz w:val="24"/>
          <w:szCs w:val="24"/>
        </w:rPr>
        <w:t xml:space="preserve"> A case study. </w:t>
      </w:r>
      <w:r>
        <w:rPr>
          <w:rFonts w:ascii="Times New Roman" w:eastAsia="Times New Roman" w:hAnsi="Times New Roman" w:cs="Times New Roman"/>
          <w:i/>
          <w:sz w:val="24"/>
          <w:szCs w:val="24"/>
        </w:rPr>
        <w:t>Tropical Plant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 xml:space="preserve">(2), 502–507. </w:t>
      </w:r>
    </w:p>
    <w:p w14:paraId="39EF4578"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Beaman</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Beaman</w:t>
      </w:r>
      <w:proofErr w:type="spellEnd"/>
      <w:r>
        <w:rPr>
          <w:rFonts w:ascii="Times New Roman" w:eastAsia="Times New Roman" w:hAnsi="Times New Roman" w:cs="Times New Roman"/>
          <w:sz w:val="24"/>
          <w:szCs w:val="24"/>
        </w:rPr>
        <w:t xml:space="preserve">, R. (1998). </w:t>
      </w:r>
      <w:r>
        <w:rPr>
          <w:rFonts w:ascii="Times New Roman" w:eastAsia="Times New Roman" w:hAnsi="Times New Roman" w:cs="Times New Roman"/>
          <w:i/>
          <w:sz w:val="24"/>
          <w:szCs w:val="24"/>
        </w:rPr>
        <w:t xml:space="preserve">The Plants of Mount </w:t>
      </w:r>
      <w:proofErr w:type="spellStart"/>
      <w:r>
        <w:rPr>
          <w:rFonts w:ascii="Times New Roman" w:eastAsia="Times New Roman" w:hAnsi="Times New Roman" w:cs="Times New Roman"/>
          <w:i/>
          <w:sz w:val="24"/>
          <w:szCs w:val="24"/>
        </w:rPr>
        <w:t>Kinabalu</w:t>
      </w:r>
      <w:proofErr w:type="spellEnd"/>
      <w:r>
        <w:rPr>
          <w:rFonts w:ascii="Times New Roman" w:eastAsia="Times New Roman" w:hAnsi="Times New Roman" w:cs="Times New Roman"/>
          <w:i/>
          <w:sz w:val="24"/>
          <w:szCs w:val="24"/>
        </w:rPr>
        <w:t>: Gymnosperms and Non-Orchid Monocotyledons.</w:t>
      </w:r>
      <w:r>
        <w:rPr>
          <w:rFonts w:ascii="Times New Roman" w:eastAsia="Times New Roman" w:hAnsi="Times New Roman" w:cs="Times New Roman"/>
          <w:sz w:val="24"/>
          <w:szCs w:val="24"/>
        </w:rPr>
        <w:t xml:space="preserve"> Royal Botanic Gardens.</w:t>
      </w:r>
    </w:p>
    <w:p w14:paraId="2B48E35D"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Boyce, P. C., Wong, S. Y., Low, S. L., April, T. P. J., Low, S. E., Ng, K. K., &amp; </w:t>
      </w:r>
      <w:proofErr w:type="spellStart"/>
      <w:r>
        <w:rPr>
          <w:rFonts w:ascii="Times New Roman" w:eastAsia="Times New Roman" w:hAnsi="Times New Roman" w:cs="Times New Roman"/>
          <w:sz w:val="24"/>
          <w:szCs w:val="24"/>
        </w:rPr>
        <w:t>Ooi</w:t>
      </w:r>
      <w:proofErr w:type="spellEnd"/>
      <w:r>
        <w:rPr>
          <w:rFonts w:ascii="Times New Roman" w:eastAsia="Times New Roman" w:hAnsi="Times New Roman" w:cs="Times New Roman"/>
          <w:sz w:val="24"/>
          <w:szCs w:val="24"/>
        </w:rPr>
        <w:t xml:space="preserve">, I. H. (2010). The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of Borneo–the genera. </w:t>
      </w:r>
      <w:r>
        <w:rPr>
          <w:rFonts w:ascii="Times New Roman" w:eastAsia="Times New Roman" w:hAnsi="Times New Roman" w:cs="Times New Roman"/>
          <w:i/>
          <w:sz w:val="24"/>
          <w:szCs w:val="24"/>
        </w:rPr>
        <w:t>Journal of the International Aroid Society.</w:t>
      </w:r>
    </w:p>
    <w:p w14:paraId="2647274D"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Camacho-</w:t>
      </w:r>
      <w:proofErr w:type="spellStart"/>
      <w:r>
        <w:rPr>
          <w:rFonts w:ascii="Times New Roman" w:eastAsia="Times New Roman" w:hAnsi="Times New Roman" w:cs="Times New Roman"/>
          <w:sz w:val="24"/>
          <w:szCs w:val="24"/>
        </w:rPr>
        <w:t>sanchez</w:t>
      </w:r>
      <w:proofErr w:type="spellEnd"/>
      <w:r>
        <w:rPr>
          <w:rFonts w:ascii="Times New Roman" w:eastAsia="Times New Roman" w:hAnsi="Times New Roman" w:cs="Times New Roman"/>
          <w:sz w:val="24"/>
          <w:szCs w:val="24"/>
        </w:rPr>
        <w:t xml:space="preserve">, M., Hawkins, M. T. R., Yu, F. T. Y., Maldonado, J. E., &amp; Leonard, J. A. (2019). Endemism and diversity of small mammals along two neighboring Bornean mountains. </w:t>
      </w:r>
      <w:proofErr w:type="spellStart"/>
      <w:r>
        <w:rPr>
          <w:rFonts w:ascii="Times New Roman" w:eastAsia="Times New Roman" w:hAnsi="Times New Roman" w:cs="Times New Roman"/>
          <w:i/>
          <w:sz w:val="24"/>
          <w:szCs w:val="24"/>
        </w:rPr>
        <w:t>PeerJ</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 xml:space="preserve">, 1–23. </w:t>
      </w:r>
    </w:p>
    <w:p w14:paraId="12BB7783"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Castellani, V., &amp; Sal, S. (2012). Carrying Capacity of Tourism System: Assessment of Environmental and Management Constraints Towards Sustainability. In M. </w:t>
      </w:r>
      <w:proofErr w:type="spellStart"/>
      <w:r>
        <w:rPr>
          <w:rFonts w:ascii="Times New Roman" w:eastAsia="Times New Roman" w:hAnsi="Times New Roman" w:cs="Times New Roman"/>
          <w:sz w:val="24"/>
          <w:szCs w:val="24"/>
        </w:rPr>
        <w:t>Kasimoglu</w:t>
      </w:r>
      <w:proofErr w:type="spellEnd"/>
      <w:r>
        <w:rPr>
          <w:rFonts w:ascii="Times New Roman" w:eastAsia="Times New Roman" w:hAnsi="Times New Roman" w:cs="Times New Roman"/>
          <w:sz w:val="24"/>
          <w:szCs w:val="24"/>
        </w:rPr>
        <w:t xml:space="preserve"> (ed.), </w:t>
      </w:r>
      <w:r>
        <w:rPr>
          <w:rFonts w:ascii="Times New Roman" w:eastAsia="Times New Roman" w:hAnsi="Times New Roman" w:cs="Times New Roman"/>
          <w:i/>
          <w:sz w:val="24"/>
          <w:szCs w:val="24"/>
        </w:rPr>
        <w:t>Visions for Global Tourism Industry - Creating and Sustaining Competitive Strategies</w:t>
      </w:r>
      <w:r>
        <w:rPr>
          <w:rFonts w:ascii="Times New Roman" w:eastAsia="Times New Roman" w:hAnsi="Times New Roman" w:cs="Times New Roman"/>
          <w:sz w:val="24"/>
          <w:szCs w:val="24"/>
        </w:rPr>
        <w:t xml:space="preserve"> (pp. 295-316). </w:t>
      </w:r>
      <w:proofErr w:type="spellStart"/>
      <w:r>
        <w:rPr>
          <w:rFonts w:ascii="Times New Roman" w:eastAsia="Times New Roman" w:hAnsi="Times New Roman" w:cs="Times New Roman"/>
          <w:sz w:val="24"/>
          <w:szCs w:val="24"/>
        </w:rPr>
        <w:t>InTech</w:t>
      </w:r>
      <w:proofErr w:type="spellEnd"/>
      <w:r>
        <w:rPr>
          <w:rFonts w:ascii="Times New Roman" w:eastAsia="Times New Roman" w:hAnsi="Times New Roman" w:cs="Times New Roman"/>
          <w:sz w:val="24"/>
          <w:szCs w:val="24"/>
        </w:rPr>
        <w:t>.</w:t>
      </w:r>
    </w:p>
    <w:p w14:paraId="3CE49B75"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Danielyan</w:t>
      </w:r>
      <w:proofErr w:type="spellEnd"/>
      <w:r>
        <w:rPr>
          <w:rFonts w:ascii="Times New Roman" w:eastAsia="Times New Roman" w:hAnsi="Times New Roman" w:cs="Times New Roman"/>
          <w:sz w:val="24"/>
          <w:szCs w:val="24"/>
        </w:rPr>
        <w:t xml:space="preserve">, R. (2023). Assessment of the Impact of Climate Change on the Ecology of the Common Vole in Armenia. Armenian meeting – 2023. Climate changes, Yerevan, Armenia. </w:t>
      </w:r>
    </w:p>
    <w:p w14:paraId="292C9A31"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Fatiha</w:t>
      </w:r>
      <w:proofErr w:type="spellEnd"/>
      <w:r>
        <w:rPr>
          <w:rFonts w:ascii="Times New Roman" w:eastAsia="Times New Roman" w:hAnsi="Times New Roman" w:cs="Times New Roman"/>
          <w:sz w:val="24"/>
          <w:szCs w:val="24"/>
        </w:rPr>
        <w:t xml:space="preserve">, R. A., </w:t>
      </w:r>
      <w:proofErr w:type="spellStart"/>
      <w:r>
        <w:rPr>
          <w:rFonts w:ascii="Times New Roman" w:eastAsia="Times New Roman" w:hAnsi="Times New Roman" w:cs="Times New Roman"/>
          <w:sz w:val="24"/>
          <w:szCs w:val="24"/>
        </w:rPr>
        <w:t>Neriza</w:t>
      </w:r>
      <w:proofErr w:type="spellEnd"/>
      <w:r>
        <w:rPr>
          <w:rFonts w:ascii="Times New Roman" w:eastAsia="Times New Roman" w:hAnsi="Times New Roman" w:cs="Times New Roman"/>
          <w:sz w:val="24"/>
          <w:szCs w:val="24"/>
        </w:rPr>
        <w:t xml:space="preserve">, L. W. S., </w:t>
      </w:r>
      <w:proofErr w:type="spellStart"/>
      <w:r>
        <w:rPr>
          <w:rFonts w:ascii="Times New Roman" w:eastAsia="Times New Roman" w:hAnsi="Times New Roman" w:cs="Times New Roman"/>
          <w:sz w:val="24"/>
          <w:szCs w:val="24"/>
        </w:rPr>
        <w:t>Raihani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Gilang</w:t>
      </w:r>
      <w:proofErr w:type="spellEnd"/>
      <w:r>
        <w:rPr>
          <w:rFonts w:ascii="Times New Roman" w:eastAsia="Times New Roman" w:hAnsi="Times New Roman" w:cs="Times New Roman"/>
          <w:sz w:val="24"/>
          <w:szCs w:val="24"/>
        </w:rPr>
        <w:t xml:space="preserve">, D. N., </w:t>
      </w:r>
      <w:proofErr w:type="spellStart"/>
      <w:r>
        <w:rPr>
          <w:rFonts w:ascii="Times New Roman" w:eastAsia="Times New Roman" w:hAnsi="Times New Roman" w:cs="Times New Roman"/>
          <w:sz w:val="24"/>
          <w:szCs w:val="24"/>
        </w:rPr>
        <w:t>Teguh</w:t>
      </w:r>
      <w:proofErr w:type="spellEnd"/>
      <w:r>
        <w:rPr>
          <w:rFonts w:ascii="Times New Roman" w:eastAsia="Times New Roman" w:hAnsi="Times New Roman" w:cs="Times New Roman"/>
          <w:sz w:val="24"/>
          <w:szCs w:val="24"/>
        </w:rPr>
        <w:t xml:space="preserve">, P., &amp; Ahmad, D. S. (2021). Review: Traditional knowledge of the Dayak Tribe (Borneo) in the use of medicinal plants. </w:t>
      </w:r>
      <w:proofErr w:type="spellStart"/>
      <w:r>
        <w:rPr>
          <w:rFonts w:ascii="Times New Roman" w:eastAsia="Times New Roman" w:hAnsi="Times New Roman" w:cs="Times New Roman"/>
          <w:i/>
          <w:sz w:val="24"/>
          <w:szCs w:val="24"/>
        </w:rPr>
        <w:t>Biodiversitas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 xml:space="preserve">(10), 4633–4647. </w:t>
      </w:r>
    </w:p>
    <w:p w14:paraId="2F24169B"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Foden</w:t>
      </w:r>
      <w:proofErr w:type="spellEnd"/>
      <w:r>
        <w:rPr>
          <w:rFonts w:ascii="Times New Roman" w:eastAsia="Times New Roman" w:hAnsi="Times New Roman" w:cs="Times New Roman"/>
          <w:sz w:val="24"/>
          <w:szCs w:val="24"/>
        </w:rPr>
        <w:t xml:space="preserve">, W. B., &amp; Young, B. E. (2016). IUCN SSC Guidelines for Assessing Species’ Vulnerability to Climate Change. </w:t>
      </w:r>
    </w:p>
    <w:p w14:paraId="1683F2C1"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Forsyth, T. (2013). Community-based adaptation: A review of past and future challenges. </w:t>
      </w:r>
      <w:r>
        <w:rPr>
          <w:rFonts w:ascii="Times New Roman" w:eastAsia="Times New Roman" w:hAnsi="Times New Roman" w:cs="Times New Roman"/>
          <w:i/>
          <w:sz w:val="24"/>
          <w:szCs w:val="24"/>
        </w:rPr>
        <w:t>WIREs: Wiley Interdisciplinary Reviews Climate Change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w:t>
      </w:r>
      <w:r>
        <w:rPr>
          <w:rFonts w:ascii="Times New Roman" w:eastAsia="Times New Roman" w:hAnsi="Times New Roman" w:cs="Times New Roman"/>
          <w:sz w:val="24"/>
          <w:szCs w:val="24"/>
        </w:rPr>
        <w:t xml:space="preserve">(5), 439–446. </w:t>
      </w:r>
    </w:p>
    <w:p w14:paraId="5F04A3AA"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Franey</w:t>
      </w:r>
      <w:proofErr w:type="spellEnd"/>
      <w:r>
        <w:rPr>
          <w:rFonts w:ascii="Times New Roman" w:eastAsia="Times New Roman" w:hAnsi="Times New Roman" w:cs="Times New Roman"/>
          <w:sz w:val="24"/>
          <w:szCs w:val="24"/>
        </w:rPr>
        <w:t xml:space="preserve">, J. C., Le, G., Nor </w:t>
      </w:r>
      <w:proofErr w:type="spellStart"/>
      <w:r>
        <w:rPr>
          <w:rFonts w:ascii="Times New Roman" w:eastAsia="Times New Roman" w:hAnsi="Times New Roman" w:cs="Times New Roman"/>
          <w:sz w:val="24"/>
          <w:szCs w:val="24"/>
        </w:rPr>
        <w:t>Akmar</w:t>
      </w:r>
      <w:proofErr w:type="spellEnd"/>
      <w:r>
        <w:rPr>
          <w:rFonts w:ascii="Times New Roman" w:eastAsia="Times New Roman" w:hAnsi="Times New Roman" w:cs="Times New Roman"/>
          <w:sz w:val="24"/>
          <w:szCs w:val="24"/>
        </w:rPr>
        <w:t xml:space="preserve">, A. A., </w:t>
      </w:r>
      <w:proofErr w:type="spellStart"/>
      <w:r>
        <w:rPr>
          <w:rFonts w:ascii="Times New Roman" w:eastAsia="Times New Roman" w:hAnsi="Times New Roman" w:cs="Times New Roman"/>
          <w:sz w:val="24"/>
          <w:szCs w:val="24"/>
        </w:rPr>
        <w:t>Awangku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Hassanal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Bahar</w:t>
      </w:r>
      <w:proofErr w:type="spellEnd"/>
      <w:r>
        <w:rPr>
          <w:rFonts w:ascii="Times New Roman" w:eastAsia="Times New Roman" w:hAnsi="Times New Roman" w:cs="Times New Roman"/>
          <w:sz w:val="24"/>
          <w:szCs w:val="24"/>
        </w:rPr>
        <w:t xml:space="preserve">, P. B., &amp; </w:t>
      </w:r>
      <w:proofErr w:type="spellStart"/>
      <w:r>
        <w:rPr>
          <w:rFonts w:ascii="Times New Roman" w:eastAsia="Times New Roman" w:hAnsi="Times New Roman" w:cs="Times New Roman"/>
          <w:sz w:val="24"/>
          <w:szCs w:val="24"/>
        </w:rPr>
        <w:t>Fiffy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Hanisdah</w:t>
      </w:r>
      <w:proofErr w:type="spellEnd"/>
      <w:r>
        <w:rPr>
          <w:rFonts w:ascii="Times New Roman" w:eastAsia="Times New Roman" w:hAnsi="Times New Roman" w:cs="Times New Roman"/>
          <w:sz w:val="24"/>
          <w:szCs w:val="24"/>
        </w:rPr>
        <w:t xml:space="preserve">, S. (2021). Community preparedness in ecotourism development and their role in maintaining the natural resources in </w:t>
      </w:r>
      <w:proofErr w:type="spellStart"/>
      <w:r>
        <w:rPr>
          <w:rFonts w:ascii="Times New Roman" w:eastAsia="Times New Roman" w:hAnsi="Times New Roman" w:cs="Times New Roman"/>
          <w:sz w:val="24"/>
          <w:szCs w:val="24"/>
        </w:rPr>
        <w:t>Kadamaian</w:t>
      </w:r>
      <w:proofErr w:type="spellEnd"/>
      <w:r>
        <w:rPr>
          <w:rFonts w:ascii="Times New Roman" w:eastAsia="Times New Roman" w:hAnsi="Times New Roman" w:cs="Times New Roman"/>
          <w:sz w:val="24"/>
          <w:szCs w:val="24"/>
        </w:rPr>
        <w:t xml:space="preserve"> area, Sabah. </w:t>
      </w:r>
      <w:r>
        <w:rPr>
          <w:rFonts w:ascii="Times New Roman" w:eastAsia="Times New Roman" w:hAnsi="Times New Roman" w:cs="Times New Roman"/>
          <w:i/>
          <w:sz w:val="24"/>
          <w:szCs w:val="24"/>
        </w:rPr>
        <w:t>Journal of Tropical Biology and Conservation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 115–129.</w:t>
      </w:r>
    </w:p>
    <w:p w14:paraId="50078A85"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Gan</w:t>
      </w:r>
      <w:proofErr w:type="spellEnd"/>
      <w:r>
        <w:rPr>
          <w:rFonts w:ascii="Times New Roman" w:eastAsia="Times New Roman" w:hAnsi="Times New Roman" w:cs="Times New Roman"/>
          <w:sz w:val="24"/>
          <w:szCs w:val="24"/>
        </w:rPr>
        <w:t xml:space="preserve">, W. Y., </w:t>
      </w:r>
      <w:proofErr w:type="spellStart"/>
      <w:r>
        <w:rPr>
          <w:rFonts w:ascii="Times New Roman" w:eastAsia="Times New Roman" w:hAnsi="Times New Roman" w:cs="Times New Roman"/>
          <w:sz w:val="24"/>
          <w:szCs w:val="24"/>
        </w:rPr>
        <w:t>Norhasmah</w:t>
      </w:r>
      <w:proofErr w:type="spellEnd"/>
      <w:r>
        <w:rPr>
          <w:rFonts w:ascii="Times New Roman" w:eastAsia="Times New Roman" w:hAnsi="Times New Roman" w:cs="Times New Roman"/>
          <w:sz w:val="24"/>
          <w:szCs w:val="24"/>
        </w:rPr>
        <w:t xml:space="preserve">, S., Law, L. S., </w:t>
      </w:r>
      <w:proofErr w:type="spellStart"/>
      <w:r>
        <w:rPr>
          <w:rFonts w:ascii="Times New Roman" w:eastAsia="Times New Roman" w:hAnsi="Times New Roman" w:cs="Times New Roman"/>
          <w:sz w:val="24"/>
          <w:szCs w:val="24"/>
        </w:rPr>
        <w:t>Nurzalinda</w:t>
      </w:r>
      <w:proofErr w:type="spellEnd"/>
      <w:r>
        <w:rPr>
          <w:rFonts w:ascii="Times New Roman" w:eastAsia="Times New Roman" w:hAnsi="Times New Roman" w:cs="Times New Roman"/>
          <w:sz w:val="24"/>
          <w:szCs w:val="24"/>
        </w:rPr>
        <w:t xml:space="preserve">, Z., Salma </w:t>
      </w:r>
      <w:proofErr w:type="spellStart"/>
      <w:r>
        <w:rPr>
          <w:rFonts w:ascii="Times New Roman" w:eastAsia="Times New Roman" w:hAnsi="Times New Roman" w:cs="Times New Roman"/>
          <w:sz w:val="24"/>
          <w:szCs w:val="24"/>
        </w:rPr>
        <w:t>Faeza</w:t>
      </w:r>
      <w:proofErr w:type="spellEnd"/>
      <w:r>
        <w:rPr>
          <w:rFonts w:ascii="Times New Roman" w:eastAsia="Times New Roman" w:hAnsi="Times New Roman" w:cs="Times New Roman"/>
          <w:sz w:val="24"/>
          <w:szCs w:val="24"/>
        </w:rPr>
        <w:t xml:space="preserve">, A. F., &amp; Wilkes, M. A. (2020). Exploration of Food-Seeking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Food Preparation, and Restrictions to Sufficient Food among the </w:t>
      </w:r>
      <w:proofErr w:type="spellStart"/>
      <w:r>
        <w:rPr>
          <w:rFonts w:ascii="Times New Roman" w:eastAsia="Times New Roman" w:hAnsi="Times New Roman" w:cs="Times New Roman"/>
          <w:sz w:val="24"/>
          <w:szCs w:val="24"/>
        </w:rPr>
        <w:t>Jahai</w:t>
      </w:r>
      <w:proofErr w:type="spellEnd"/>
      <w:r>
        <w:rPr>
          <w:rFonts w:ascii="Times New Roman" w:eastAsia="Times New Roman" w:hAnsi="Times New Roman" w:cs="Times New Roman"/>
          <w:sz w:val="24"/>
          <w:szCs w:val="24"/>
        </w:rPr>
        <w:t xml:space="preserve"> Sub-Tribe (Indigenous People) in </w:t>
      </w:r>
      <w:proofErr w:type="spellStart"/>
      <w:r>
        <w:rPr>
          <w:rFonts w:ascii="Times New Roman" w:eastAsia="Times New Roman" w:hAnsi="Times New Roman" w:cs="Times New Roman"/>
          <w:sz w:val="24"/>
          <w:szCs w:val="24"/>
        </w:rPr>
        <w:t>Gerik</w:t>
      </w:r>
      <w:proofErr w:type="spellEnd"/>
      <w:r>
        <w:rPr>
          <w:rFonts w:ascii="Times New Roman" w:eastAsia="Times New Roman" w:hAnsi="Times New Roman" w:cs="Times New Roman"/>
          <w:sz w:val="24"/>
          <w:szCs w:val="24"/>
        </w:rPr>
        <w:t xml:space="preserve">, Malaysia. </w:t>
      </w:r>
      <w:r>
        <w:rPr>
          <w:rFonts w:ascii="Times New Roman" w:eastAsia="Times New Roman" w:hAnsi="Times New Roman" w:cs="Times New Roman"/>
          <w:i/>
          <w:sz w:val="24"/>
          <w:szCs w:val="24"/>
        </w:rPr>
        <w:t>International Journal of Environmental Research and Public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 xml:space="preserve">(1), 348. </w:t>
      </w:r>
    </w:p>
    <w:p w14:paraId="4C5A0162"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Glick, P., Stein, B. A., &amp; </w:t>
      </w:r>
      <w:proofErr w:type="spellStart"/>
      <w:r>
        <w:rPr>
          <w:rFonts w:ascii="Times New Roman" w:eastAsia="Times New Roman" w:hAnsi="Times New Roman" w:cs="Times New Roman"/>
          <w:sz w:val="24"/>
          <w:szCs w:val="24"/>
        </w:rPr>
        <w:t>Edelson</w:t>
      </w:r>
      <w:proofErr w:type="spellEnd"/>
      <w:r>
        <w:rPr>
          <w:rFonts w:ascii="Times New Roman" w:eastAsia="Times New Roman" w:hAnsi="Times New Roman" w:cs="Times New Roman"/>
          <w:sz w:val="24"/>
          <w:szCs w:val="24"/>
        </w:rPr>
        <w:t xml:space="preserve">, N. A. (2011). </w:t>
      </w:r>
      <w:r>
        <w:rPr>
          <w:rFonts w:ascii="Times New Roman" w:eastAsia="Times New Roman" w:hAnsi="Times New Roman" w:cs="Times New Roman"/>
          <w:i/>
          <w:sz w:val="24"/>
          <w:szCs w:val="24"/>
        </w:rPr>
        <w:t>Scanning the Conservation Horizon: A Guide to Climate Change Vulnerability Assessment</w:t>
      </w:r>
      <w:r>
        <w:rPr>
          <w:rFonts w:ascii="Times New Roman" w:eastAsia="Times New Roman" w:hAnsi="Times New Roman" w:cs="Times New Roman"/>
          <w:sz w:val="24"/>
          <w:szCs w:val="24"/>
        </w:rPr>
        <w:t>. National Wildlife Federation.</w:t>
      </w:r>
    </w:p>
    <w:p w14:paraId="33F3EA1D"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Harisin</w:t>
      </w:r>
      <w:proofErr w:type="spellEnd"/>
      <w:r>
        <w:rPr>
          <w:rFonts w:ascii="Times New Roman" w:eastAsia="Times New Roman" w:hAnsi="Times New Roman" w:cs="Times New Roman"/>
          <w:sz w:val="24"/>
          <w:szCs w:val="24"/>
        </w:rPr>
        <w:t xml:space="preserve">, N. H., </w:t>
      </w:r>
      <w:proofErr w:type="spellStart"/>
      <w:r>
        <w:rPr>
          <w:rFonts w:ascii="Times New Roman" w:eastAsia="Times New Roman" w:hAnsi="Times New Roman" w:cs="Times New Roman"/>
          <w:sz w:val="24"/>
          <w:szCs w:val="24"/>
        </w:rPr>
        <w:t>Rusdi</w:t>
      </w:r>
      <w:proofErr w:type="spellEnd"/>
      <w:r>
        <w:rPr>
          <w:rFonts w:ascii="Times New Roman" w:eastAsia="Times New Roman" w:hAnsi="Times New Roman" w:cs="Times New Roman"/>
          <w:sz w:val="24"/>
          <w:szCs w:val="24"/>
        </w:rPr>
        <w:t xml:space="preserve">, N. A., &amp; </w:t>
      </w:r>
      <w:proofErr w:type="spellStart"/>
      <w:r>
        <w:rPr>
          <w:rFonts w:ascii="Times New Roman" w:eastAsia="Times New Roman" w:hAnsi="Times New Roman" w:cs="Times New Roman"/>
          <w:sz w:val="24"/>
          <w:szCs w:val="24"/>
        </w:rPr>
        <w:t>Saibeh</w:t>
      </w:r>
      <w:proofErr w:type="spellEnd"/>
      <w:r>
        <w:rPr>
          <w:rFonts w:ascii="Times New Roman" w:eastAsia="Times New Roman" w:hAnsi="Times New Roman" w:cs="Times New Roman"/>
          <w:sz w:val="24"/>
          <w:szCs w:val="24"/>
        </w:rPr>
        <w:t xml:space="preserve">, K. (2021). A preliminary survey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Kadamaian-Kinabalu</w:t>
      </w:r>
      <w:proofErr w:type="spellEnd"/>
      <w:r>
        <w:rPr>
          <w:rFonts w:ascii="Times New Roman" w:eastAsia="Times New Roman" w:hAnsi="Times New Roman" w:cs="Times New Roman"/>
          <w:sz w:val="24"/>
          <w:szCs w:val="24"/>
        </w:rPr>
        <w:t xml:space="preserve"> Park, Kota </w:t>
      </w:r>
      <w:proofErr w:type="spellStart"/>
      <w:r>
        <w:rPr>
          <w:rFonts w:ascii="Times New Roman" w:eastAsia="Times New Roman" w:hAnsi="Times New Roman" w:cs="Times New Roman"/>
          <w:sz w:val="24"/>
          <w:szCs w:val="24"/>
        </w:rPr>
        <w:t>Belud</w:t>
      </w:r>
      <w:proofErr w:type="spellEnd"/>
      <w:r>
        <w:rPr>
          <w:rFonts w:ascii="Times New Roman" w:eastAsia="Times New Roman" w:hAnsi="Times New Roman" w:cs="Times New Roman"/>
          <w:sz w:val="24"/>
          <w:szCs w:val="24"/>
        </w:rPr>
        <w:t xml:space="preserve">, Sabah, Malaysia. </w:t>
      </w:r>
      <w:r>
        <w:rPr>
          <w:rFonts w:ascii="Times New Roman" w:eastAsia="Times New Roman" w:hAnsi="Times New Roman" w:cs="Times New Roman"/>
          <w:i/>
          <w:sz w:val="24"/>
          <w:szCs w:val="24"/>
        </w:rPr>
        <w:t>Journal of Tropical Biology and Conservation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 107–113.</w:t>
      </w:r>
    </w:p>
    <w:p w14:paraId="2F692863"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IPCC. (2007). Climate Change 2007: Impacts, Adaptation and Vulnerability. Contribution of Working Group II to the Fourth Assessment Report of the Intergovernmental Panel on Climate Change. </w:t>
      </w:r>
    </w:p>
    <w:p w14:paraId="703F2D3D"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Parks Enactment. (1984). (Act No. 6 of 1984, State of Sabah) 2007 Amendment, (1984) (testimony </w:t>
      </w:r>
      <w:r>
        <w:rPr>
          <w:rFonts w:ascii="Times New Roman" w:eastAsia="Times New Roman" w:hAnsi="Times New Roman" w:cs="Times New Roman"/>
          <w:sz w:val="24"/>
          <w:szCs w:val="24"/>
        </w:rPr>
        <w:lastRenderedPageBreak/>
        <w:t xml:space="preserve">of </w:t>
      </w:r>
      <w:proofErr w:type="spellStart"/>
      <w:r>
        <w:rPr>
          <w:rFonts w:ascii="Times New Roman" w:eastAsia="Times New Roman" w:hAnsi="Times New Roman" w:cs="Times New Roman"/>
          <w:sz w:val="24"/>
          <w:szCs w:val="24"/>
        </w:rPr>
        <w:t>Kerajaan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Negeri</w:t>
      </w:r>
      <w:proofErr w:type="spellEnd"/>
      <w:r>
        <w:rPr>
          <w:rFonts w:ascii="Times New Roman" w:eastAsia="Times New Roman" w:hAnsi="Times New Roman" w:cs="Times New Roman"/>
          <w:sz w:val="24"/>
          <w:szCs w:val="24"/>
        </w:rPr>
        <w:t xml:space="preserve"> Sabah).</w:t>
      </w:r>
    </w:p>
    <w:p w14:paraId="42B75DBE"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Kitayama</w:t>
      </w:r>
      <w:proofErr w:type="spellEnd"/>
      <w:r>
        <w:rPr>
          <w:rFonts w:ascii="Times New Roman" w:eastAsia="Times New Roman" w:hAnsi="Times New Roman" w:cs="Times New Roman"/>
          <w:sz w:val="24"/>
          <w:szCs w:val="24"/>
        </w:rPr>
        <w:t xml:space="preserve">, K. (1999). Climate profile of Mount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during late 1995 - early 1998 with special reference to the 1998 drought. </w:t>
      </w:r>
      <w:r>
        <w:rPr>
          <w:rFonts w:ascii="Times New Roman" w:eastAsia="Times New Roman" w:hAnsi="Times New Roman" w:cs="Times New Roman"/>
          <w:i/>
          <w:sz w:val="24"/>
          <w:szCs w:val="24"/>
        </w:rPr>
        <w:t>Sabah Parks Nature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85–100.</w:t>
      </w:r>
    </w:p>
    <w:p w14:paraId="0F94211C"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Kitayama</w:t>
      </w:r>
      <w:proofErr w:type="spellEnd"/>
      <w:r>
        <w:rPr>
          <w:rFonts w:ascii="Times New Roman" w:eastAsia="Times New Roman" w:hAnsi="Times New Roman" w:cs="Times New Roman"/>
          <w:sz w:val="24"/>
          <w:szCs w:val="24"/>
        </w:rPr>
        <w:t xml:space="preserve">, K., Ando, S., </w:t>
      </w:r>
      <w:proofErr w:type="spellStart"/>
      <w:r>
        <w:rPr>
          <w:rFonts w:ascii="Times New Roman" w:eastAsia="Times New Roman" w:hAnsi="Times New Roman" w:cs="Times New Roman"/>
          <w:sz w:val="24"/>
          <w:szCs w:val="24"/>
        </w:rPr>
        <w:t>Repin</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Nais</w:t>
      </w:r>
      <w:proofErr w:type="spellEnd"/>
      <w:r>
        <w:rPr>
          <w:rFonts w:ascii="Times New Roman" w:eastAsia="Times New Roman" w:hAnsi="Times New Roman" w:cs="Times New Roman"/>
          <w:sz w:val="24"/>
          <w:szCs w:val="24"/>
        </w:rPr>
        <w:t xml:space="preserve">, J. (2014). Vegetation and climate of the summit zone of Mount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in relation to the Walker circulation. </w:t>
      </w:r>
      <w:r>
        <w:rPr>
          <w:rFonts w:ascii="Times New Roman" w:eastAsia="Times New Roman" w:hAnsi="Times New Roman" w:cs="Times New Roman"/>
          <w:i/>
          <w:sz w:val="24"/>
          <w:szCs w:val="24"/>
        </w:rPr>
        <w:t>Arctic, Antarctic, and Alpine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46</w:t>
      </w:r>
      <w:r>
        <w:rPr>
          <w:rFonts w:ascii="Times New Roman" w:eastAsia="Times New Roman" w:hAnsi="Times New Roman" w:cs="Times New Roman"/>
          <w:sz w:val="24"/>
          <w:szCs w:val="24"/>
        </w:rPr>
        <w:t xml:space="preserve">(4), 745–753. </w:t>
      </w:r>
    </w:p>
    <w:p w14:paraId="40C6F5E8"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Kudo, G., &amp; </w:t>
      </w:r>
      <w:proofErr w:type="spellStart"/>
      <w:r>
        <w:rPr>
          <w:rFonts w:ascii="Times New Roman" w:eastAsia="Times New Roman" w:hAnsi="Times New Roman" w:cs="Times New Roman"/>
          <w:sz w:val="24"/>
          <w:szCs w:val="24"/>
        </w:rPr>
        <w:t>Kitayama</w:t>
      </w:r>
      <w:proofErr w:type="spellEnd"/>
      <w:r>
        <w:rPr>
          <w:rFonts w:ascii="Times New Roman" w:eastAsia="Times New Roman" w:hAnsi="Times New Roman" w:cs="Times New Roman"/>
          <w:sz w:val="24"/>
          <w:szCs w:val="24"/>
        </w:rPr>
        <w:t xml:space="preserve">, K. (1999). Drought effects on the summit vegetation on Mount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by an El Niño event in 1998. </w:t>
      </w:r>
      <w:r>
        <w:rPr>
          <w:rFonts w:ascii="Times New Roman" w:eastAsia="Times New Roman" w:hAnsi="Times New Roman" w:cs="Times New Roman"/>
          <w:i/>
          <w:sz w:val="24"/>
          <w:szCs w:val="24"/>
        </w:rPr>
        <w:t>Sabah Parks Nature Journal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101–110.</w:t>
      </w:r>
    </w:p>
    <w:p w14:paraId="2BD48ABE"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Locatelli, B., </w:t>
      </w:r>
      <w:proofErr w:type="spellStart"/>
      <w:r>
        <w:rPr>
          <w:rFonts w:ascii="Times New Roman" w:eastAsia="Times New Roman" w:hAnsi="Times New Roman" w:cs="Times New Roman"/>
          <w:sz w:val="24"/>
          <w:szCs w:val="24"/>
        </w:rPr>
        <w:t>Kanninen</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Brockhaus</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Colfer</w:t>
      </w:r>
      <w:proofErr w:type="spellEnd"/>
      <w:r>
        <w:rPr>
          <w:rFonts w:ascii="Times New Roman" w:eastAsia="Times New Roman" w:hAnsi="Times New Roman" w:cs="Times New Roman"/>
          <w:sz w:val="24"/>
          <w:szCs w:val="24"/>
        </w:rPr>
        <w:t xml:space="preserve">, C. J. P., </w:t>
      </w:r>
      <w:proofErr w:type="spellStart"/>
      <w:r>
        <w:rPr>
          <w:rFonts w:ascii="Times New Roman" w:eastAsia="Times New Roman" w:hAnsi="Times New Roman" w:cs="Times New Roman"/>
          <w:sz w:val="24"/>
          <w:szCs w:val="24"/>
        </w:rPr>
        <w:t>Murdiyarso</w:t>
      </w:r>
      <w:proofErr w:type="spellEnd"/>
      <w:r>
        <w:rPr>
          <w:rFonts w:ascii="Times New Roman" w:eastAsia="Times New Roman" w:hAnsi="Times New Roman" w:cs="Times New Roman"/>
          <w:sz w:val="24"/>
          <w:szCs w:val="24"/>
        </w:rPr>
        <w:t xml:space="preserve">, D., &amp; </w:t>
      </w:r>
      <w:proofErr w:type="spellStart"/>
      <w:r>
        <w:rPr>
          <w:rFonts w:ascii="Times New Roman" w:eastAsia="Times New Roman" w:hAnsi="Times New Roman" w:cs="Times New Roman"/>
          <w:sz w:val="24"/>
          <w:szCs w:val="24"/>
        </w:rPr>
        <w:t>Santoso</w:t>
      </w:r>
      <w:proofErr w:type="spellEnd"/>
      <w:r>
        <w:rPr>
          <w:rFonts w:ascii="Times New Roman" w:eastAsia="Times New Roman" w:hAnsi="Times New Roman" w:cs="Times New Roman"/>
          <w:sz w:val="24"/>
          <w:szCs w:val="24"/>
        </w:rPr>
        <w:t xml:space="preserve">, H. (2009). </w:t>
      </w:r>
      <w:proofErr w:type="spellStart"/>
      <w:r>
        <w:rPr>
          <w:rFonts w:ascii="Times New Roman" w:eastAsia="Times New Roman" w:hAnsi="Times New Roman" w:cs="Times New Roman"/>
          <w:i/>
          <w:sz w:val="24"/>
          <w:szCs w:val="24"/>
        </w:rPr>
        <w:t>Menghadapi</w:t>
      </w:r>
      <w:proofErr w:type="spellEnd"/>
      <w:r>
        <w:rPr>
          <w:rFonts w:ascii="Times New Roman" w:eastAsia="Times New Roman" w:hAnsi="Times New Roman" w:cs="Times New Roman"/>
          <w:i/>
          <w:sz w:val="24"/>
          <w:szCs w:val="24"/>
        </w:rPr>
        <w:t xml:space="preserve"> Masa </w:t>
      </w:r>
      <w:proofErr w:type="spellStart"/>
      <w:r>
        <w:rPr>
          <w:rFonts w:ascii="Times New Roman" w:eastAsia="Times New Roman" w:hAnsi="Times New Roman" w:cs="Times New Roman"/>
          <w:i/>
          <w:sz w:val="24"/>
          <w:szCs w:val="24"/>
        </w:rPr>
        <w:t>Depan</w:t>
      </w:r>
      <w:proofErr w:type="spellEnd"/>
      <w:r>
        <w:rPr>
          <w:rFonts w:ascii="Times New Roman" w:eastAsia="Times New Roman" w:hAnsi="Times New Roman" w:cs="Times New Roman"/>
          <w:i/>
          <w:sz w:val="24"/>
          <w:szCs w:val="24"/>
        </w:rPr>
        <w:t xml:space="preserve"> Yang </w:t>
      </w:r>
      <w:proofErr w:type="spellStart"/>
      <w:r>
        <w:rPr>
          <w:rFonts w:ascii="Times New Roman" w:eastAsia="Times New Roman" w:hAnsi="Times New Roman" w:cs="Times New Roman"/>
          <w:i/>
          <w:sz w:val="24"/>
          <w:szCs w:val="24"/>
        </w:rPr>
        <w:t>Tak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Pasti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Bagaimana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Hutan</w:t>
      </w:r>
      <w:proofErr w:type="spellEnd"/>
      <w:r>
        <w:rPr>
          <w:rFonts w:ascii="Times New Roman" w:eastAsia="Times New Roman" w:hAnsi="Times New Roman" w:cs="Times New Roman"/>
          <w:i/>
          <w:sz w:val="24"/>
          <w:szCs w:val="24"/>
        </w:rPr>
        <w:t xml:space="preserve"> Dan </w:t>
      </w:r>
      <w:proofErr w:type="spellStart"/>
      <w:r>
        <w:rPr>
          <w:rFonts w:ascii="Times New Roman" w:eastAsia="Times New Roman" w:hAnsi="Times New Roman" w:cs="Times New Roman"/>
          <w:i/>
          <w:sz w:val="24"/>
          <w:szCs w:val="24"/>
        </w:rPr>
        <w:t>Manusia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Beradaptasi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Terhadap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Perubahan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Iklim</w:t>
      </w:r>
      <w:proofErr w:type="spellEnd"/>
      <w:r>
        <w:rPr>
          <w:rFonts w:ascii="Times New Roman" w:eastAsia="Times New Roman" w:hAnsi="Times New Roman" w:cs="Times New Roman"/>
          <w:sz w:val="24"/>
          <w:szCs w:val="24"/>
        </w:rPr>
        <w:t>. CIFOR.</w:t>
      </w:r>
    </w:p>
    <w:p w14:paraId="618FDCF4"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 B., </w:t>
      </w:r>
      <w:proofErr w:type="spellStart"/>
      <w:r>
        <w:rPr>
          <w:rFonts w:ascii="Times New Roman" w:eastAsia="Times New Roman" w:hAnsi="Times New Roman" w:cs="Times New Roman"/>
          <w:sz w:val="24"/>
          <w:szCs w:val="24"/>
        </w:rPr>
        <w:t>Henriques</w:t>
      </w:r>
      <w:proofErr w:type="spellEnd"/>
      <w:r>
        <w:rPr>
          <w:rFonts w:ascii="Times New Roman" w:eastAsia="Times New Roman" w:hAnsi="Times New Roman" w:cs="Times New Roman"/>
          <w:sz w:val="24"/>
          <w:szCs w:val="24"/>
        </w:rPr>
        <w:t xml:space="preserve">, J., Andersen, H. S., </w:t>
      </w:r>
      <w:proofErr w:type="spellStart"/>
      <w:r>
        <w:rPr>
          <w:rFonts w:ascii="Times New Roman" w:eastAsia="Times New Roman" w:hAnsi="Times New Roman" w:cs="Times New Roman"/>
          <w:sz w:val="24"/>
          <w:szCs w:val="24"/>
        </w:rPr>
        <w:t>Gausset</w:t>
      </w:r>
      <w:proofErr w:type="spellEnd"/>
      <w:r>
        <w:rPr>
          <w:rFonts w:ascii="Times New Roman" w:eastAsia="Times New Roman" w:hAnsi="Times New Roman" w:cs="Times New Roman"/>
          <w:sz w:val="24"/>
          <w:szCs w:val="24"/>
        </w:rPr>
        <w:t xml:space="preserve">, Q., &amp; </w:t>
      </w:r>
      <w:proofErr w:type="spellStart"/>
      <w:r>
        <w:rPr>
          <w:rFonts w:ascii="Times New Roman" w:eastAsia="Times New Roman" w:hAnsi="Times New Roman" w:cs="Times New Roman"/>
          <w:sz w:val="24"/>
          <w:szCs w:val="24"/>
        </w:rPr>
        <w:t>Egay</w:t>
      </w:r>
      <w:proofErr w:type="spellEnd"/>
      <w:r>
        <w:rPr>
          <w:rFonts w:ascii="Times New Roman" w:eastAsia="Times New Roman" w:hAnsi="Times New Roman" w:cs="Times New Roman"/>
          <w:sz w:val="24"/>
          <w:szCs w:val="24"/>
        </w:rPr>
        <w:t xml:space="preserve">, K. (2003). Land tenure in relation to Crocker Range National Park. </w:t>
      </w:r>
      <w:r>
        <w:rPr>
          <w:rFonts w:ascii="Times New Roman" w:eastAsia="Times New Roman" w:hAnsi="Times New Roman" w:cs="Times New Roman"/>
          <w:i/>
          <w:sz w:val="24"/>
          <w:szCs w:val="24"/>
        </w:rPr>
        <w:t>ASEAN Review of Biodiversity and Environmental Conservation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March</w:t>
      </w:r>
      <w:r>
        <w:rPr>
          <w:rFonts w:ascii="Times New Roman" w:eastAsia="Times New Roman" w:hAnsi="Times New Roman" w:cs="Times New Roman"/>
          <w:sz w:val="24"/>
          <w:szCs w:val="24"/>
        </w:rPr>
        <w:t>, 89–105. http://www.arbec.com.my/pdf/art5janmar03.pdf</w:t>
      </w:r>
    </w:p>
    <w:p w14:paraId="671C580D"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G. J., Agama, A. L., </w:t>
      </w:r>
      <w:proofErr w:type="spellStart"/>
      <w:r>
        <w:rPr>
          <w:rFonts w:ascii="Times New Roman" w:eastAsia="Times New Roman" w:hAnsi="Times New Roman" w:cs="Times New Roman"/>
          <w:sz w:val="24"/>
          <w:szCs w:val="24"/>
        </w:rPr>
        <w:t>Beaman</w:t>
      </w:r>
      <w:proofErr w:type="spellEnd"/>
      <w:r>
        <w:rPr>
          <w:rFonts w:ascii="Times New Roman" w:eastAsia="Times New Roman" w:hAnsi="Times New Roman" w:cs="Times New Roman"/>
          <w:sz w:val="24"/>
          <w:szCs w:val="24"/>
        </w:rPr>
        <w:t xml:space="preserve">, J. H., &amp; </w:t>
      </w:r>
      <w:proofErr w:type="spellStart"/>
      <w:r>
        <w:rPr>
          <w:rFonts w:ascii="Times New Roman" w:eastAsia="Times New Roman" w:hAnsi="Times New Roman" w:cs="Times New Roman"/>
          <w:sz w:val="24"/>
          <w:szCs w:val="24"/>
        </w:rPr>
        <w:t>Nais</w:t>
      </w:r>
      <w:proofErr w:type="spellEnd"/>
      <w:r>
        <w:rPr>
          <w:rFonts w:ascii="Times New Roman" w:eastAsia="Times New Roman" w:hAnsi="Times New Roman" w:cs="Times New Roman"/>
          <w:sz w:val="24"/>
          <w:szCs w:val="24"/>
        </w:rPr>
        <w:t xml:space="preserve">, J. (2002). </w:t>
      </w:r>
      <w:proofErr w:type="spellStart"/>
      <w:r>
        <w:rPr>
          <w:rFonts w:ascii="Times New Roman" w:eastAsia="Times New Roman" w:hAnsi="Times New Roman" w:cs="Times New Roman"/>
          <w:i/>
          <w:sz w:val="24"/>
          <w:szCs w:val="24"/>
        </w:rPr>
        <w:t>Projek</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Etnobotani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Kinabalu</w:t>
      </w:r>
      <w:proofErr w:type="spellEnd"/>
      <w:r>
        <w:rPr>
          <w:rFonts w:ascii="Times New Roman" w:eastAsia="Times New Roman" w:hAnsi="Times New Roman" w:cs="Times New Roman"/>
          <w:i/>
          <w:sz w:val="24"/>
          <w:szCs w:val="24"/>
        </w:rPr>
        <w:t xml:space="preserve">: The making of a Dusun </w:t>
      </w:r>
      <w:proofErr w:type="spellStart"/>
      <w:r>
        <w:rPr>
          <w:rFonts w:ascii="Times New Roman" w:eastAsia="Times New Roman" w:hAnsi="Times New Roman" w:cs="Times New Roman"/>
          <w:i/>
          <w:sz w:val="24"/>
          <w:szCs w:val="24"/>
        </w:rPr>
        <w:t>Ethnoflora</w:t>
      </w:r>
      <w:proofErr w:type="spellEnd"/>
      <w:r>
        <w:rPr>
          <w:rFonts w:ascii="Times New Roman" w:eastAsia="Times New Roman" w:hAnsi="Times New Roman" w:cs="Times New Roman"/>
          <w:i/>
          <w:sz w:val="24"/>
          <w:szCs w:val="24"/>
        </w:rPr>
        <w:t xml:space="preserve"> (Sabah, Malaysia). People and Plants Working Paper 9.</w:t>
      </w:r>
      <w:r>
        <w:rPr>
          <w:rFonts w:ascii="Times New Roman" w:eastAsia="Times New Roman" w:hAnsi="Times New Roman" w:cs="Times New Roman"/>
          <w:sz w:val="24"/>
          <w:szCs w:val="24"/>
        </w:rPr>
        <w:t xml:space="preserve"> (Issue February).</w:t>
      </w:r>
    </w:p>
    <w:p w14:paraId="456ADBA4"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Martire</w:t>
      </w:r>
      <w:proofErr w:type="spellEnd"/>
      <w:r>
        <w:rPr>
          <w:rFonts w:ascii="Times New Roman" w:eastAsia="Times New Roman" w:hAnsi="Times New Roman" w:cs="Times New Roman"/>
          <w:sz w:val="24"/>
          <w:szCs w:val="24"/>
        </w:rPr>
        <w:t xml:space="preserve">, S., Castellani, V., &amp; Sala, S. (2015). Carrying capacity assessment of forest resources: Enhancing environmental sustainability in energy production at local scale. </w:t>
      </w:r>
      <w:r>
        <w:rPr>
          <w:rFonts w:ascii="Times New Roman" w:eastAsia="Times New Roman" w:hAnsi="Times New Roman" w:cs="Times New Roman"/>
          <w:i/>
          <w:sz w:val="24"/>
          <w:szCs w:val="24"/>
        </w:rPr>
        <w:t>Resources, Conservation and Recycling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94</w:t>
      </w:r>
      <w:r>
        <w:rPr>
          <w:rFonts w:ascii="Times New Roman" w:eastAsia="Times New Roman" w:hAnsi="Times New Roman" w:cs="Times New Roman"/>
          <w:sz w:val="24"/>
          <w:szCs w:val="24"/>
        </w:rPr>
        <w:t>, 11–20. https://doi.org/10.1016/j.resconrec.2014.11.002</w:t>
      </w:r>
    </w:p>
    <w:p w14:paraId="2F78F227"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Mayo, S. J., </w:t>
      </w:r>
      <w:proofErr w:type="spellStart"/>
      <w:r>
        <w:rPr>
          <w:rFonts w:ascii="Times New Roman" w:eastAsia="Times New Roman" w:hAnsi="Times New Roman" w:cs="Times New Roman"/>
          <w:sz w:val="24"/>
          <w:szCs w:val="24"/>
        </w:rPr>
        <w:t>Bogner</w:t>
      </w:r>
      <w:proofErr w:type="spellEnd"/>
      <w:r>
        <w:rPr>
          <w:rFonts w:ascii="Times New Roman" w:eastAsia="Times New Roman" w:hAnsi="Times New Roman" w:cs="Times New Roman"/>
          <w:sz w:val="24"/>
          <w:szCs w:val="24"/>
        </w:rPr>
        <w:t xml:space="preserve">, J., &amp; Boyce, P. C. (1997). The genera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The Royal Botanic Gardens Kew</w:t>
      </w:r>
      <w:r>
        <w:rPr>
          <w:rFonts w:ascii="Times New Roman" w:eastAsia="Times New Roman" w:hAnsi="Times New Roman" w:cs="Times New Roman"/>
          <w:sz w:val="24"/>
          <w:szCs w:val="24"/>
        </w:rPr>
        <w:t>.</w:t>
      </w:r>
    </w:p>
    <w:p w14:paraId="4DEE9843"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Mojiol</w:t>
      </w:r>
      <w:proofErr w:type="spellEnd"/>
      <w:r>
        <w:rPr>
          <w:rFonts w:ascii="Times New Roman" w:eastAsia="Times New Roman" w:hAnsi="Times New Roman" w:cs="Times New Roman"/>
          <w:sz w:val="24"/>
          <w:szCs w:val="24"/>
        </w:rPr>
        <w:t xml:space="preserve">, A. R. (2019). Community Awareness and Involvement Towards Ecotourism Activities in </w:t>
      </w:r>
      <w:proofErr w:type="spellStart"/>
      <w:r>
        <w:rPr>
          <w:rFonts w:ascii="Times New Roman" w:eastAsia="Times New Roman" w:hAnsi="Times New Roman" w:cs="Times New Roman"/>
          <w:sz w:val="24"/>
          <w:szCs w:val="24"/>
        </w:rPr>
        <w:t>Ranau</w:t>
      </w:r>
      <w:proofErr w:type="spellEnd"/>
      <w:r>
        <w:rPr>
          <w:rFonts w:ascii="Times New Roman" w:eastAsia="Times New Roman" w:hAnsi="Times New Roman" w:cs="Times New Roman"/>
          <w:sz w:val="24"/>
          <w:szCs w:val="24"/>
        </w:rPr>
        <w:t xml:space="preserve">, Sabah. </w:t>
      </w:r>
      <w:r>
        <w:rPr>
          <w:rFonts w:ascii="Times New Roman" w:eastAsia="Times New Roman" w:hAnsi="Times New Roman" w:cs="Times New Roman"/>
          <w:i/>
          <w:sz w:val="24"/>
          <w:szCs w:val="24"/>
        </w:rPr>
        <w:t>Borneo Journal of Sciences and Technology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(1), 3–8.</w:t>
      </w:r>
    </w:p>
    <w:p w14:paraId="555410DD"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Muhammed, N., &amp; </w:t>
      </w:r>
      <w:proofErr w:type="spellStart"/>
      <w:r>
        <w:rPr>
          <w:rFonts w:ascii="Times New Roman" w:eastAsia="Times New Roman" w:hAnsi="Times New Roman" w:cs="Times New Roman"/>
          <w:sz w:val="24"/>
          <w:szCs w:val="24"/>
        </w:rPr>
        <w:t>Muthu</w:t>
      </w:r>
      <w:proofErr w:type="spellEnd"/>
      <w:r>
        <w:rPr>
          <w:rFonts w:ascii="Times New Roman" w:eastAsia="Times New Roman" w:hAnsi="Times New Roman" w:cs="Times New Roman"/>
          <w:sz w:val="24"/>
          <w:szCs w:val="24"/>
        </w:rPr>
        <w:t xml:space="preserve">, T. A. (2015). Indigenous People and Their Traditional Knowledge on Tropical Plant Cultivation and Utilization: A Case Study of </w:t>
      </w:r>
      <w:proofErr w:type="spellStart"/>
      <w:r>
        <w:rPr>
          <w:rFonts w:ascii="Times New Roman" w:eastAsia="Times New Roman" w:hAnsi="Times New Roman" w:cs="Times New Roman"/>
          <w:sz w:val="24"/>
          <w:szCs w:val="24"/>
        </w:rPr>
        <w:t>Murut</w:t>
      </w:r>
      <w:proofErr w:type="spellEnd"/>
      <w:r>
        <w:rPr>
          <w:rFonts w:ascii="Times New Roman" w:eastAsia="Times New Roman" w:hAnsi="Times New Roman" w:cs="Times New Roman"/>
          <w:sz w:val="24"/>
          <w:szCs w:val="24"/>
        </w:rPr>
        <w:t xml:space="preserve"> Communities of Sabah, Borneo. </w:t>
      </w:r>
      <w:r>
        <w:rPr>
          <w:rFonts w:ascii="Times New Roman" w:eastAsia="Times New Roman" w:hAnsi="Times New Roman" w:cs="Times New Roman"/>
          <w:i/>
          <w:sz w:val="24"/>
          <w:szCs w:val="24"/>
        </w:rPr>
        <w:t>Journal of Tropical Resources and Sustainable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117–128.</w:t>
      </w:r>
    </w:p>
    <w:p w14:paraId="1517D5EA"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Noor </w:t>
      </w:r>
      <w:proofErr w:type="spellStart"/>
      <w:r>
        <w:rPr>
          <w:rFonts w:ascii="Times New Roman" w:eastAsia="Times New Roman" w:hAnsi="Times New Roman" w:cs="Times New Roman"/>
          <w:sz w:val="24"/>
          <w:szCs w:val="24"/>
        </w:rPr>
        <w:t>Liyana</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Zulhazman</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Mazlan</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Nazahatul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Anis</w:t>
      </w:r>
      <w:proofErr w:type="spellEnd"/>
      <w:r>
        <w:rPr>
          <w:rFonts w:ascii="Times New Roman" w:eastAsia="Times New Roman" w:hAnsi="Times New Roman" w:cs="Times New Roman"/>
          <w:sz w:val="24"/>
          <w:szCs w:val="24"/>
        </w:rPr>
        <w:t xml:space="preserve">, A. (2020). A Distribution of </w:t>
      </w:r>
      <w:proofErr w:type="spellStart"/>
      <w:r>
        <w:rPr>
          <w:rFonts w:ascii="Times New Roman" w:eastAsia="Times New Roman" w:hAnsi="Times New Roman" w:cs="Times New Roman"/>
          <w:sz w:val="24"/>
          <w:szCs w:val="24"/>
        </w:rPr>
        <w:t>Homalomena</w:t>
      </w:r>
      <w:proofErr w:type="spellEnd"/>
      <w:r>
        <w:rPr>
          <w:rFonts w:ascii="Times New Roman" w:eastAsia="Times New Roman" w:hAnsi="Times New Roman" w:cs="Times New Roman"/>
          <w:sz w:val="24"/>
          <w:szCs w:val="24"/>
        </w:rPr>
        <w:t xml:space="preserve"> Genus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using the Ecological Niche Modeling in the State of Kelantan, Peninsular Malaysia. </w:t>
      </w:r>
      <w:proofErr w:type="spellStart"/>
      <w:r>
        <w:rPr>
          <w:rFonts w:ascii="Times New Roman" w:eastAsia="Times New Roman" w:hAnsi="Times New Roman" w:cs="Times New Roman"/>
          <w:i/>
          <w:sz w:val="24"/>
          <w:szCs w:val="24"/>
        </w:rPr>
        <w:t>Intrnational</w:t>
      </w:r>
      <w:proofErr w:type="spellEnd"/>
      <w:r>
        <w:rPr>
          <w:rFonts w:ascii="Times New Roman" w:eastAsia="Times New Roman" w:hAnsi="Times New Roman" w:cs="Times New Roman"/>
          <w:i/>
          <w:sz w:val="24"/>
          <w:szCs w:val="24"/>
        </w:rPr>
        <w:t xml:space="preserve"> Journal of Advanced Science and Technology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29</w:t>
      </w:r>
      <w:r>
        <w:rPr>
          <w:rFonts w:ascii="Times New Roman" w:eastAsia="Times New Roman" w:hAnsi="Times New Roman" w:cs="Times New Roman"/>
          <w:sz w:val="24"/>
          <w:szCs w:val="24"/>
        </w:rPr>
        <w:t>(5), 1967–1975.</w:t>
      </w:r>
    </w:p>
    <w:p w14:paraId="4E762D80"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 </w:t>
      </w:r>
      <w:proofErr w:type="spellStart"/>
      <w:r>
        <w:rPr>
          <w:rFonts w:ascii="Times New Roman" w:eastAsia="Times New Roman" w:hAnsi="Times New Roman" w:cs="Times New Roman"/>
          <w:sz w:val="24"/>
          <w:szCs w:val="24"/>
        </w:rPr>
        <w:t>Rasyidah</w:t>
      </w:r>
      <w:proofErr w:type="spellEnd"/>
      <w:r>
        <w:rPr>
          <w:rFonts w:ascii="Times New Roman" w:eastAsia="Times New Roman" w:hAnsi="Times New Roman" w:cs="Times New Roman"/>
          <w:sz w:val="24"/>
          <w:szCs w:val="24"/>
        </w:rPr>
        <w:t xml:space="preserve">, A. W. (2022). </w:t>
      </w:r>
      <w:proofErr w:type="spellStart"/>
      <w:r>
        <w:rPr>
          <w:rFonts w:ascii="Times New Roman" w:eastAsia="Times New Roman" w:hAnsi="Times New Roman" w:cs="Times New Roman"/>
          <w:i/>
          <w:sz w:val="24"/>
          <w:szCs w:val="24"/>
        </w:rPr>
        <w:t>Kajian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Pengaruh</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Sifat-Sifat</w:t>
      </w:r>
      <w:proofErr w:type="spellEnd"/>
      <w:r>
        <w:rPr>
          <w:rFonts w:ascii="Times New Roman" w:eastAsia="Times New Roman" w:hAnsi="Times New Roman" w:cs="Times New Roman"/>
          <w:i/>
          <w:sz w:val="24"/>
          <w:szCs w:val="24"/>
        </w:rPr>
        <w:t xml:space="preserve"> Tanah, </w:t>
      </w:r>
      <w:proofErr w:type="spellStart"/>
      <w:r>
        <w:rPr>
          <w:rFonts w:ascii="Times New Roman" w:eastAsia="Times New Roman" w:hAnsi="Times New Roman" w:cs="Times New Roman"/>
          <w:i/>
          <w:sz w:val="24"/>
          <w:szCs w:val="24"/>
        </w:rPr>
        <w:t>Mikroiklim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Tumbuhan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Sekitaran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Terhadap</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Kemandirian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Tetrastigma</w:t>
      </w:r>
      <w:proofErr w:type="spellEnd"/>
      <w:r>
        <w:rPr>
          <w:rFonts w:ascii="Times New Roman" w:eastAsia="Times New Roman" w:hAnsi="Times New Roman" w:cs="Times New Roman"/>
          <w:i/>
          <w:sz w:val="24"/>
          <w:szCs w:val="24"/>
        </w:rPr>
        <w:t xml:space="preserve"> Planch. di Taman </w:t>
      </w:r>
      <w:proofErr w:type="spellStart"/>
      <w:r>
        <w:rPr>
          <w:rFonts w:ascii="Times New Roman" w:eastAsia="Times New Roman" w:hAnsi="Times New Roman" w:cs="Times New Roman"/>
          <w:i/>
          <w:sz w:val="24"/>
          <w:szCs w:val="24"/>
        </w:rPr>
        <w:t>Kinabalu</w:t>
      </w:r>
      <w:proofErr w:type="spellEnd"/>
      <w:r>
        <w:rPr>
          <w:rFonts w:ascii="Times New Roman" w:eastAsia="Times New Roman" w:hAnsi="Times New Roman" w:cs="Times New Roman"/>
          <w:i/>
          <w:sz w:val="24"/>
          <w:szCs w:val="24"/>
        </w:rPr>
        <w:t>, Sabah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Malaysia Sabah, Kota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Sabah.</w:t>
      </w:r>
    </w:p>
    <w:p w14:paraId="26BC69E2"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Normah</w:t>
      </w:r>
      <w:proofErr w:type="spellEnd"/>
      <w:r>
        <w:rPr>
          <w:rFonts w:ascii="Times New Roman" w:eastAsia="Times New Roman" w:hAnsi="Times New Roman" w:cs="Times New Roman"/>
          <w:sz w:val="24"/>
          <w:szCs w:val="24"/>
        </w:rPr>
        <w:t xml:space="preserve">, A. L., </w:t>
      </w:r>
      <w:proofErr w:type="spellStart"/>
      <w:r>
        <w:rPr>
          <w:rFonts w:ascii="Times New Roman" w:eastAsia="Times New Roman" w:hAnsi="Times New Roman" w:cs="Times New Roman"/>
          <w:sz w:val="24"/>
          <w:szCs w:val="24"/>
        </w:rPr>
        <w:t>Mastura</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Azizan</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Kamand</w:t>
      </w:r>
      <w:proofErr w:type="spellEnd"/>
      <w:r>
        <w:rPr>
          <w:rFonts w:ascii="Times New Roman" w:eastAsia="Times New Roman" w:hAnsi="Times New Roman" w:cs="Times New Roman"/>
          <w:sz w:val="24"/>
          <w:szCs w:val="24"/>
        </w:rPr>
        <w:t xml:space="preserve">, M. R.,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Umzarulazijo</w:t>
      </w:r>
      <w:proofErr w:type="spellEnd"/>
      <w:r>
        <w:rPr>
          <w:rFonts w:ascii="Times New Roman" w:eastAsia="Times New Roman" w:hAnsi="Times New Roman" w:cs="Times New Roman"/>
          <w:sz w:val="24"/>
          <w:szCs w:val="24"/>
        </w:rPr>
        <w:t xml:space="preserve">, U., &amp; </w:t>
      </w:r>
      <w:proofErr w:type="spellStart"/>
      <w:r>
        <w:rPr>
          <w:rFonts w:ascii="Times New Roman" w:eastAsia="Times New Roman" w:hAnsi="Times New Roman" w:cs="Times New Roman"/>
          <w:sz w:val="24"/>
          <w:szCs w:val="24"/>
        </w:rPr>
        <w:t>Rehmat</w:t>
      </w:r>
      <w:proofErr w:type="spellEnd"/>
      <w:r>
        <w:rPr>
          <w:rFonts w:ascii="Times New Roman" w:eastAsia="Times New Roman" w:hAnsi="Times New Roman" w:cs="Times New Roman"/>
          <w:sz w:val="24"/>
          <w:szCs w:val="24"/>
        </w:rPr>
        <w:t xml:space="preserve">, K. (2016). The impact of tourism activities on the environment of Mount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UNESCO World Heritage Site. </w:t>
      </w:r>
      <w:r>
        <w:rPr>
          <w:rFonts w:ascii="Times New Roman" w:eastAsia="Times New Roman" w:hAnsi="Times New Roman" w:cs="Times New Roman"/>
          <w:i/>
          <w:sz w:val="24"/>
          <w:szCs w:val="24"/>
        </w:rPr>
        <w:t>Journal of the Malaysian Institute of Planners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18</w:t>
      </w:r>
      <w:r>
        <w:rPr>
          <w:rFonts w:ascii="Times New Roman" w:eastAsia="Times New Roman" w:hAnsi="Times New Roman" w:cs="Times New Roman"/>
          <w:sz w:val="24"/>
          <w:szCs w:val="24"/>
        </w:rPr>
        <w:t>(4), 399–413. https://medium.com/@arifwicaksanaa/pengertian-use-case-a7e576e1b6bf</w:t>
      </w:r>
    </w:p>
    <w:p w14:paraId="2536C989"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Nurul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Athirah</w:t>
      </w:r>
      <w:proofErr w:type="spellEnd"/>
      <w:r>
        <w:rPr>
          <w:rFonts w:ascii="Times New Roman" w:eastAsia="Times New Roman" w:hAnsi="Times New Roman" w:cs="Times New Roman"/>
          <w:sz w:val="24"/>
          <w:szCs w:val="24"/>
        </w:rPr>
        <w:t xml:space="preserve">, C. A., Saleh, E., &amp; </w:t>
      </w:r>
      <w:proofErr w:type="spellStart"/>
      <w:r>
        <w:rPr>
          <w:rFonts w:ascii="Times New Roman" w:eastAsia="Times New Roman" w:hAnsi="Times New Roman" w:cs="Times New Roman"/>
          <w:sz w:val="24"/>
          <w:szCs w:val="24"/>
        </w:rPr>
        <w:t>Fazliana</w:t>
      </w:r>
      <w:proofErr w:type="spellEnd"/>
      <w:r>
        <w:rPr>
          <w:rFonts w:ascii="Times New Roman" w:eastAsia="Times New Roman" w:hAnsi="Times New Roman" w:cs="Times New Roman"/>
          <w:sz w:val="24"/>
          <w:szCs w:val="24"/>
        </w:rPr>
        <w:t xml:space="preserve">, M. (2014). Vulnerability Assessment of Climate Change Adaptations on Federal Territory of Labuan, Malaysia. </w:t>
      </w:r>
      <w:r>
        <w:rPr>
          <w:rFonts w:ascii="Times New Roman" w:eastAsia="Times New Roman" w:hAnsi="Times New Roman" w:cs="Times New Roman"/>
          <w:i/>
          <w:sz w:val="24"/>
          <w:szCs w:val="24"/>
        </w:rPr>
        <w:t>International Conference on Marine Science &amp; Aquaculture</w:t>
      </w:r>
      <w:r>
        <w:rPr>
          <w:rFonts w:ascii="Times New Roman" w:eastAsia="Times New Roman" w:hAnsi="Times New Roman" w:cs="Times New Roman"/>
          <w:sz w:val="24"/>
          <w:szCs w:val="24"/>
        </w:rPr>
        <w:t>.</w:t>
      </w:r>
    </w:p>
    <w:p w14:paraId="41DE5CB8"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Pegan</w:t>
      </w:r>
      <w:proofErr w:type="spellEnd"/>
      <w:r>
        <w:rPr>
          <w:rFonts w:ascii="Times New Roman" w:eastAsia="Times New Roman" w:hAnsi="Times New Roman" w:cs="Times New Roman"/>
          <w:sz w:val="24"/>
          <w:szCs w:val="24"/>
        </w:rPr>
        <w:t xml:space="preserve">, T. M., </w:t>
      </w:r>
      <w:proofErr w:type="spellStart"/>
      <w:r>
        <w:rPr>
          <w:rFonts w:ascii="Times New Roman" w:eastAsia="Times New Roman" w:hAnsi="Times New Roman" w:cs="Times New Roman"/>
          <w:sz w:val="24"/>
          <w:szCs w:val="24"/>
        </w:rPr>
        <w:t>Gulson</w:t>
      </w:r>
      <w:proofErr w:type="spellEnd"/>
      <w:r>
        <w:rPr>
          <w:rFonts w:ascii="Times New Roman" w:eastAsia="Times New Roman" w:hAnsi="Times New Roman" w:cs="Times New Roman"/>
          <w:sz w:val="24"/>
          <w:szCs w:val="24"/>
        </w:rPr>
        <w:t xml:space="preserve">-Castillo, E. R., </w:t>
      </w:r>
      <w:proofErr w:type="spellStart"/>
      <w:r>
        <w:rPr>
          <w:rFonts w:ascii="Times New Roman" w:eastAsia="Times New Roman" w:hAnsi="Times New Roman" w:cs="Times New Roman"/>
          <w:sz w:val="24"/>
          <w:szCs w:val="24"/>
        </w:rPr>
        <w:t>Biun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Byington</w:t>
      </w:r>
      <w:proofErr w:type="spellEnd"/>
      <w:r>
        <w:rPr>
          <w:rFonts w:ascii="Times New Roman" w:eastAsia="Times New Roman" w:hAnsi="Times New Roman" w:cs="Times New Roman"/>
          <w:sz w:val="24"/>
          <w:szCs w:val="24"/>
        </w:rPr>
        <w:t xml:space="preserve">, J. I., Moyle, R. G., Yu, F. T. Y., Wood, E. M., Winkler, D. W., &amp; Sheldon, F. H. (2018). An assessment of avifauna in a recovering lowland forest at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National Park, Malaysian Borneo. </w:t>
      </w:r>
      <w:r>
        <w:rPr>
          <w:rFonts w:ascii="Times New Roman" w:eastAsia="Times New Roman" w:hAnsi="Times New Roman" w:cs="Times New Roman"/>
          <w:i/>
          <w:sz w:val="24"/>
          <w:szCs w:val="24"/>
        </w:rPr>
        <w:t>Raffles Bulletin of Zoology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66</w:t>
      </w:r>
      <w:r>
        <w:rPr>
          <w:rFonts w:ascii="Times New Roman" w:eastAsia="Times New Roman" w:hAnsi="Times New Roman" w:cs="Times New Roman"/>
          <w:sz w:val="24"/>
          <w:szCs w:val="24"/>
        </w:rPr>
        <w:t>, 110–131. http://zoobank.org/urn:lsid:zoobank.org:pub:FD788156-45E5-49D8-9B40-9BB624848858</w:t>
      </w:r>
    </w:p>
    <w:p w14:paraId="0A97D16B"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Pingking</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Rosazman</w:t>
      </w:r>
      <w:proofErr w:type="spellEnd"/>
      <w:r>
        <w:rPr>
          <w:rFonts w:ascii="Times New Roman" w:eastAsia="Times New Roman" w:hAnsi="Times New Roman" w:cs="Times New Roman"/>
          <w:sz w:val="24"/>
          <w:szCs w:val="24"/>
        </w:rPr>
        <w:t xml:space="preserve">, H. (2020). </w:t>
      </w:r>
      <w:proofErr w:type="spellStart"/>
      <w:r>
        <w:rPr>
          <w:rFonts w:ascii="Times New Roman" w:eastAsia="Times New Roman" w:hAnsi="Times New Roman" w:cs="Times New Roman"/>
          <w:sz w:val="24"/>
          <w:szCs w:val="24"/>
        </w:rPr>
        <w:t>Impak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Penubuhan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Imbak</w:t>
      </w:r>
      <w:proofErr w:type="spellEnd"/>
      <w:r>
        <w:rPr>
          <w:rFonts w:ascii="Times New Roman" w:eastAsia="Times New Roman" w:hAnsi="Times New Roman" w:cs="Times New Roman"/>
          <w:sz w:val="24"/>
          <w:szCs w:val="24"/>
        </w:rPr>
        <w:t xml:space="preserve"> Canyon Conservation Area (</w:t>
      </w:r>
      <w:proofErr w:type="spellStart"/>
      <w:r>
        <w:rPr>
          <w:rFonts w:ascii="Times New Roman" w:eastAsia="Times New Roman" w:hAnsi="Times New Roman" w:cs="Times New Roman"/>
          <w:sz w:val="24"/>
          <w:szCs w:val="24"/>
        </w:rPr>
        <w:t>Icca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Setempat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Kajian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Kes</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Kampung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Imbak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Tongod</w:t>
      </w:r>
      <w:proofErr w:type="spellEnd"/>
      <w:r>
        <w:rPr>
          <w:rFonts w:ascii="Times New Roman" w:eastAsia="Times New Roman" w:hAnsi="Times New Roman" w:cs="Times New Roman"/>
          <w:sz w:val="24"/>
          <w:szCs w:val="24"/>
        </w:rPr>
        <w:t xml:space="preserve">, Sabah, Malaysia. </w:t>
      </w:r>
      <w:r>
        <w:rPr>
          <w:rFonts w:ascii="Times New Roman" w:eastAsia="Times New Roman" w:hAnsi="Times New Roman" w:cs="Times New Roman"/>
          <w:i/>
          <w:sz w:val="24"/>
          <w:szCs w:val="24"/>
        </w:rPr>
        <w:t>Journal of Borneo Social Transformation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w:t>
      </w:r>
      <w:r>
        <w:rPr>
          <w:rFonts w:ascii="Times New Roman" w:eastAsia="Times New Roman" w:hAnsi="Times New Roman" w:cs="Times New Roman"/>
          <w:sz w:val="24"/>
          <w:szCs w:val="24"/>
        </w:rPr>
        <w:t>(1), 289–308. https://doi.org/10.51200/jobsts.v6i1.2815</w:t>
      </w:r>
    </w:p>
    <w:p w14:paraId="7D49AFCA"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Rafiqpoor</w:t>
      </w:r>
      <w:proofErr w:type="spellEnd"/>
      <w:r>
        <w:rPr>
          <w:rFonts w:ascii="Times New Roman" w:eastAsia="Times New Roman" w:hAnsi="Times New Roman" w:cs="Times New Roman"/>
          <w:sz w:val="24"/>
          <w:szCs w:val="24"/>
        </w:rPr>
        <w:t xml:space="preserve">, M. D., &amp; </w:t>
      </w:r>
      <w:proofErr w:type="spellStart"/>
      <w:r>
        <w:rPr>
          <w:rFonts w:ascii="Times New Roman" w:eastAsia="Times New Roman" w:hAnsi="Times New Roman" w:cs="Times New Roman"/>
          <w:sz w:val="24"/>
          <w:szCs w:val="24"/>
        </w:rPr>
        <w:t>Nieder</w:t>
      </w:r>
      <w:proofErr w:type="spellEnd"/>
      <w:r>
        <w:rPr>
          <w:rFonts w:ascii="Times New Roman" w:eastAsia="Times New Roman" w:hAnsi="Times New Roman" w:cs="Times New Roman"/>
          <w:sz w:val="24"/>
          <w:szCs w:val="24"/>
        </w:rPr>
        <w:t xml:space="preserve">, J. (2006). Altitudinal Zonation of Climate and Vegetation in a Global </w:t>
      </w:r>
      <w:proofErr w:type="spellStart"/>
      <w:r>
        <w:rPr>
          <w:rFonts w:ascii="Times New Roman" w:eastAsia="Times New Roman" w:hAnsi="Times New Roman" w:cs="Times New Roman"/>
          <w:sz w:val="24"/>
          <w:szCs w:val="24"/>
        </w:rPr>
        <w:t>Megadiversity</w:t>
      </w:r>
      <w:proofErr w:type="spellEnd"/>
      <w:r>
        <w:rPr>
          <w:rFonts w:ascii="Times New Roman" w:eastAsia="Times New Roman" w:hAnsi="Times New Roman" w:cs="Times New Roman"/>
          <w:sz w:val="24"/>
          <w:szCs w:val="24"/>
        </w:rPr>
        <w:t xml:space="preserve"> Centre, Mount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(North Borneo). </w:t>
      </w:r>
      <w:proofErr w:type="spellStart"/>
      <w:r>
        <w:rPr>
          <w:rFonts w:ascii="Times New Roman" w:eastAsia="Times New Roman" w:hAnsi="Times New Roman" w:cs="Times New Roman"/>
          <w:i/>
          <w:sz w:val="24"/>
          <w:szCs w:val="24"/>
        </w:rPr>
        <w:t>Erdkunde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60</w:t>
      </w:r>
      <w:r>
        <w:rPr>
          <w:rFonts w:ascii="Times New Roman" w:eastAsia="Times New Roman" w:hAnsi="Times New Roman" w:cs="Times New Roman"/>
          <w:sz w:val="24"/>
          <w:szCs w:val="24"/>
        </w:rPr>
        <w:t>(4), 362–374. http://www.jstor.org/stable/25647923</w:t>
      </w:r>
    </w:p>
    <w:p w14:paraId="0EE9C1E3"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Rasyidah</w:t>
      </w:r>
      <w:proofErr w:type="spellEnd"/>
      <w:r>
        <w:rPr>
          <w:rFonts w:ascii="Times New Roman" w:eastAsia="Times New Roman" w:hAnsi="Times New Roman" w:cs="Times New Roman"/>
          <w:sz w:val="24"/>
          <w:szCs w:val="24"/>
        </w:rPr>
        <w:t xml:space="preserve">, W., </w:t>
      </w:r>
      <w:proofErr w:type="spellStart"/>
      <w:r>
        <w:rPr>
          <w:rFonts w:ascii="Times New Roman" w:eastAsia="Times New Roman" w:hAnsi="Times New Roman" w:cs="Times New Roman"/>
          <w:sz w:val="24"/>
          <w:szCs w:val="24"/>
        </w:rPr>
        <w:t>Saibeh</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Shamsul</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Handry</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Geofarry</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Dasini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Ezron</w:t>
      </w:r>
      <w:proofErr w:type="spellEnd"/>
      <w:r>
        <w:rPr>
          <w:rFonts w:ascii="Times New Roman" w:eastAsia="Times New Roman" w:hAnsi="Times New Roman" w:cs="Times New Roman"/>
          <w:sz w:val="24"/>
          <w:szCs w:val="24"/>
        </w:rPr>
        <w:t xml:space="preserve">, G., </w:t>
      </w:r>
      <w:proofErr w:type="spellStart"/>
      <w:r>
        <w:rPr>
          <w:rFonts w:ascii="Times New Roman" w:eastAsia="Times New Roman" w:hAnsi="Times New Roman" w:cs="Times New Roman"/>
          <w:sz w:val="24"/>
          <w:szCs w:val="24"/>
        </w:rPr>
        <w:t>Rayzigerson</w:t>
      </w:r>
      <w:proofErr w:type="spellEnd"/>
      <w:r>
        <w:rPr>
          <w:rFonts w:ascii="Times New Roman" w:eastAsia="Times New Roman" w:hAnsi="Times New Roman" w:cs="Times New Roman"/>
          <w:sz w:val="24"/>
          <w:szCs w:val="24"/>
        </w:rPr>
        <w:t xml:space="preserve">, R. C., </w:t>
      </w:r>
      <w:proofErr w:type="spellStart"/>
      <w:r>
        <w:rPr>
          <w:rFonts w:ascii="Times New Roman" w:eastAsia="Times New Roman" w:hAnsi="Times New Roman" w:cs="Times New Roman"/>
          <w:sz w:val="24"/>
          <w:szCs w:val="24"/>
        </w:rPr>
        <w:t>Fadil</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Venly</w:t>
      </w:r>
      <w:proofErr w:type="spellEnd"/>
      <w:r>
        <w:rPr>
          <w:rFonts w:ascii="Times New Roman" w:eastAsia="Times New Roman" w:hAnsi="Times New Roman" w:cs="Times New Roman"/>
          <w:sz w:val="24"/>
          <w:szCs w:val="24"/>
        </w:rPr>
        <w:t xml:space="preserve">, &amp; Federica, K. (2021). Floristic community composition in </w:t>
      </w:r>
      <w:proofErr w:type="spellStart"/>
      <w:r>
        <w:rPr>
          <w:rFonts w:ascii="Times New Roman" w:eastAsia="Times New Roman" w:hAnsi="Times New Roman" w:cs="Times New Roman"/>
          <w:sz w:val="24"/>
          <w:szCs w:val="24"/>
        </w:rPr>
        <w:t>Rafflesia’s</w:t>
      </w:r>
      <w:proofErr w:type="spellEnd"/>
      <w:r>
        <w:rPr>
          <w:rFonts w:ascii="Times New Roman" w:eastAsia="Times New Roman" w:hAnsi="Times New Roman" w:cs="Times New Roman"/>
          <w:sz w:val="24"/>
          <w:szCs w:val="24"/>
        </w:rPr>
        <w:t xml:space="preserve"> habitat at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Park, Sabah. </w:t>
      </w:r>
      <w:r>
        <w:rPr>
          <w:rFonts w:ascii="Times New Roman" w:eastAsia="Times New Roman" w:hAnsi="Times New Roman" w:cs="Times New Roman"/>
          <w:i/>
          <w:sz w:val="24"/>
          <w:szCs w:val="24"/>
        </w:rPr>
        <w:t>Borneo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42</w:t>
      </w:r>
      <w:r>
        <w:rPr>
          <w:rFonts w:ascii="Times New Roman" w:eastAsia="Times New Roman" w:hAnsi="Times New Roman" w:cs="Times New Roman"/>
          <w:sz w:val="24"/>
          <w:szCs w:val="24"/>
        </w:rPr>
        <w:t>(2), 1–19.</w:t>
      </w:r>
    </w:p>
    <w:p w14:paraId="30E903C7"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Razgour</w:t>
      </w:r>
      <w:proofErr w:type="spellEnd"/>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Kasso</w:t>
      </w:r>
      <w:proofErr w:type="spellEnd"/>
      <w:r>
        <w:rPr>
          <w:rFonts w:ascii="Times New Roman" w:eastAsia="Times New Roman" w:hAnsi="Times New Roman" w:cs="Times New Roman"/>
          <w:sz w:val="24"/>
          <w:szCs w:val="24"/>
        </w:rPr>
        <w:t xml:space="preserve">, M., Santos, H., &amp; </w:t>
      </w:r>
      <w:proofErr w:type="spellStart"/>
      <w:r>
        <w:rPr>
          <w:rFonts w:ascii="Times New Roman" w:eastAsia="Times New Roman" w:hAnsi="Times New Roman" w:cs="Times New Roman"/>
          <w:sz w:val="24"/>
          <w:szCs w:val="24"/>
        </w:rPr>
        <w:t>Juste</w:t>
      </w:r>
      <w:proofErr w:type="spellEnd"/>
      <w:r>
        <w:rPr>
          <w:rFonts w:ascii="Times New Roman" w:eastAsia="Times New Roman" w:hAnsi="Times New Roman" w:cs="Times New Roman"/>
          <w:sz w:val="24"/>
          <w:szCs w:val="24"/>
        </w:rPr>
        <w:t xml:space="preserve">, J. (2021). Up in the air: Threats to Afromontane biodiversity from climate change and habitat loss revealed by genetic monitoring of the Ethiopian Highlands bat. </w:t>
      </w:r>
      <w:r>
        <w:rPr>
          <w:rFonts w:ascii="Times New Roman" w:eastAsia="Times New Roman" w:hAnsi="Times New Roman" w:cs="Times New Roman"/>
          <w:i/>
          <w:sz w:val="24"/>
          <w:szCs w:val="24"/>
        </w:rPr>
        <w:t>Wiley: Evolutionary Applications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w:t>
      </w:r>
      <w:r>
        <w:rPr>
          <w:rFonts w:ascii="Times New Roman" w:eastAsia="Times New Roman" w:hAnsi="Times New Roman" w:cs="Times New Roman"/>
          <w:sz w:val="24"/>
          <w:szCs w:val="24"/>
        </w:rPr>
        <w:t>, 794–806. https://doi.org/10.1111/eva.13161</w:t>
      </w:r>
    </w:p>
    <w:p w14:paraId="7642B917"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Sheldon, F. H. (1985). Habitat changes potentially affecting birdlife in Sabah, east Malaysia. </w:t>
      </w:r>
      <w:r>
        <w:rPr>
          <w:rFonts w:ascii="Times New Roman" w:eastAsia="Times New Roman" w:hAnsi="Times New Roman" w:cs="Times New Roman"/>
          <w:i/>
          <w:sz w:val="24"/>
          <w:szCs w:val="24"/>
        </w:rPr>
        <w:t>Tropical Forest Birds: Ecology and Conservation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January 1986</w:t>
      </w:r>
      <w:r>
        <w:rPr>
          <w:rFonts w:ascii="Times New Roman" w:eastAsia="Times New Roman" w:hAnsi="Times New Roman" w:cs="Times New Roman"/>
          <w:sz w:val="24"/>
          <w:szCs w:val="24"/>
        </w:rPr>
        <w:t>, 174–175.</w:t>
      </w:r>
    </w:p>
    <w:p w14:paraId="78C3925A"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Shumsky</w:t>
      </w:r>
      <w:proofErr w:type="spellEnd"/>
      <w:r>
        <w:rPr>
          <w:rFonts w:ascii="Times New Roman" w:eastAsia="Times New Roman" w:hAnsi="Times New Roman" w:cs="Times New Roman"/>
          <w:sz w:val="24"/>
          <w:szCs w:val="24"/>
        </w:rPr>
        <w:t xml:space="preserve">, S. A., Hickey, G. M., Pelletier, B., &amp; Johns, T. (2014). Understanding the contribution of wild edible plants to rural social-ecological resilience in semi-arid Kenya. </w:t>
      </w:r>
      <w:r>
        <w:rPr>
          <w:rFonts w:ascii="Times New Roman" w:eastAsia="Times New Roman" w:hAnsi="Times New Roman" w:cs="Times New Roman"/>
          <w:i/>
          <w:sz w:val="24"/>
          <w:szCs w:val="24"/>
        </w:rPr>
        <w:t>Ecology and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19</w:t>
      </w:r>
      <w:r>
        <w:rPr>
          <w:rFonts w:ascii="Times New Roman" w:eastAsia="Times New Roman" w:hAnsi="Times New Roman" w:cs="Times New Roman"/>
          <w:sz w:val="24"/>
          <w:szCs w:val="24"/>
        </w:rPr>
        <w:t>(4). https://doi.org/10.5751/ES-06924-190434</w:t>
      </w:r>
    </w:p>
    <w:p w14:paraId="01D26F39"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Siringan</w:t>
      </w:r>
      <w:proofErr w:type="spellEnd"/>
      <w:r>
        <w:rPr>
          <w:rFonts w:ascii="Times New Roman" w:eastAsia="Times New Roman" w:hAnsi="Times New Roman" w:cs="Times New Roman"/>
          <w:sz w:val="24"/>
          <w:szCs w:val="24"/>
        </w:rPr>
        <w:t xml:space="preserve">, F. P., Maria, M. Y. Y. S., </w:t>
      </w:r>
      <w:proofErr w:type="spellStart"/>
      <w:r>
        <w:rPr>
          <w:rFonts w:ascii="Times New Roman" w:eastAsia="Times New Roman" w:hAnsi="Times New Roman" w:cs="Times New Roman"/>
          <w:sz w:val="24"/>
          <w:szCs w:val="24"/>
        </w:rPr>
        <w:t>Licuanan</w:t>
      </w:r>
      <w:proofErr w:type="spellEnd"/>
      <w:r>
        <w:rPr>
          <w:rFonts w:ascii="Times New Roman" w:eastAsia="Times New Roman" w:hAnsi="Times New Roman" w:cs="Times New Roman"/>
          <w:sz w:val="24"/>
          <w:szCs w:val="24"/>
        </w:rPr>
        <w:t xml:space="preserve">, W. R. Y., Samson, M. S., &amp; </w:t>
      </w:r>
      <w:proofErr w:type="spellStart"/>
      <w:r>
        <w:rPr>
          <w:rFonts w:ascii="Times New Roman" w:eastAsia="Times New Roman" w:hAnsi="Times New Roman" w:cs="Times New Roman"/>
          <w:sz w:val="24"/>
          <w:szCs w:val="24"/>
        </w:rPr>
        <w:t>Rollon</w:t>
      </w:r>
      <w:proofErr w:type="spellEnd"/>
      <w:r>
        <w:rPr>
          <w:rFonts w:ascii="Times New Roman" w:eastAsia="Times New Roman" w:hAnsi="Times New Roman" w:cs="Times New Roman"/>
          <w:sz w:val="24"/>
          <w:szCs w:val="24"/>
        </w:rPr>
        <w:t xml:space="preserve">, R. N. (2012). </w:t>
      </w:r>
      <w:r>
        <w:rPr>
          <w:rFonts w:ascii="Times New Roman" w:eastAsia="Times New Roman" w:hAnsi="Times New Roman" w:cs="Times New Roman"/>
          <w:i/>
          <w:sz w:val="24"/>
          <w:szCs w:val="24"/>
        </w:rPr>
        <w:t>Coastal Integrity Vulnerability Assessment Tool version 1.0: A Primer</w:t>
      </w:r>
      <w:r>
        <w:rPr>
          <w:rFonts w:ascii="Times New Roman" w:eastAsia="Times New Roman" w:hAnsi="Times New Roman" w:cs="Times New Roman"/>
          <w:sz w:val="24"/>
          <w:szCs w:val="24"/>
        </w:rPr>
        <w:t>.</w:t>
      </w:r>
    </w:p>
    <w:p w14:paraId="0101A02C"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Sowman</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Raemaekers</w:t>
      </w:r>
      <w:proofErr w:type="spellEnd"/>
      <w:r>
        <w:rPr>
          <w:rFonts w:ascii="Times New Roman" w:eastAsia="Times New Roman" w:hAnsi="Times New Roman" w:cs="Times New Roman"/>
          <w:sz w:val="24"/>
          <w:szCs w:val="24"/>
        </w:rPr>
        <w:t xml:space="preserve">, S. (2018). Socio-ecological vulnerability assessment in coastal communities in the BCLME region. </w:t>
      </w:r>
      <w:r>
        <w:rPr>
          <w:rFonts w:ascii="Times New Roman" w:eastAsia="Times New Roman" w:hAnsi="Times New Roman" w:cs="Times New Roman"/>
          <w:i/>
          <w:sz w:val="24"/>
          <w:szCs w:val="24"/>
        </w:rPr>
        <w:t>Journal of Marine Systems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February</w:t>
      </w:r>
      <w:r>
        <w:rPr>
          <w:rFonts w:ascii="Times New Roman" w:eastAsia="Times New Roman" w:hAnsi="Times New Roman" w:cs="Times New Roman"/>
          <w:sz w:val="24"/>
          <w:szCs w:val="24"/>
        </w:rPr>
        <w:t>, 0–1. https://doi.org/10.1016/j.jmarsys.2018.01.008</w:t>
      </w:r>
    </w:p>
    <w:p w14:paraId="366A6FE2"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Syahza</w:t>
      </w:r>
      <w:proofErr w:type="spellEnd"/>
      <w:r>
        <w:rPr>
          <w:rFonts w:ascii="Times New Roman" w:eastAsia="Times New Roman" w:hAnsi="Times New Roman" w:cs="Times New Roman"/>
          <w:sz w:val="24"/>
          <w:szCs w:val="24"/>
        </w:rPr>
        <w:t xml:space="preserve">, A. (2019). The potential of environmental impact as a result of the development of palm oil plantation. </w:t>
      </w:r>
      <w:r>
        <w:rPr>
          <w:rFonts w:ascii="Times New Roman" w:eastAsia="Times New Roman" w:hAnsi="Times New Roman" w:cs="Times New Roman"/>
          <w:i/>
          <w:sz w:val="24"/>
          <w:szCs w:val="24"/>
        </w:rPr>
        <w:t>Management of Environmental Quality: An International Journal</w:t>
      </w:r>
      <w:r>
        <w:rPr>
          <w:rFonts w:ascii="Times New Roman" w:eastAsia="Times New Roman" w:hAnsi="Times New Roman" w:cs="Times New Roman"/>
          <w:sz w:val="24"/>
          <w:szCs w:val="24"/>
        </w:rPr>
        <w:t>. https://doi.org/10.1108/MEQ-11-2018-0190</w:t>
      </w:r>
    </w:p>
    <w:p w14:paraId="2C530EE8"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Titus, P., </w:t>
      </w:r>
      <w:proofErr w:type="spellStart"/>
      <w:r>
        <w:rPr>
          <w:rFonts w:ascii="Times New Roman" w:eastAsia="Times New Roman" w:hAnsi="Times New Roman" w:cs="Times New Roman"/>
          <w:sz w:val="24"/>
          <w:szCs w:val="24"/>
        </w:rPr>
        <w:t>Iton</w:t>
      </w:r>
      <w:proofErr w:type="spellEnd"/>
      <w:r>
        <w:rPr>
          <w:rFonts w:ascii="Times New Roman" w:eastAsia="Times New Roman" w:hAnsi="Times New Roman" w:cs="Times New Roman"/>
          <w:sz w:val="24"/>
          <w:szCs w:val="24"/>
        </w:rPr>
        <w:t>, A., &amp; Greene, J. (2012). The Contribution of the Aroids - Dasheen (</w:t>
      </w:r>
      <w:proofErr w:type="spellStart"/>
      <w:r>
        <w:rPr>
          <w:rFonts w:ascii="Times New Roman" w:eastAsia="Times New Roman" w:hAnsi="Times New Roman" w:cs="Times New Roman"/>
          <w:sz w:val="24"/>
          <w:szCs w:val="24"/>
        </w:rPr>
        <w:t>Colocasia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esculenta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Eddoe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Colocasia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antiquorum</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Tannia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Xanthosoma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sagittifolium</w:t>
      </w:r>
      <w:proofErr w:type="spellEnd"/>
      <w:r>
        <w:rPr>
          <w:rFonts w:ascii="Times New Roman" w:eastAsia="Times New Roman" w:hAnsi="Times New Roman" w:cs="Times New Roman"/>
          <w:sz w:val="24"/>
          <w:szCs w:val="24"/>
        </w:rPr>
        <w:t xml:space="preserve">) - to Livelihood and Nutrition Security in The </w:t>
      </w:r>
      <w:proofErr w:type="spellStart"/>
      <w:r>
        <w:rPr>
          <w:rFonts w:ascii="Times New Roman" w:eastAsia="Times New Roman" w:hAnsi="Times New Roman" w:cs="Times New Roman"/>
          <w:sz w:val="24"/>
          <w:szCs w:val="24"/>
        </w:rPr>
        <w:t>Carribean</w:t>
      </w:r>
      <w:proofErr w:type="spellEnd"/>
      <w:r>
        <w:rPr>
          <w:rFonts w:ascii="Times New Roman" w:eastAsia="Times New Roman" w:hAnsi="Times New Roman" w:cs="Times New Roman"/>
          <w:sz w:val="24"/>
          <w:szCs w:val="24"/>
        </w:rPr>
        <w:t xml:space="preserve">: The Case of St. Vincent and The Grenadines. </w:t>
      </w:r>
      <w:proofErr w:type="spellStart"/>
      <w:r>
        <w:rPr>
          <w:rFonts w:ascii="Times New Roman" w:eastAsia="Times New Roman" w:hAnsi="Times New Roman" w:cs="Times New Roman"/>
          <w:i/>
          <w:sz w:val="24"/>
          <w:szCs w:val="24"/>
        </w:rPr>
        <w:t>Carribean</w:t>
      </w:r>
      <w:proofErr w:type="spellEnd"/>
      <w:r>
        <w:rPr>
          <w:rFonts w:ascii="Times New Roman" w:eastAsia="Times New Roman" w:hAnsi="Times New Roman" w:cs="Times New Roman"/>
          <w:i/>
          <w:sz w:val="24"/>
          <w:szCs w:val="24"/>
        </w:rPr>
        <w:t xml:space="preserve"> Food Crops Society. 48th Annual Meeting 2012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48</w:t>
      </w:r>
      <w:r>
        <w:rPr>
          <w:rFonts w:ascii="Times New Roman" w:eastAsia="Times New Roman" w:hAnsi="Times New Roman" w:cs="Times New Roman"/>
          <w:sz w:val="24"/>
          <w:szCs w:val="24"/>
        </w:rPr>
        <w:t>(3), 1–22.</w:t>
      </w:r>
    </w:p>
    <w:p w14:paraId="096FB0E7"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Ushio, M., </w:t>
      </w:r>
      <w:proofErr w:type="spellStart"/>
      <w:r>
        <w:rPr>
          <w:rFonts w:ascii="Times New Roman" w:eastAsia="Times New Roman" w:hAnsi="Times New Roman" w:cs="Times New Roman"/>
          <w:sz w:val="24"/>
          <w:szCs w:val="24"/>
        </w:rPr>
        <w:t>Aiba</w:t>
      </w:r>
      <w:proofErr w:type="spellEnd"/>
      <w:r>
        <w:rPr>
          <w:rFonts w:ascii="Times New Roman" w:eastAsia="Times New Roman" w:hAnsi="Times New Roman" w:cs="Times New Roman"/>
          <w:sz w:val="24"/>
          <w:szCs w:val="24"/>
        </w:rPr>
        <w:t xml:space="preserve">, S. I., </w:t>
      </w:r>
      <w:proofErr w:type="spellStart"/>
      <w:r>
        <w:rPr>
          <w:rFonts w:ascii="Times New Roman" w:eastAsia="Times New Roman" w:hAnsi="Times New Roman" w:cs="Times New Roman"/>
          <w:sz w:val="24"/>
          <w:szCs w:val="24"/>
        </w:rPr>
        <w:t>Tkeuchi</w:t>
      </w:r>
      <w:proofErr w:type="spellEnd"/>
      <w:r>
        <w:rPr>
          <w:rFonts w:ascii="Times New Roman" w:eastAsia="Times New Roman" w:hAnsi="Times New Roman" w:cs="Times New Roman"/>
          <w:sz w:val="24"/>
          <w:szCs w:val="24"/>
        </w:rPr>
        <w:t xml:space="preserve">, Y., Iida, Y., Matsuoka, S., </w:t>
      </w:r>
      <w:proofErr w:type="spellStart"/>
      <w:r>
        <w:rPr>
          <w:rFonts w:ascii="Times New Roman" w:eastAsia="Times New Roman" w:hAnsi="Times New Roman" w:cs="Times New Roman"/>
          <w:sz w:val="24"/>
          <w:szCs w:val="24"/>
        </w:rPr>
        <w:t>Repin</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Kitayama</w:t>
      </w:r>
      <w:proofErr w:type="spellEnd"/>
      <w:r>
        <w:rPr>
          <w:rFonts w:ascii="Times New Roman" w:eastAsia="Times New Roman" w:hAnsi="Times New Roman" w:cs="Times New Roman"/>
          <w:sz w:val="24"/>
          <w:szCs w:val="24"/>
        </w:rPr>
        <w:t xml:space="preserve">, K. (2017). Plant – soil feedbacks and the dominance of conifers in a tropical montane forest in Borneo. </w:t>
      </w:r>
      <w:r>
        <w:rPr>
          <w:rFonts w:ascii="Times New Roman" w:eastAsia="Times New Roman" w:hAnsi="Times New Roman" w:cs="Times New Roman"/>
          <w:i/>
          <w:sz w:val="24"/>
          <w:szCs w:val="24"/>
        </w:rPr>
        <w:t>Ecological Monographs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87</w:t>
      </w:r>
      <w:r>
        <w:rPr>
          <w:rFonts w:ascii="Times New Roman" w:eastAsia="Times New Roman" w:hAnsi="Times New Roman" w:cs="Times New Roman"/>
          <w:sz w:val="24"/>
          <w:szCs w:val="24"/>
        </w:rPr>
        <w:t>(1), 105–129. https://doi.org/10.1002/ecm.1236</w:t>
      </w:r>
    </w:p>
    <w:p w14:paraId="1CE2407F"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der Ent, A., Erskine, P., Mulligan, D. R., </w:t>
      </w:r>
      <w:proofErr w:type="spellStart"/>
      <w:r>
        <w:rPr>
          <w:rFonts w:ascii="Times New Roman" w:eastAsia="Times New Roman" w:hAnsi="Times New Roman" w:cs="Times New Roman"/>
          <w:sz w:val="24"/>
          <w:szCs w:val="24"/>
        </w:rPr>
        <w:t>Repin</w:t>
      </w:r>
      <w:proofErr w:type="spellEnd"/>
      <w:r>
        <w:rPr>
          <w:rFonts w:ascii="Times New Roman" w:eastAsia="Times New Roman" w:hAnsi="Times New Roman" w:cs="Times New Roman"/>
          <w:sz w:val="24"/>
          <w:szCs w:val="24"/>
        </w:rPr>
        <w:t xml:space="preserve">, R., &amp; Karim, R. (2016). Vegetation on ultramafic edaphic ‘islands’ in </w:t>
      </w:r>
      <w:proofErr w:type="spellStart"/>
      <w:r>
        <w:rPr>
          <w:rFonts w:ascii="Times New Roman" w:eastAsia="Times New Roman" w:hAnsi="Times New Roman" w:cs="Times New Roman"/>
          <w:sz w:val="24"/>
          <w:szCs w:val="24"/>
        </w:rPr>
        <w:t>Kinabalu</w:t>
      </w:r>
      <w:proofErr w:type="spellEnd"/>
      <w:r>
        <w:rPr>
          <w:rFonts w:ascii="Times New Roman" w:eastAsia="Times New Roman" w:hAnsi="Times New Roman" w:cs="Times New Roman"/>
          <w:sz w:val="24"/>
          <w:szCs w:val="24"/>
        </w:rPr>
        <w:t xml:space="preserve"> Park (Sabah, Malaysia) in relation to soil chemistry and elevation. </w:t>
      </w:r>
      <w:r>
        <w:rPr>
          <w:rFonts w:ascii="Times New Roman" w:eastAsia="Times New Roman" w:hAnsi="Times New Roman" w:cs="Times New Roman"/>
          <w:i/>
          <w:sz w:val="24"/>
          <w:szCs w:val="24"/>
        </w:rPr>
        <w:t>Plant and Soil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403</w:t>
      </w:r>
      <w:r>
        <w:rPr>
          <w:rFonts w:ascii="Times New Roman" w:eastAsia="Times New Roman" w:hAnsi="Times New Roman" w:cs="Times New Roman"/>
          <w:sz w:val="24"/>
          <w:szCs w:val="24"/>
        </w:rPr>
        <w:t>(1/2, Part I: Special Issue Biodiversity), 77–101. https://doi.org/10.1007/s11104-016-2831-3</w:t>
      </w:r>
    </w:p>
    <w:p w14:paraId="2ED112EB"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Wallenfang</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Finckh</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Oldeland</w:t>
      </w:r>
      <w:proofErr w:type="spellEnd"/>
      <w:r>
        <w:rPr>
          <w:rFonts w:ascii="Times New Roman" w:eastAsia="Times New Roman" w:hAnsi="Times New Roman" w:cs="Times New Roman"/>
          <w:sz w:val="24"/>
          <w:szCs w:val="24"/>
        </w:rPr>
        <w:t xml:space="preserve">, J., &amp; </w:t>
      </w:r>
      <w:proofErr w:type="spellStart"/>
      <w:r>
        <w:rPr>
          <w:rFonts w:ascii="Times New Roman" w:eastAsia="Times New Roman" w:hAnsi="Times New Roman" w:cs="Times New Roman"/>
          <w:sz w:val="24"/>
          <w:szCs w:val="24"/>
        </w:rPr>
        <w:t>Revermann</w:t>
      </w:r>
      <w:proofErr w:type="spellEnd"/>
      <w:r>
        <w:rPr>
          <w:rFonts w:ascii="Times New Roman" w:eastAsia="Times New Roman" w:hAnsi="Times New Roman" w:cs="Times New Roman"/>
          <w:sz w:val="24"/>
          <w:szCs w:val="24"/>
        </w:rPr>
        <w:t xml:space="preserve">, R. (2015). Impact of shifting cultivation on dense tropical woodlands in southeast Angola. </w:t>
      </w:r>
      <w:r>
        <w:rPr>
          <w:rFonts w:ascii="Times New Roman" w:eastAsia="Times New Roman" w:hAnsi="Times New Roman" w:cs="Times New Roman"/>
          <w:i/>
          <w:sz w:val="24"/>
          <w:szCs w:val="24"/>
        </w:rPr>
        <w:t>Tropical Conservation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(4), 863–892. https://doi.org/10.1177/194008291500800402</w:t>
      </w:r>
    </w:p>
    <w:p w14:paraId="25CF7F7D"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Wong, S. Y., &amp; </w:t>
      </w:r>
      <w:proofErr w:type="spellStart"/>
      <w:r>
        <w:rPr>
          <w:rFonts w:ascii="Times New Roman" w:eastAsia="Times New Roman" w:hAnsi="Times New Roman" w:cs="Times New Roman"/>
          <w:sz w:val="24"/>
          <w:szCs w:val="24"/>
        </w:rPr>
        <w:t>Joling</w:t>
      </w:r>
      <w:proofErr w:type="spellEnd"/>
      <w:r>
        <w:rPr>
          <w:rFonts w:ascii="Times New Roman" w:eastAsia="Times New Roman" w:hAnsi="Times New Roman" w:cs="Times New Roman"/>
          <w:sz w:val="24"/>
          <w:szCs w:val="24"/>
        </w:rPr>
        <w:t>, J. (2021). Checklist of aroids (</w:t>
      </w:r>
      <w:proofErr w:type="spellStart"/>
      <w:r>
        <w:rPr>
          <w:rFonts w:ascii="Times New Roman" w:eastAsia="Times New Roman" w:hAnsi="Times New Roman" w:cs="Times New Roman"/>
          <w:sz w:val="24"/>
          <w:szCs w:val="24"/>
        </w:rPr>
        <w:t>Alismatales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from Sabah (Malaysian Borneo). </w:t>
      </w:r>
      <w:r>
        <w:rPr>
          <w:rFonts w:ascii="Times New Roman" w:eastAsia="Times New Roman" w:hAnsi="Times New Roman" w:cs="Times New Roman"/>
          <w:i/>
          <w:sz w:val="24"/>
          <w:szCs w:val="24"/>
        </w:rPr>
        <w:t>Check List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(3), 931–974. https://doi.org/10.15560/17.3.931</w:t>
      </w:r>
    </w:p>
    <w:p w14:paraId="245AA824"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Woods, P. (1989). Effects of Logging, Drought, and Fire on Structure and Composition of Tropical Forests in Sabah, Malaysia. </w:t>
      </w:r>
      <w:proofErr w:type="spellStart"/>
      <w:r>
        <w:rPr>
          <w:rFonts w:ascii="Times New Roman" w:eastAsia="Times New Roman" w:hAnsi="Times New Roman" w:cs="Times New Roman"/>
          <w:i/>
          <w:sz w:val="24"/>
          <w:szCs w:val="24"/>
        </w:rPr>
        <w:t>Biotropica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(4), 290–298. https://doi.org/10.2307/2388278</w:t>
      </w:r>
    </w:p>
    <w:p w14:paraId="44F13CBA"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Wooster, M. J., Perry, G. L. W., &amp; </w:t>
      </w:r>
      <w:proofErr w:type="spellStart"/>
      <w:r>
        <w:rPr>
          <w:rFonts w:ascii="Times New Roman" w:eastAsia="Times New Roman" w:hAnsi="Times New Roman" w:cs="Times New Roman"/>
          <w:sz w:val="24"/>
          <w:szCs w:val="24"/>
        </w:rPr>
        <w:t>Zoumas</w:t>
      </w:r>
      <w:proofErr w:type="spellEnd"/>
      <w:r>
        <w:rPr>
          <w:rFonts w:ascii="Times New Roman" w:eastAsia="Times New Roman" w:hAnsi="Times New Roman" w:cs="Times New Roman"/>
          <w:sz w:val="24"/>
          <w:szCs w:val="24"/>
        </w:rPr>
        <w:t xml:space="preserve">, A. (2012). Fire, drought and El Niño relationships on </w:t>
      </w:r>
      <w:r>
        <w:rPr>
          <w:rFonts w:ascii="Times New Roman" w:eastAsia="Times New Roman" w:hAnsi="Times New Roman" w:cs="Times New Roman"/>
          <w:sz w:val="24"/>
          <w:szCs w:val="24"/>
        </w:rPr>
        <w:lastRenderedPageBreak/>
        <w:t xml:space="preserve">Borneo (Southeast Asia) in the pre-MODIS era (1980-2000). </w:t>
      </w:r>
      <w:proofErr w:type="spellStart"/>
      <w:r>
        <w:rPr>
          <w:rFonts w:ascii="Times New Roman" w:eastAsia="Times New Roman" w:hAnsi="Times New Roman" w:cs="Times New Roman"/>
          <w:i/>
          <w:sz w:val="24"/>
          <w:szCs w:val="24"/>
        </w:rPr>
        <w:t>Biogeosciences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w:t>
      </w:r>
      <w:r>
        <w:rPr>
          <w:rFonts w:ascii="Times New Roman" w:eastAsia="Times New Roman" w:hAnsi="Times New Roman" w:cs="Times New Roman"/>
          <w:sz w:val="24"/>
          <w:szCs w:val="24"/>
        </w:rPr>
        <w:t>(1), 317–340. https://doi.org/10.5194/bg-9-317-2012</w:t>
      </w:r>
    </w:p>
    <w:p w14:paraId="75B388A1"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Zulhazman</w:t>
      </w:r>
      <w:proofErr w:type="spellEnd"/>
      <w:r>
        <w:rPr>
          <w:rFonts w:ascii="Times New Roman" w:eastAsia="Times New Roman" w:hAnsi="Times New Roman" w:cs="Times New Roman"/>
          <w:sz w:val="24"/>
          <w:szCs w:val="24"/>
        </w:rPr>
        <w:t xml:space="preserve">, H. (2020). </w:t>
      </w:r>
      <w:r>
        <w:rPr>
          <w:rFonts w:ascii="Times New Roman" w:eastAsia="Times New Roman" w:hAnsi="Times New Roman" w:cs="Times New Roman"/>
          <w:i/>
          <w:sz w:val="24"/>
          <w:szCs w:val="24"/>
        </w:rPr>
        <w:t xml:space="preserve">A Study on </w:t>
      </w:r>
      <w:proofErr w:type="spellStart"/>
      <w:r>
        <w:rPr>
          <w:rFonts w:ascii="Times New Roman" w:eastAsia="Times New Roman" w:hAnsi="Times New Roman" w:cs="Times New Roman"/>
          <w:i/>
          <w:sz w:val="24"/>
          <w:szCs w:val="24"/>
        </w:rPr>
        <w:t>Araceae</w:t>
      </w:r>
      <w:proofErr w:type="spellEnd"/>
      <w:r>
        <w:rPr>
          <w:rFonts w:ascii="Times New Roman" w:eastAsia="Times New Roman" w:hAnsi="Times New Roman" w:cs="Times New Roman"/>
          <w:i/>
          <w:sz w:val="24"/>
          <w:szCs w:val="24"/>
        </w:rPr>
        <w:t xml:space="preserve"> Species Diversity and </w:t>
      </w:r>
      <w:proofErr w:type="spellStart"/>
      <w:proofErr w:type="gramStart"/>
      <w:r>
        <w:rPr>
          <w:rFonts w:ascii="Times New Roman" w:eastAsia="Times New Roman" w:hAnsi="Times New Roman" w:cs="Times New Roman"/>
          <w:i/>
          <w:sz w:val="24"/>
          <w:szCs w:val="24"/>
        </w:rPr>
        <w:t>it’s</w:t>
      </w:r>
      <w:proofErr w:type="spellEnd"/>
      <w:proofErr w:type="gramEnd"/>
      <w:r>
        <w:rPr>
          <w:rFonts w:ascii="Times New Roman" w:eastAsia="Times New Roman" w:hAnsi="Times New Roman" w:cs="Times New Roman"/>
          <w:i/>
          <w:sz w:val="24"/>
          <w:szCs w:val="24"/>
        </w:rPr>
        <w:t xml:space="preserve"> Distribution in Kelantan, Peninsular Malaysia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Malaysia Kelantan, Kota </w:t>
      </w:r>
      <w:proofErr w:type="spellStart"/>
      <w:r>
        <w:rPr>
          <w:rFonts w:ascii="Times New Roman" w:eastAsia="Times New Roman" w:hAnsi="Times New Roman" w:cs="Times New Roman"/>
          <w:sz w:val="24"/>
          <w:szCs w:val="24"/>
        </w:rPr>
        <w:t>Bahru</w:t>
      </w:r>
      <w:proofErr w:type="spellEnd"/>
      <w:r>
        <w:rPr>
          <w:rFonts w:ascii="Times New Roman" w:eastAsia="Times New Roman" w:hAnsi="Times New Roman" w:cs="Times New Roman"/>
          <w:sz w:val="24"/>
          <w:szCs w:val="24"/>
        </w:rPr>
        <w:t>, Kelantan.</w:t>
      </w:r>
    </w:p>
    <w:p w14:paraId="038D7942"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Zulhazman</w:t>
      </w:r>
      <w:proofErr w:type="spellEnd"/>
      <w:r>
        <w:rPr>
          <w:rFonts w:ascii="Times New Roman" w:eastAsia="Times New Roman" w:hAnsi="Times New Roman" w:cs="Times New Roman"/>
          <w:sz w:val="24"/>
          <w:szCs w:val="24"/>
        </w:rPr>
        <w:t xml:space="preserve">, H., Abas, M. A., </w:t>
      </w:r>
      <w:proofErr w:type="spellStart"/>
      <w:r>
        <w:rPr>
          <w:rFonts w:ascii="Times New Roman" w:eastAsia="Times New Roman" w:hAnsi="Times New Roman" w:cs="Times New Roman"/>
          <w:sz w:val="24"/>
          <w:szCs w:val="24"/>
        </w:rPr>
        <w:t>Norhazlini</w:t>
      </w:r>
      <w:proofErr w:type="spellEnd"/>
      <w:r>
        <w:rPr>
          <w:rFonts w:ascii="Times New Roman" w:eastAsia="Times New Roman" w:hAnsi="Times New Roman" w:cs="Times New Roman"/>
          <w:sz w:val="24"/>
          <w:szCs w:val="24"/>
        </w:rPr>
        <w:t xml:space="preserve">, M. Z., </w:t>
      </w:r>
      <w:proofErr w:type="spellStart"/>
      <w:r>
        <w:rPr>
          <w:rFonts w:ascii="Times New Roman" w:eastAsia="Times New Roman" w:hAnsi="Times New Roman" w:cs="Times New Roman"/>
          <w:sz w:val="24"/>
          <w:szCs w:val="24"/>
        </w:rPr>
        <w:t>Norzielawati</w:t>
      </w:r>
      <w:proofErr w:type="spellEnd"/>
      <w:r>
        <w:rPr>
          <w:rFonts w:ascii="Times New Roman" w:eastAsia="Times New Roman" w:hAnsi="Times New Roman" w:cs="Times New Roman"/>
          <w:sz w:val="24"/>
          <w:szCs w:val="24"/>
        </w:rPr>
        <w:t xml:space="preserve">, S., &amp; Boyce, P. C. (2021). Notes on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Lojing</w:t>
      </w:r>
      <w:proofErr w:type="spellEnd"/>
      <w:r>
        <w:rPr>
          <w:rFonts w:ascii="Times New Roman" w:eastAsia="Times New Roman" w:hAnsi="Times New Roman" w:cs="Times New Roman"/>
          <w:sz w:val="24"/>
          <w:szCs w:val="24"/>
        </w:rPr>
        <w:t xml:space="preserve"> Highlands, Kelantan, Peninsular Malaysia. </w:t>
      </w:r>
      <w:r>
        <w:rPr>
          <w:rFonts w:ascii="Times New Roman" w:eastAsia="Times New Roman" w:hAnsi="Times New Roman" w:cs="Times New Roman"/>
          <w:i/>
          <w:sz w:val="24"/>
          <w:szCs w:val="24"/>
        </w:rPr>
        <w:t>3rd International Conference on Tropical Resources and Sustainable Sciences on IOP Conference Series: Earth and Environmental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842</w:t>
      </w:r>
      <w:r>
        <w:rPr>
          <w:rFonts w:ascii="Times New Roman" w:eastAsia="Times New Roman" w:hAnsi="Times New Roman" w:cs="Times New Roman"/>
          <w:sz w:val="24"/>
          <w:szCs w:val="24"/>
        </w:rPr>
        <w:t>. https://doi.org/10.1088/1755-1315/842/1/012076</w:t>
      </w:r>
    </w:p>
    <w:p w14:paraId="5248373D" w14:textId="77777777" w:rsidR="00F736FC" w:rsidRDefault="00103CC2">
      <w:pPr>
        <w:widowControl w:val="0"/>
        <w:spacing w:after="0" w:line="240" w:lineRule="auto"/>
        <w:ind w:left="564" w:hanging="56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Zulhazman</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Aweng</w:t>
      </w:r>
      <w:proofErr w:type="spellEnd"/>
      <w:r>
        <w:rPr>
          <w:rFonts w:ascii="Times New Roman" w:eastAsia="Times New Roman" w:hAnsi="Times New Roman" w:cs="Times New Roman"/>
          <w:sz w:val="24"/>
          <w:szCs w:val="24"/>
        </w:rPr>
        <w:t>, E. R., Mohamad-</w:t>
      </w:r>
      <w:proofErr w:type="spellStart"/>
      <w:r>
        <w:rPr>
          <w:rFonts w:ascii="Times New Roman" w:eastAsia="Times New Roman" w:hAnsi="Times New Roman" w:cs="Times New Roman"/>
          <w:sz w:val="24"/>
          <w:szCs w:val="24"/>
        </w:rPr>
        <w:t>Faiz</w:t>
      </w:r>
      <w:proofErr w:type="spellEnd"/>
      <w:r>
        <w:rPr>
          <w:rFonts w:ascii="Times New Roman" w:eastAsia="Times New Roman" w:hAnsi="Times New Roman" w:cs="Times New Roman"/>
          <w:sz w:val="24"/>
          <w:szCs w:val="24"/>
        </w:rPr>
        <w:t>, M. A., Muhamad-</w:t>
      </w:r>
      <w:proofErr w:type="spellStart"/>
      <w:r>
        <w:rPr>
          <w:rFonts w:ascii="Times New Roman" w:eastAsia="Times New Roman" w:hAnsi="Times New Roman" w:cs="Times New Roman"/>
          <w:sz w:val="24"/>
          <w:szCs w:val="24"/>
        </w:rPr>
        <w:t>Azahar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Kamarul-Ariffin</w:t>
      </w:r>
      <w:proofErr w:type="spellEnd"/>
      <w:r>
        <w:rPr>
          <w:rFonts w:ascii="Times New Roman" w:eastAsia="Times New Roman" w:hAnsi="Times New Roman" w:cs="Times New Roman"/>
          <w:sz w:val="24"/>
          <w:szCs w:val="24"/>
        </w:rPr>
        <w:t>, H., Nor-</w:t>
      </w:r>
      <w:proofErr w:type="spellStart"/>
      <w:r>
        <w:rPr>
          <w:rFonts w:ascii="Times New Roman" w:eastAsia="Times New Roman" w:hAnsi="Times New Roman" w:cs="Times New Roman"/>
          <w:sz w:val="24"/>
          <w:szCs w:val="24"/>
        </w:rPr>
        <w:t>Hizami</w:t>
      </w:r>
      <w:proofErr w:type="spellEnd"/>
      <w:r>
        <w:rPr>
          <w:rFonts w:ascii="Times New Roman" w:eastAsia="Times New Roman" w:hAnsi="Times New Roman" w:cs="Times New Roman"/>
          <w:sz w:val="24"/>
          <w:szCs w:val="24"/>
        </w:rPr>
        <w:t>, H., Mohammad-</w:t>
      </w:r>
      <w:proofErr w:type="spellStart"/>
      <w:r>
        <w:rPr>
          <w:rFonts w:ascii="Times New Roman" w:eastAsia="Times New Roman" w:hAnsi="Times New Roman" w:cs="Times New Roman"/>
          <w:sz w:val="24"/>
          <w:szCs w:val="24"/>
        </w:rPr>
        <w:t>Firdaus</w:t>
      </w:r>
      <w:proofErr w:type="spellEnd"/>
      <w:r>
        <w:rPr>
          <w:rFonts w:ascii="Times New Roman" w:eastAsia="Times New Roman" w:hAnsi="Times New Roman" w:cs="Times New Roman"/>
          <w:sz w:val="24"/>
          <w:szCs w:val="24"/>
        </w:rPr>
        <w:t xml:space="preserve">, A. K., </w:t>
      </w:r>
      <w:proofErr w:type="spellStart"/>
      <w:r>
        <w:rPr>
          <w:rFonts w:ascii="Times New Roman" w:eastAsia="Times New Roman" w:hAnsi="Times New Roman" w:cs="Times New Roman"/>
          <w:sz w:val="24"/>
          <w:szCs w:val="24"/>
        </w:rPr>
        <w:t>Fiffy</w:t>
      </w:r>
      <w:proofErr w:type="spellEnd"/>
      <w:r>
        <w:rPr>
          <w:rFonts w:ascii="Times New Roman" w:eastAsia="Times New Roman" w:hAnsi="Times New Roman" w:cs="Times New Roman"/>
          <w:sz w:val="24"/>
          <w:szCs w:val="24"/>
        </w:rPr>
        <w:t xml:space="preserve">, H. S., </w:t>
      </w:r>
      <w:proofErr w:type="spellStart"/>
      <w:r>
        <w:rPr>
          <w:rFonts w:ascii="Times New Roman" w:eastAsia="Times New Roman" w:hAnsi="Times New Roman" w:cs="Times New Roman"/>
          <w:sz w:val="24"/>
          <w:szCs w:val="24"/>
        </w:rPr>
        <w:t>Norhazlini</w:t>
      </w:r>
      <w:proofErr w:type="spellEnd"/>
      <w:r>
        <w:rPr>
          <w:rFonts w:ascii="Times New Roman" w:eastAsia="Times New Roman" w:hAnsi="Times New Roman" w:cs="Times New Roman"/>
          <w:sz w:val="24"/>
          <w:szCs w:val="24"/>
        </w:rPr>
        <w:t xml:space="preserve">, M. Z., &amp; </w:t>
      </w:r>
      <w:proofErr w:type="spellStart"/>
      <w:r>
        <w:rPr>
          <w:rFonts w:ascii="Times New Roman" w:eastAsia="Times New Roman" w:hAnsi="Times New Roman" w:cs="Times New Roman"/>
          <w:sz w:val="24"/>
          <w:szCs w:val="24"/>
        </w:rPr>
        <w:t>Norzielawati</w:t>
      </w:r>
      <w:proofErr w:type="spellEnd"/>
      <w:r>
        <w:rPr>
          <w:rFonts w:ascii="Times New Roman" w:eastAsia="Times New Roman" w:hAnsi="Times New Roman" w:cs="Times New Roman"/>
          <w:sz w:val="24"/>
          <w:szCs w:val="24"/>
        </w:rPr>
        <w:t xml:space="preserve">, S. (2021). Diversity and ecology of </w:t>
      </w:r>
      <w:proofErr w:type="spellStart"/>
      <w:r>
        <w:rPr>
          <w:rFonts w:ascii="Times New Roman" w:eastAsia="Times New Roman" w:hAnsi="Times New Roman" w:cs="Times New Roman"/>
          <w:sz w:val="24"/>
          <w:szCs w:val="24"/>
        </w:rPr>
        <w:t>Araceae</w:t>
      </w:r>
      <w:proofErr w:type="spellEnd"/>
      <w:r>
        <w:rPr>
          <w:rFonts w:ascii="Times New Roman" w:eastAsia="Times New Roman" w:hAnsi="Times New Roman" w:cs="Times New Roman"/>
          <w:sz w:val="24"/>
          <w:szCs w:val="24"/>
        </w:rPr>
        <w:t xml:space="preserve"> in the water catchment area of Ulu Sat, Kelantan, Peninsular Malaysia. </w:t>
      </w:r>
      <w:r>
        <w:rPr>
          <w:rFonts w:ascii="Times New Roman" w:eastAsia="Times New Roman" w:hAnsi="Times New Roman" w:cs="Times New Roman"/>
          <w:i/>
          <w:sz w:val="24"/>
          <w:szCs w:val="24"/>
        </w:rPr>
        <w:t>3rd Asia Pacific Regional Conference on Food Security (</w:t>
      </w:r>
      <w:proofErr w:type="spellStart"/>
      <w:r>
        <w:rPr>
          <w:rFonts w:ascii="Times New Roman" w:eastAsia="Times New Roman" w:hAnsi="Times New Roman" w:cs="Times New Roman"/>
          <w:i/>
          <w:sz w:val="24"/>
          <w:szCs w:val="24"/>
        </w:rPr>
        <w:t>ARCoFS</w:t>
      </w:r>
      <w:proofErr w:type="spellEnd"/>
      <w:r>
        <w:rPr>
          <w:rFonts w:ascii="Times New Roman" w:eastAsia="Times New Roman" w:hAnsi="Times New Roman" w:cs="Times New Roman"/>
          <w:i/>
          <w:sz w:val="24"/>
          <w:szCs w:val="24"/>
        </w:rPr>
        <w:t xml:space="preserve"> 2021) on IOP Conference Series: Earth and Environmental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756</w:t>
      </w:r>
      <w:r>
        <w:rPr>
          <w:rFonts w:ascii="Times New Roman" w:eastAsia="Times New Roman" w:hAnsi="Times New Roman" w:cs="Times New Roman"/>
          <w:sz w:val="24"/>
          <w:szCs w:val="24"/>
        </w:rPr>
        <w:t>. https://doi.org/10.1088/1755-1315/756/1/012087</w:t>
      </w:r>
    </w:p>
    <w:p w14:paraId="377C0F2E" w14:textId="77777777" w:rsidR="00F736FC" w:rsidRDefault="00F736FC">
      <w:pPr>
        <w:spacing w:after="0" w:line="240" w:lineRule="auto"/>
        <w:ind w:left="564" w:hanging="566"/>
        <w:jc w:val="both"/>
        <w:rPr>
          <w:rFonts w:ascii="Times New Roman" w:eastAsia="Times New Roman" w:hAnsi="Times New Roman" w:cs="Times New Roman"/>
          <w:b/>
          <w:sz w:val="24"/>
          <w:szCs w:val="24"/>
        </w:rPr>
      </w:pPr>
    </w:p>
    <w:p w14:paraId="2D5F2065" w14:textId="77777777" w:rsidR="00F736FC" w:rsidRDefault="00F736FC">
      <w:pPr>
        <w:pBdr>
          <w:top w:val="nil"/>
          <w:left w:val="nil"/>
          <w:bottom w:val="nil"/>
          <w:right w:val="nil"/>
          <w:between w:val="nil"/>
        </w:pBdr>
        <w:spacing w:line="240" w:lineRule="auto"/>
        <w:ind w:left="-1" w:firstLine="0"/>
        <w:jc w:val="both"/>
        <w:rPr>
          <w:rFonts w:ascii="Georgia" w:eastAsia="Georgia" w:hAnsi="Georgia" w:cs="Georgia"/>
          <w:b/>
          <w:color w:val="000000"/>
          <w:sz w:val="20"/>
          <w:szCs w:val="20"/>
        </w:rPr>
      </w:pPr>
    </w:p>
    <w:sectPr w:rsidR="00F736FC" w:rsidSect="002C352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78"/>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664AF" w14:textId="77777777" w:rsidR="008E2D68" w:rsidRDefault="008E2D68">
      <w:pPr>
        <w:spacing w:after="0" w:line="240" w:lineRule="auto"/>
      </w:pPr>
      <w:r>
        <w:separator/>
      </w:r>
    </w:p>
  </w:endnote>
  <w:endnote w:type="continuationSeparator" w:id="0">
    <w:p w14:paraId="1EA432D7" w14:textId="77777777" w:rsidR="008E2D68" w:rsidRDefault="008E2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58286" w14:textId="77777777" w:rsidR="00F736FC" w:rsidRDefault="00F736FC">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FB2C8" w14:textId="77777777" w:rsidR="00F736FC" w:rsidRDefault="00F736FC">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500CA" w14:textId="77777777" w:rsidR="00F736FC" w:rsidRDefault="00F736FC">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C1A82" w14:textId="77777777" w:rsidR="008E2D68" w:rsidRDefault="008E2D68">
      <w:pPr>
        <w:spacing w:after="0" w:line="240" w:lineRule="auto"/>
      </w:pPr>
      <w:r>
        <w:separator/>
      </w:r>
    </w:p>
  </w:footnote>
  <w:footnote w:type="continuationSeparator" w:id="0">
    <w:p w14:paraId="56127D39" w14:textId="77777777" w:rsidR="008E2D68" w:rsidRDefault="008E2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85539" w14:textId="77777777" w:rsidR="00F736FC" w:rsidRDefault="00F736FC">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27D96" w14:textId="2D4A73B5" w:rsidR="002C3523" w:rsidRPr="002C3523" w:rsidRDefault="002C3523" w:rsidP="002C3523">
    <w:pPr>
      <w:tabs>
        <w:tab w:val="center" w:pos="4680"/>
        <w:tab w:val="right" w:pos="9360"/>
      </w:tabs>
      <w:spacing w:after="0" w:line="240" w:lineRule="auto"/>
      <w:ind w:firstLine="0"/>
      <w:rPr>
        <w:rFonts w:ascii="Times New Roman" w:hAnsi="Times New Roman" w:cs="Times New Roman"/>
        <w:sz w:val="18"/>
        <w:szCs w:val="18"/>
      </w:rPr>
    </w:pPr>
    <w:proofErr w:type="spellStart"/>
    <w:r w:rsidRPr="002C3523">
      <w:rPr>
        <w:rFonts w:ascii="Times New Roman" w:hAnsi="Times New Roman" w:cs="Times New Roman"/>
        <w:sz w:val="18"/>
        <w:szCs w:val="18"/>
      </w:rPr>
      <w:t>Geografia</w:t>
    </w:r>
    <w:proofErr w:type="spellEnd"/>
    <w:r w:rsidRPr="002C3523">
      <w:rPr>
        <w:rFonts w:ascii="Times New Roman" w:hAnsi="Times New Roman" w:cs="Times New Roman"/>
        <w:sz w:val="18"/>
        <w:szCs w:val="18"/>
      </w:rPr>
      <w:t>-Malaysian Journal of Society and Space 21 issue 3 (</w:t>
    </w:r>
    <w:r>
      <w:rPr>
        <w:rFonts w:ascii="Times New Roman" w:hAnsi="Times New Roman" w:cs="Times New Roman"/>
        <w:sz w:val="18"/>
        <w:szCs w:val="18"/>
      </w:rPr>
      <w:t>78-9</w:t>
    </w:r>
    <w:r w:rsidR="00222688">
      <w:rPr>
        <w:rFonts w:ascii="Times New Roman" w:hAnsi="Times New Roman" w:cs="Times New Roman"/>
        <w:sz w:val="18"/>
        <w:szCs w:val="18"/>
      </w:rPr>
      <w:t>5</w:t>
    </w:r>
    <w:r w:rsidRPr="002C3523">
      <w:rPr>
        <w:rFonts w:ascii="Times New Roman" w:hAnsi="Times New Roman" w:cs="Times New Roman"/>
        <w:sz w:val="18"/>
        <w:szCs w:val="18"/>
      </w:rPr>
      <w:t>)</w:t>
    </w:r>
    <w:r w:rsidRPr="002C3523">
      <w:rPr>
        <w:rFonts w:ascii="Times New Roman" w:hAnsi="Times New Roman" w:cs="Times New Roman"/>
        <w:sz w:val="18"/>
        <w:szCs w:val="18"/>
      </w:rPr>
      <w:tab/>
    </w:r>
  </w:p>
  <w:p w14:paraId="63C16A48" w14:textId="5FDECE05" w:rsidR="002C3523" w:rsidRPr="002C3523" w:rsidRDefault="002C3523" w:rsidP="002C3523">
    <w:pPr>
      <w:pStyle w:val="Header"/>
      <w:spacing w:after="0" w:line="240" w:lineRule="auto"/>
      <w:ind w:hanging="2"/>
      <w:rPr>
        <w:rFonts w:ascii="Times New Roman" w:hAnsi="Times New Roman" w:cs="Times New Roman"/>
        <w:sz w:val="18"/>
        <w:szCs w:val="18"/>
      </w:rPr>
    </w:pPr>
    <w:r w:rsidRPr="002C3523">
      <w:rPr>
        <w:rFonts w:ascii="Times New Roman" w:hAnsi="Times New Roman" w:cs="Times New Roman"/>
        <w:sz w:val="18"/>
        <w:szCs w:val="18"/>
      </w:rPr>
      <w:t xml:space="preserve">© 2025, e-ISSN 2682-7727  </w:t>
    </w:r>
    <w:hyperlink r:id="rId1" w:history="1">
      <w:r w:rsidRPr="002309B1">
        <w:rPr>
          <w:rStyle w:val="Hyperlink"/>
          <w:rFonts w:ascii="Times New Roman" w:hAnsi="Times New Roman" w:cs="Times New Roman"/>
          <w:color w:val="auto"/>
          <w:sz w:val="18"/>
          <w:szCs w:val="18"/>
          <w:u w:val="none"/>
        </w:rPr>
        <w:t>https://doi.org/10.17576/geo-2025-2103-0</w:t>
      </w:r>
      <w:r w:rsidR="00B710A5" w:rsidRPr="002309B1">
        <w:rPr>
          <w:rStyle w:val="Hyperlink"/>
          <w:rFonts w:ascii="Times New Roman" w:hAnsi="Times New Roman" w:cs="Times New Roman"/>
          <w:color w:val="auto"/>
          <w:sz w:val="18"/>
          <w:szCs w:val="18"/>
          <w:u w:val="none"/>
        </w:rPr>
        <w:t>5</w:t>
      </w:r>
    </w:hyperlink>
    <w:sdt>
      <w:sdtPr>
        <w:rPr>
          <w:rFonts w:ascii="Times New Roman" w:hAnsi="Times New Roman" w:cs="Times New Roman"/>
          <w:sz w:val="18"/>
          <w:szCs w:val="18"/>
        </w:rPr>
        <w:id w:val="-1626379890"/>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2C3523">
          <w:rPr>
            <w:rFonts w:ascii="Times New Roman" w:hAnsi="Times New Roman" w:cs="Times New Roman"/>
            <w:sz w:val="18"/>
            <w:szCs w:val="18"/>
          </w:rPr>
          <w:fldChar w:fldCharType="begin"/>
        </w:r>
        <w:r w:rsidRPr="002C3523">
          <w:rPr>
            <w:rFonts w:ascii="Times New Roman" w:hAnsi="Times New Roman" w:cs="Times New Roman"/>
            <w:sz w:val="18"/>
            <w:szCs w:val="18"/>
          </w:rPr>
          <w:instrText xml:space="preserve"> PAGE   \* MERGEFORMAT </w:instrText>
        </w:r>
        <w:r w:rsidRPr="002C3523">
          <w:rPr>
            <w:rFonts w:ascii="Times New Roman" w:hAnsi="Times New Roman" w:cs="Times New Roman"/>
            <w:sz w:val="18"/>
            <w:szCs w:val="18"/>
          </w:rPr>
          <w:fldChar w:fldCharType="separate"/>
        </w:r>
        <w:r w:rsidR="00B71821">
          <w:rPr>
            <w:rFonts w:ascii="Times New Roman" w:hAnsi="Times New Roman" w:cs="Times New Roman"/>
            <w:noProof/>
            <w:sz w:val="18"/>
            <w:szCs w:val="18"/>
          </w:rPr>
          <w:t>95</w:t>
        </w:r>
        <w:r w:rsidRPr="002C3523">
          <w:rPr>
            <w:rFonts w:ascii="Times New Roman" w:hAnsi="Times New Roman" w:cs="Times New Roman"/>
            <w:noProof/>
            <w:sz w:val="18"/>
            <w:szCs w:val="18"/>
          </w:rPr>
          <w:fldChar w:fldCharType="end"/>
        </w:r>
      </w:sdtContent>
    </w:sdt>
  </w:p>
  <w:p w14:paraId="08F269CC" w14:textId="7EE2F441" w:rsidR="00F736FC" w:rsidRPr="002C3523" w:rsidRDefault="00F736FC" w:rsidP="002C3523">
    <w:pPr>
      <w:tabs>
        <w:tab w:val="center" w:pos="4680"/>
        <w:tab w:val="right" w:pos="9360"/>
      </w:tabs>
      <w:spacing w:after="0" w:line="240" w:lineRule="auto"/>
      <w:ind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94F75" w14:textId="77777777" w:rsidR="00F736FC" w:rsidRDefault="00F736FC">
    <w:pPr>
      <w:pBdr>
        <w:top w:val="nil"/>
        <w:left w:val="nil"/>
        <w:bottom w:val="nil"/>
        <w:right w:val="nil"/>
        <w:between w:val="nil"/>
      </w:pBdr>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6FC"/>
    <w:rsid w:val="000427A0"/>
    <w:rsid w:val="00103CC2"/>
    <w:rsid w:val="001D1142"/>
    <w:rsid w:val="00222688"/>
    <w:rsid w:val="00226E2A"/>
    <w:rsid w:val="002309B1"/>
    <w:rsid w:val="002C3523"/>
    <w:rsid w:val="00415817"/>
    <w:rsid w:val="0046227E"/>
    <w:rsid w:val="005C730A"/>
    <w:rsid w:val="005F7817"/>
    <w:rsid w:val="00636E7C"/>
    <w:rsid w:val="00772515"/>
    <w:rsid w:val="008656D3"/>
    <w:rsid w:val="00896307"/>
    <w:rsid w:val="008E2D68"/>
    <w:rsid w:val="00927C1D"/>
    <w:rsid w:val="00A71BDC"/>
    <w:rsid w:val="00B710A5"/>
    <w:rsid w:val="00B71821"/>
    <w:rsid w:val="00B9779B"/>
    <w:rsid w:val="00C92F75"/>
    <w:rsid w:val="00CF0052"/>
    <w:rsid w:val="00E06185"/>
    <w:rsid w:val="00F736FC"/>
    <w:rsid w:val="00F82C6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3AA949"/>
  <w15:docId w15:val="{62DC9F83-3F3F-433B-8881-7F79E0F9F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table" w:customStyle="1" w:styleId="a">
    <w:basedOn w:val="TableNormal"/>
    <w:tblPr>
      <w:tblStyleRowBandSize w:val="1"/>
      <w:tblStyleColBandSize w:val="1"/>
    </w:tblPr>
  </w:style>
  <w:style w:type="paragraph" w:styleId="NormalWeb">
    <w:name w:val="Normal (Web)"/>
    <w:basedOn w:val="Normal"/>
    <w:uiPriority w:val="99"/>
    <w:unhideWhenUsed/>
    <w:rsid w:val="00383282"/>
    <w:pPr>
      <w:spacing w:before="100" w:beforeAutospacing="1" w:after="100" w:afterAutospacing="1" w:line="240" w:lineRule="auto"/>
      <w:ind w:firstLine="0"/>
    </w:pPr>
    <w:rPr>
      <w:rFonts w:ascii="Times New Roman" w:eastAsia="Times New Roman" w:hAnsi="Times New Roman" w:cs="Times New Roman"/>
      <w:sz w:val="24"/>
      <w:szCs w:val="24"/>
      <w:lang w:val="en-MY"/>
    </w:rPr>
  </w:style>
  <w:style w:type="paragraph" w:styleId="Caption">
    <w:name w:val="caption"/>
    <w:basedOn w:val="Normal"/>
    <w:next w:val="Normal"/>
    <w:uiPriority w:val="35"/>
    <w:unhideWhenUsed/>
    <w:qFormat/>
    <w:rsid w:val="00D87F4C"/>
    <w:pPr>
      <w:spacing w:line="240" w:lineRule="auto"/>
      <w:ind w:firstLine="0"/>
    </w:pPr>
    <w:rPr>
      <w:rFonts w:asciiTheme="minorHAnsi" w:eastAsiaTheme="minorHAnsi" w:hAnsiTheme="minorHAnsi" w:cstheme="minorBidi"/>
      <w:i/>
      <w:iCs/>
      <w:color w:val="1F497D" w:themeColor="text2"/>
      <w:kern w:val="2"/>
      <w:sz w:val="18"/>
      <w:szCs w:val="18"/>
      <w:lang w:val="en-MY"/>
    </w:rPr>
  </w:style>
  <w:style w:type="paragraph" w:styleId="Revision">
    <w:name w:val="Revision"/>
    <w:hidden/>
    <w:uiPriority w:val="99"/>
    <w:semiHidden/>
    <w:rsid w:val="002415DE"/>
    <w:pPr>
      <w:spacing w:after="0" w:line="240" w:lineRule="auto"/>
    </w:pPr>
    <w:rPr>
      <w:position w:val="-1"/>
      <w:lang w:eastAsia="en-US"/>
    </w:rPr>
  </w:style>
  <w:style w:type="character" w:styleId="LineNumber">
    <w:name w:val="line number"/>
    <w:basedOn w:val="DefaultParagraphFont"/>
    <w:uiPriority w:val="99"/>
    <w:semiHidden/>
    <w:unhideWhenUsed/>
    <w:rsid w:val="00C65818"/>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06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3-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u/0GXsZqdglHh4MF5LDD7AK+zg==">CgMxLjAyDmguaGx1YW5qeGIzNms5MghoLmdqZGd4czIOaC4xbWZ6MGw3OG8xM2syDmguaTlpeTdhdWNtNnprMg5oLjkxbm5tbzM3ZnB5cjIOaC5jMXgydTkyaTVuZmEyDWgubjQwdjNkdW41OXA4AHIhMW8tU0V2T2lDOGg1MzNvZ05yUHVuQUQyOUlzaUF5RDlV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6883</Words>
  <Characters>39238</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10</cp:revision>
  <cp:lastPrinted>2025-08-19T08:56:00Z</cp:lastPrinted>
  <dcterms:created xsi:type="dcterms:W3CDTF">2025-08-19T08:47:00Z</dcterms:created>
  <dcterms:modified xsi:type="dcterms:W3CDTF">2025-08-19T08:57:00Z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3c09d71feb0d6dbf82ed3365bf08785304557a52df7866f894c3a88b9259ba06</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037eb231-f2ec-360d-90c2-10fde985ab4e</vt:lpwstr>
  </property>
  <property fmtid="{D5CDD505-2E9C-101B-9397-08002B2CF9AE}" pid="26" name="Mendeley Citation Style_1">
    <vt:lpwstr>http://www.zotero.org/styles/apa</vt:lpwstr>
  </property>
</Properties>
</file>