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36FAD3">
      <w:pPr>
        <w:pBdr>
          <w:top w:val="none" w:color="auto" w:sz="0" w:space="0"/>
          <w:left w:val="none" w:color="auto" w:sz="0" w:space="0"/>
          <w:bottom w:val="none" w:color="auto" w:sz="0" w:space="0"/>
          <w:right w:val="none" w:color="auto" w:sz="0" w:space="0"/>
          <w:between w:val="none" w:color="auto" w:sz="0" w:space="0"/>
        </w:pBdr>
        <w:spacing w:after="0" w:line="240" w:lineRule="auto"/>
        <w:ind w:left="1" w:hanging="3"/>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 xml:space="preserve">Exploring the Rationality and Potential Mismatches in the Tourism-Driven Economic Development of Shanxi, China: An Input-Output Analysis </w:t>
      </w:r>
    </w:p>
    <w:p w14:paraId="3F42F4D1">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Times New Roman" w:hAnsi="Times New Roman" w:eastAsia="Times New Roman" w:cs="Times New Roman"/>
          <w:color w:val="000000"/>
        </w:rPr>
      </w:pPr>
    </w:p>
    <w:p w14:paraId="06B6DC5B">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Author’s name</w:t>
      </w:r>
      <w:r>
        <w:rPr>
          <w:rFonts w:ascii="Times New Roman" w:hAnsi="Times New Roman" w:eastAsia="Times New Roman" w:cs="Times New Roman"/>
          <w:color w:val="000000"/>
          <w:vertAlign w:val="superscript"/>
        </w:rPr>
        <w:t>1</w:t>
      </w:r>
    </w:p>
    <w:p w14:paraId="62B10C7E">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Institution of University</w:t>
      </w:r>
    </w:p>
    <w:p w14:paraId="59562F90">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Times New Roman" w:hAnsi="Times New Roman" w:eastAsia="Times New Roman" w:cs="Times New Roman"/>
          <w:color w:val="000000"/>
        </w:rPr>
      </w:pPr>
    </w:p>
    <w:p w14:paraId="5A6B9CB9">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Correspondence: </w:t>
      </w:r>
    </w:p>
    <w:p w14:paraId="56E7F742">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Times New Roman" w:hAnsi="Times New Roman" w:eastAsia="Times New Roman" w:cs="Times New Roman"/>
        </w:rPr>
      </w:pPr>
    </w:p>
    <w:p w14:paraId="1C05840F">
      <w:pPr>
        <w:spacing w:after="0" w:line="24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Received:  </w:t>
      </w:r>
      <w:r>
        <w:rPr>
          <w:rFonts w:ascii="Times New Roman" w:hAnsi="Times New Roman" w:eastAsia="Times New Roman" w:cs="Times New Roman"/>
        </w:rPr>
        <w:tab/>
      </w:r>
      <w:r>
        <w:rPr>
          <w:rFonts w:ascii="Times New Roman" w:hAnsi="Times New Roman" w:eastAsia="Times New Roman" w:cs="Times New Roman"/>
        </w:rPr>
        <w:t xml:space="preserve">; Accepted:     </w:t>
      </w:r>
      <w:r>
        <w:rPr>
          <w:rFonts w:ascii="Times New Roman" w:hAnsi="Times New Roman" w:eastAsia="Times New Roman" w:cs="Times New Roman"/>
        </w:rPr>
        <w:tab/>
      </w:r>
      <w:r>
        <w:rPr>
          <w:rFonts w:ascii="Times New Roman" w:hAnsi="Times New Roman" w:eastAsia="Times New Roman" w:cs="Times New Roman"/>
        </w:rPr>
        <w:t>; Published:</w:t>
      </w:r>
    </w:p>
    <w:p w14:paraId="1AA7E834">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rPr>
      </w:pPr>
    </w:p>
    <w:p w14:paraId="3683C192">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b/>
          <w:color w:val="000000"/>
        </w:rPr>
        <w:t xml:space="preserve"> </w:t>
      </w:r>
    </w:p>
    <w:p w14:paraId="77A5DE18">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Abstract </w:t>
      </w:r>
    </w:p>
    <w:p w14:paraId="314639AD">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 </w:t>
      </w:r>
    </w:p>
    <w:p w14:paraId="6D849F12">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As Shanxi Province transitions from a resource-dependent economy to one increasingly driven by tourism, assessing whether its tourism spatial structure generates coherent and equitable economic benefits is vital. This study applies an input-output framework combined with spatial econometric methods to evaluate the rationality of Shanxi’s tourism development. By constructing a Tourism Economic Linkage Model, the research measures how tourism investments translate into local economic linkages, backward and forward multiplier effects, and inter-industry connections. Findings reveal significant mismatches between planned tourism clusters and the actual distribution of economic benefits. While some cities exhibit strong input-output linkages that amplify tourism’s local impact, others remain poorly integrated, resulting in resource misallocation and limited spillover effects. The Spatial Mismatch Index (SMI) further quantifies these disparities, highlighting zones where benefits fail to materialize as intended. This analysis underscores the need for policymakers to look beyond spatial blueprints and measure how tourism spending circulates within local economies. By demonstrating how input-output analysis can be combined with spatial techniques to detect structural gaps, this study provides empirical evidence to refine regional tourism strategies, strengthen supply chains, and promote more balanced regional development. The findings offer practical insights for Shanxi and similar regions seeking to ensure that tourism’s promise of sustainable growth is realized through effective economic linkages and spatial coherence.</w:t>
      </w:r>
    </w:p>
    <w:p w14:paraId="49461BB2">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 </w:t>
      </w:r>
    </w:p>
    <w:p w14:paraId="44D00DBE">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bookmarkStart w:id="0" w:name="_heading=h.gjdgxs" w:colFirst="0" w:colLast="0"/>
      <w:bookmarkEnd w:id="0"/>
      <w:r>
        <w:rPr>
          <w:rFonts w:ascii="Times New Roman" w:hAnsi="Times New Roman" w:eastAsia="Times New Roman" w:cs="Times New Roman"/>
          <w:b/>
          <w:color w:val="000000"/>
          <w:sz w:val="24"/>
          <w:szCs w:val="24"/>
        </w:rPr>
        <w:t xml:space="preserve">Keywords: </w:t>
      </w:r>
      <w:r>
        <w:rPr>
          <w:rFonts w:ascii="Times New Roman" w:hAnsi="Times New Roman" w:eastAsia="Times New Roman" w:cs="Times New Roman"/>
          <w:color w:val="000000"/>
          <w:sz w:val="24"/>
          <w:szCs w:val="24"/>
        </w:rPr>
        <w:t>Comprehensive Evaluation Function, input-out analysis, rationality evaluation</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color w:val="000000"/>
          <w:sz w:val="24"/>
          <w:szCs w:val="24"/>
        </w:rPr>
        <w:t>Spatial Econometric Model, Spatial Mismatch Index (SMI), tourism spatial structure</w:t>
      </w:r>
    </w:p>
    <w:p w14:paraId="48E9A24D">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 </w:t>
      </w:r>
    </w:p>
    <w:p w14:paraId="46044DFF">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Introduction </w:t>
      </w:r>
    </w:p>
    <w:p w14:paraId="0FA9D507">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0" w:firstLineChars="0"/>
        <w:jc w:val="both"/>
        <w:rPr>
          <w:rFonts w:hint="default"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rPr>
        <w:t>How regions design their spatial structures is central to building economic resilience and equitable growth. The connections between cities, industries, and communities shape productivity and how benefits are distributed (Sun et al. 2017). Early urban theorists like Auerbach (1913) and Zipf (1949) revealed predictable patterns in city size, refined by Gabaix (1999) and expanded by Mandelbrot’s (1977) fractal theory to explain urban complexity. In China, rational spatial planning has long underpinned balanced development goals: Lu (1989) stressed efficient agglomeration, while Wan and Tu (1992) argued for aligning industrial layouts with local needs. This thinking remains vital today as urbanization, climate pressures, and shocks like COVID-19 test the adaptability of cities. Smart city concepts and integrated governance now guide this evolution (Gössling 2021; Kunjuraman 2023), echoed in China’s 14th Five-Year Plan (The People's Government of Shanxi Province 2021).</w:t>
      </w:r>
      <w:r>
        <w:rPr>
          <w:rFonts w:hint="default" w:ascii="Times New Roman" w:hAnsi="Times New Roman" w:eastAsia="Times New Roman" w:cs="Times New Roman"/>
          <w:color w:val="000000"/>
          <w:sz w:val="24"/>
          <w:szCs w:val="24"/>
          <w:lang w:val="en-US"/>
        </w:rPr>
        <w:t xml:space="preserve"> </w:t>
      </w:r>
    </w:p>
    <w:p w14:paraId="124278B5">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6" w:firstLineChars="236"/>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However, spatial blueprints alone do not guarantee that tourism can deliver balanced economic returns. Scholars increasingly highlight the need to examine whether the spatial arrangement of tourism assets produces tangible economic linkages, an area where input-output analysis is especially valuable. While early studies explored rank-size rules and fractal forms (Auerbach 1913; Zipf 1949; Mandelbrot 1977), recent work shows that static models miss the dynamic flows that tourism generates (Ma et al. 2020). By tracing how spending ripples through local supply chains, input-output models clarify whether tourism hubs anchor real multiplier effects (Sun et al. 2017). Some integrate fractal measures (Encalada-Abarca et al. 2022) and network analysis (Gan et al. 2021; You et al. 2022), offering richer views of how nodes generate spillovers. As digital tools and AI improve scenario testing (Chang et al. 2023; Aziz et al. 2024), new opportunities emerge to close gaps between planning and reality while minimizing environmental costs (Bunsen and Finkbeiner 2022).</w:t>
      </w:r>
    </w:p>
    <w:p w14:paraId="6AC2B851">
      <w:pPr>
        <w:pStyle w:val="24"/>
        <w:keepNext w:val="0"/>
        <w:keepLines w:val="0"/>
        <w:widowControl/>
        <w:suppressLineNumbers w:val="0"/>
        <w:jc w:val="both"/>
      </w:pPr>
      <w:r>
        <w:rPr>
          <w:rFonts w:ascii="Times New Roman" w:hAnsi="Times New Roman" w:eastAsia="Times New Roman" w:cs="Times New Roman"/>
          <w:color w:val="000000"/>
          <w:sz w:val="24"/>
          <w:szCs w:val="24"/>
        </w:rPr>
        <w:t xml:space="preserve">Yet many studies still rely on static or subjective measures (Wang et al. 2020b). A more robust input-output approach, combined with spatial econometrics, can reveal mismatches and guide more balanced development. </w:t>
      </w:r>
      <w:r>
        <w:rPr>
          <w:rStyle w:val="12"/>
          <w:rFonts w:hint="default"/>
          <w:lang w:val="en-US"/>
        </w:rPr>
        <w:t xml:space="preserve"> </w:t>
      </w:r>
      <w:r>
        <w:t>Balanced development refers to a spatial pattern in which economic growth, tourism benefits, and infrastructural investments are distributed equitably across regions, preventing overconcentration in a single urban pole. In the context of Shanxi Province, balanced development would mean that tourism-driven growth radiates not only from Taiyuan, the designated pole, but also diffuses through the 人-shaped tourism corridor and the three tourism belts to stimulate peripheral counties. When balance is achieved, rural and secondary cities experience multiplier effects through job creation, improved connectivity, and diversified local economies. Conversely, if development remains overly centralized in Taiyuan, spatial inequalities widen, leaving peripheral areas underdeveloped and socially vulnerable, thereby undermining the intended regional integration.</w:t>
      </w:r>
    </w:p>
    <w:p w14:paraId="0B2CFABB">
      <w:pPr>
        <w:pStyle w:val="24"/>
        <w:keepNext w:val="0"/>
        <w:keepLines w:val="0"/>
        <w:widowControl/>
        <w:suppressLineNumbers w:val="0"/>
        <w:ind w:firstLine="720"/>
        <w:jc w:val="both"/>
      </w:pPr>
      <w:r>
        <w:t>The integration of an input–output framework with spatial econometrics provides a more rigorous way to examine these dynamics. While traditional models often rely on static or subjective measures of regional linkage (Wang et al. 2020b), a combined approach allows researchers to trace how tourism-related expenditures, labor mobility, and infrastructure investments circulate within and between cities. Input</w:t>
      </w:r>
      <w:r>
        <w:rPr>
          <w:rFonts w:hint="default"/>
          <w:lang w:val="en-US"/>
        </w:rPr>
        <w:t xml:space="preserve"> - </w:t>
      </w:r>
      <w:r>
        <w:t>output analysis captures the flow of goods and services across sectors, identifying which industries benefit most from tourism expansion, whereas spatial econometrics quantifies spatial dependence and spillover effects between neighboring cities. This synergy enables the detection of spatial mismatchessuch as strong tourism concentration but weak intercity linkages</w:t>
      </w:r>
      <w:r>
        <w:rPr>
          <w:rFonts w:hint="default"/>
          <w:lang w:val="en-US"/>
        </w:rPr>
        <w:t xml:space="preserve"> </w:t>
      </w:r>
      <w:r>
        <w:t>and reveals how economic activities in one area stimulate or inhibit those in others.</w:t>
      </w:r>
    </w:p>
    <w:p w14:paraId="62302CA1">
      <w:pPr>
        <w:pStyle w:val="24"/>
        <w:keepNext w:val="0"/>
        <w:keepLines w:val="0"/>
        <w:widowControl/>
        <w:suppressLineNumbers w:val="0"/>
        <w:ind w:firstLine="720"/>
        <w:jc w:val="both"/>
      </w:pPr>
      <w:r>
        <w:t>Through this combined method, the study tests whether Shanxi’s well-planned tourism spatial framework</w:t>
      </w:r>
      <w:r>
        <w:rPr>
          <w:rFonts w:hint="default"/>
          <w:lang w:val="en-US"/>
        </w:rPr>
        <w:t xml:space="preserve"> </w:t>
      </w:r>
      <w:r>
        <w:t>anchored by the “one pole driving” model, 人-shaped corridor, and three tourism belts</w:t>
      </w:r>
      <w:r>
        <w:rPr>
          <w:rFonts w:hint="default"/>
          <w:lang w:val="en-US"/>
        </w:rPr>
        <w:t xml:space="preserve"> </w:t>
      </w:r>
      <w:r>
        <w:t>functions as intended in generating local linkages and promoting balanced growth (The People’s Government of Shanxi Province 2021). Despite abundant tourism assets, including the Yungang Grottoes and the Ancient City of Pingyao, Shanxi’s tourism growth has weakened under the compounded impacts of COVID-19 and broader economic slowdown (Betcherman et al. 2023). If the spatial imbalances remain uncorrected, there is a risk of reversing recent poverty alleviation achievements and re-entrenching regional disparities.</w:t>
      </w:r>
    </w:p>
    <w:p w14:paraId="5562142E">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6" w:firstLineChars="236"/>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This study addresses this gap by testing whether Shanxi’s well-planned tourism spatial framework built around its “one pole driving” model, </w:t>
      </w:r>
      <w:r>
        <w:rPr>
          <w:rFonts w:ascii="Times New Roman" w:hAnsi="Times New Roman" w:eastAsia="MS Mincho" w:cs="Times New Roman"/>
          <w:color w:val="000000"/>
          <w:sz w:val="24"/>
          <w:szCs w:val="24"/>
        </w:rPr>
        <w:t>人</w:t>
      </w:r>
      <w:r>
        <w:rPr>
          <w:rFonts w:ascii="Times New Roman" w:hAnsi="Times New Roman" w:eastAsia="Times New Roman" w:cs="Times New Roman"/>
          <w:color w:val="000000"/>
          <w:sz w:val="24"/>
          <w:szCs w:val="24"/>
        </w:rPr>
        <w:t>-shaped corridor, three tourism belts, and Taiyuan as its hub actually produces the local linkages envisioned (The People's Government of Shanxi Province 2021). Despite rich resources and major sites like the Yungang Grottoes and Pingyao Ancient City, Shanxi’s tourism growth has faltered under COVID-19 and broader economic headwinds (Betcherman et al. 2023). If unchecked, these risks stalling recent poverty alleviation gains.</w:t>
      </w:r>
    </w:p>
    <w:p w14:paraId="5B788F3F">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6" w:firstLineChars="236"/>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By measuring real input-output linkages and spatial mismatches, this study aims to help Shanxi and similar regions refine tourism investments, strengthen local supply chains, and ensure tourism’s promise translates into tangible, resilient development.</w:t>
      </w:r>
    </w:p>
    <w:p w14:paraId="4ED8A791">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Times New Roman" w:hAnsi="Times New Roman" w:eastAsia="Times New Roman" w:cs="Times New Roman"/>
          <w:color w:val="000000"/>
          <w:sz w:val="24"/>
          <w:szCs w:val="24"/>
        </w:rPr>
      </w:pPr>
    </w:p>
    <w:p w14:paraId="3DF1D9B8">
      <w:pPr>
        <w:pStyle w:val="24"/>
        <w:keepNext w:val="0"/>
        <w:keepLines w:val="0"/>
        <w:widowControl/>
        <w:suppressLineNumbers w:val="0"/>
      </w:pPr>
      <w:r>
        <w:rPr>
          <w:rStyle w:val="26"/>
        </w:rPr>
        <w:t>Tourism Spatial Structure Rationality: Definition and Conceptual Dimensions</w:t>
      </w:r>
    </w:p>
    <w:p w14:paraId="3F51D31C">
      <w:pPr>
        <w:pStyle w:val="24"/>
        <w:keepNext w:val="0"/>
        <w:keepLines w:val="0"/>
        <w:widowControl/>
        <w:suppressLineNumbers w:val="0"/>
        <w:jc w:val="both"/>
        <w:rPr>
          <w:b w:val="0"/>
          <w:bCs w:val="0"/>
        </w:rPr>
      </w:pPr>
      <w:r>
        <w:rPr>
          <w:b w:val="0"/>
          <w:bCs w:val="0"/>
        </w:rPr>
        <w:t>Tourism spatial structure rationality refers to the degree to which the spatial distribution, organization, and interconnection of tourism elements</w:t>
      </w:r>
      <w:r>
        <w:rPr>
          <w:rFonts w:hint="default"/>
          <w:b w:val="0"/>
          <w:bCs w:val="0"/>
          <w:lang w:val="en-US"/>
        </w:rPr>
        <w:t xml:space="preserve"> </w:t>
      </w:r>
      <w:r>
        <w:rPr>
          <w:b w:val="0"/>
          <w:bCs w:val="0"/>
        </w:rPr>
        <w:t>such as destinations, transportation networks, service facilities, and market flows</w:t>
      </w:r>
      <w:r>
        <w:rPr>
          <w:rFonts w:hint="default"/>
          <w:b w:val="0"/>
          <w:bCs w:val="0"/>
          <w:lang w:val="en-US"/>
        </w:rPr>
        <w:t xml:space="preserve"> </w:t>
      </w:r>
      <w:r>
        <w:rPr>
          <w:b w:val="0"/>
          <w:bCs w:val="0"/>
        </w:rPr>
        <w:t>achieve an optimal configuration that supports coordinated, efficient, and sustainable regional development. Conceptually, it reflects the balance between concentration and diffusion of tourism activities across space, ensuring that core and peripheral areas are functionally integrated within a coherent regional system. A rational tourism spatial structure maximizes accessibility, strengthens functional linkages, promotes equitable benefit distribution, and minimizes environmental and social costs.</w:t>
      </w:r>
    </w:p>
    <w:p w14:paraId="453FEFA7">
      <w:pPr>
        <w:pStyle w:val="24"/>
        <w:keepNext w:val="0"/>
        <w:keepLines w:val="0"/>
        <w:widowControl/>
        <w:suppressLineNumbers w:val="0"/>
        <w:ind w:firstLine="720"/>
        <w:jc w:val="both"/>
        <w:rPr>
          <w:b w:val="0"/>
          <w:bCs w:val="0"/>
        </w:rPr>
      </w:pPr>
      <w:r>
        <w:rPr>
          <w:b w:val="0"/>
          <w:bCs w:val="0"/>
        </w:rPr>
        <w:t xml:space="preserve">The concept comprises several interrelated dimensions. </w:t>
      </w:r>
      <w:r>
        <w:rPr>
          <w:rStyle w:val="26"/>
          <w:b w:val="0"/>
          <w:bCs w:val="0"/>
        </w:rPr>
        <w:t>First</w:t>
      </w:r>
      <w:r>
        <w:rPr>
          <w:b w:val="0"/>
          <w:bCs w:val="0"/>
        </w:rPr>
        <w:t xml:space="preserve">, the </w:t>
      </w:r>
      <w:r>
        <w:rPr>
          <w:rStyle w:val="15"/>
          <w:b w:val="0"/>
          <w:bCs w:val="0"/>
        </w:rPr>
        <w:t>structural dimension</w:t>
      </w:r>
      <w:r>
        <w:rPr>
          <w:b w:val="0"/>
          <w:bCs w:val="0"/>
        </w:rPr>
        <w:t xml:space="preserve"> concerns the hierarchical arrangement of tourism centers and their spatial relations</w:t>
      </w:r>
      <w:r>
        <w:rPr>
          <w:rFonts w:hint="default"/>
          <w:b w:val="0"/>
          <w:bCs w:val="0"/>
          <w:lang w:val="en-US"/>
        </w:rPr>
        <w:t xml:space="preserve"> </w:t>
      </w:r>
      <w:r>
        <w:rPr>
          <w:b w:val="0"/>
          <w:bCs w:val="0"/>
        </w:rPr>
        <w:t xml:space="preserve">whether the system exhibits excessive centralization or healthy polycentricity. </w:t>
      </w:r>
      <w:r>
        <w:rPr>
          <w:rStyle w:val="26"/>
          <w:b w:val="0"/>
          <w:bCs w:val="0"/>
        </w:rPr>
        <w:t>Second</w:t>
      </w:r>
      <w:r>
        <w:rPr>
          <w:b w:val="0"/>
          <w:bCs w:val="0"/>
        </w:rPr>
        <w:t xml:space="preserve">, the </w:t>
      </w:r>
      <w:r>
        <w:rPr>
          <w:rStyle w:val="15"/>
          <w:b w:val="0"/>
          <w:bCs w:val="0"/>
        </w:rPr>
        <w:t>functional dimension</w:t>
      </w:r>
      <w:r>
        <w:rPr>
          <w:b w:val="0"/>
          <w:bCs w:val="0"/>
        </w:rPr>
        <w:t xml:space="preserve"> focuses on the degree of interaction among tourism nodes, including flows of tourists, capital, and information, reflecting the efficiency of intercity or interregional linkages. </w:t>
      </w:r>
      <w:r>
        <w:rPr>
          <w:rStyle w:val="26"/>
          <w:b w:val="0"/>
          <w:bCs w:val="0"/>
        </w:rPr>
        <w:t>Third</w:t>
      </w:r>
      <w:r>
        <w:rPr>
          <w:b w:val="0"/>
          <w:bCs w:val="0"/>
        </w:rPr>
        <w:t xml:space="preserve">, the </w:t>
      </w:r>
      <w:r>
        <w:rPr>
          <w:rStyle w:val="15"/>
          <w:b w:val="0"/>
          <w:bCs w:val="0"/>
        </w:rPr>
        <w:t>network dimension</w:t>
      </w:r>
      <w:r>
        <w:rPr>
          <w:b w:val="0"/>
          <w:bCs w:val="0"/>
        </w:rPr>
        <w:t xml:space="preserve"> examines connectivity within the tourism system, measured by accessibility indices and transportation integration, which determine how effectively tourists can circulate through the network. </w:t>
      </w:r>
      <w:r>
        <w:rPr>
          <w:rStyle w:val="26"/>
          <w:b w:val="0"/>
          <w:bCs w:val="0"/>
        </w:rPr>
        <w:t>Fourth</w:t>
      </w:r>
      <w:r>
        <w:rPr>
          <w:b w:val="0"/>
          <w:bCs w:val="0"/>
        </w:rPr>
        <w:t xml:space="preserve">, the </w:t>
      </w:r>
      <w:r>
        <w:rPr>
          <w:rStyle w:val="15"/>
          <w:b w:val="0"/>
          <w:bCs w:val="0"/>
        </w:rPr>
        <w:t>equilibrium dimension</w:t>
      </w:r>
      <w:r>
        <w:rPr>
          <w:b w:val="0"/>
          <w:bCs w:val="0"/>
        </w:rPr>
        <w:t xml:space="preserve"> assesses spatial balance in tourism development, ensuring that growth benefits extend beyond dominant cores to stimulate peripheral or rural destinations. Finally, the </w:t>
      </w:r>
      <w:r>
        <w:rPr>
          <w:rStyle w:val="15"/>
          <w:b w:val="0"/>
          <w:bCs w:val="0"/>
        </w:rPr>
        <w:t>sustainability dimension</w:t>
      </w:r>
      <w:r>
        <w:rPr>
          <w:b w:val="0"/>
          <w:bCs w:val="0"/>
        </w:rPr>
        <w:t xml:space="preserve"> considers environmental carrying capacity and socio-cultural resilience, emphasizing long-term stability of tourism systems.</w:t>
      </w:r>
    </w:p>
    <w:p w14:paraId="3079CED2">
      <w:pPr>
        <w:pStyle w:val="24"/>
        <w:keepNext w:val="0"/>
        <w:keepLines w:val="0"/>
        <w:widowControl/>
        <w:suppressLineNumbers w:val="0"/>
        <w:ind w:firstLine="720"/>
        <w:jc w:val="both"/>
        <w:rPr>
          <w:b w:val="0"/>
          <w:bCs w:val="0"/>
        </w:rPr>
      </w:pPr>
      <w:r>
        <w:rPr>
          <w:b w:val="0"/>
          <w:bCs w:val="0"/>
        </w:rPr>
        <w:t>In empirical evaluations, tourism spatial structure rationality is often assessed through indicators such as spatial concentration indices (e.g., Gini or Herfindahl coefficients), accessibility measures, spatial autocorrelation statistics (Moran’s I, Getis-Ord G*), and network efficiency metrics derived from spatial econometric or GIS-based analyses. A rational structure typically exhibits moderate concentration coupled with strong horizontal linkages and positive spatial spillover effects among neighboring regions. Conversely, irrational structures are characterized by spatial polarization, weak interconnectivity, and inefficient resource allocation, leading to uneven regional development.</w:t>
      </w:r>
    </w:p>
    <w:p w14:paraId="7DE74FB2">
      <w:pPr>
        <w:pStyle w:val="24"/>
        <w:keepNext w:val="0"/>
        <w:keepLines w:val="0"/>
        <w:widowControl/>
        <w:suppressLineNumbers w:val="0"/>
        <w:ind w:firstLine="720"/>
        <w:jc w:val="both"/>
      </w:pPr>
      <w:r>
        <w:rPr>
          <w:b w:val="0"/>
          <w:bCs w:val="0"/>
        </w:rPr>
        <w:t>In this study, tourism spatial structure rationality serves as a critical analytical framework for evaluating whether Shanxi’s tourism spatial planning—organized around its “one pole driving” model, 人-shaped corridor, and three tourism belts—achieves balanced, networked, and sustainable regional outcomes as envisioned in provincial policy.</w:t>
      </w:r>
    </w:p>
    <w:p w14:paraId="1C259579">
      <w:pPr>
        <w:pStyle w:val="58"/>
        <w:spacing w:line="240" w:lineRule="auto"/>
        <w:ind w:hanging="2"/>
        <w:jc w:val="both"/>
        <w:rPr>
          <w:b/>
          <w:bCs/>
          <w:lang w:val="en-US"/>
        </w:rPr>
      </w:pPr>
    </w:p>
    <w:p w14:paraId="0734A4F1">
      <w:pPr>
        <w:pStyle w:val="58"/>
        <w:spacing w:line="240" w:lineRule="auto"/>
        <w:ind w:hanging="2"/>
        <w:jc w:val="both"/>
        <w:rPr>
          <w:b/>
          <w:bCs/>
        </w:rPr>
      </w:pPr>
      <w:r>
        <w:rPr>
          <w:b/>
          <w:bCs/>
          <w:lang w:val="en-US"/>
        </w:rPr>
        <w:t xml:space="preserve">Literature review: </w:t>
      </w:r>
      <w:r>
        <w:rPr>
          <w:b/>
          <w:bCs/>
        </w:rPr>
        <w:t>Evaluating Tourism Spatial Structure Rationality Through Input-Output Analysis</w:t>
      </w:r>
    </w:p>
    <w:p w14:paraId="6F6482C9">
      <w:pPr>
        <w:pStyle w:val="58"/>
        <w:spacing w:line="240" w:lineRule="auto"/>
        <w:ind w:hanging="2"/>
        <w:jc w:val="both"/>
        <w:rPr>
          <w:b/>
          <w:bCs/>
        </w:rPr>
      </w:pPr>
    </w:p>
    <w:p w14:paraId="09A86CE6">
      <w:pPr>
        <w:pStyle w:val="58"/>
        <w:spacing w:line="240" w:lineRule="auto"/>
        <w:ind w:firstLine="0"/>
        <w:jc w:val="both"/>
      </w:pPr>
      <w:r>
        <w:t>Input-output analysis remains one of the most rigorous tools for systematically tracing how economic systems function and how sectors interconnect (Miller and Blair 2021; Peypoch et al. 2021). Tourism, far from being an isolated activity, is deeply embedded within these intersectoral flows, relying on a web of inputs and outputs that shape its real economic footprint (Demeter et al. 2021). Within this context, the spatial structure of tourism reflects how destinations develop, evolve, and interact across a given territory over time (Ma et al. 2020). This study argues that an input-output framework provides an indispensable lens for testing whether a region’s tourism spatial arrangement is truly rational and economically coherent.</w:t>
      </w:r>
    </w:p>
    <w:p w14:paraId="1D6661A3">
      <w:pPr>
        <w:pStyle w:val="58"/>
        <w:spacing w:line="240" w:lineRule="auto"/>
        <w:ind w:firstLine="851"/>
        <w:jc w:val="both"/>
      </w:pPr>
      <w:r>
        <w:t>At its core, input-output analysis maps the interdependencies that bind industries together, highlighting how inputs flow through production processes to generate outputs (Bunsen and Finkbeiner 2022). For tourism, this means looking beyond visitor numbers or revenue headlines to understand how money, resources, and services circulate within and between local economies. Such flows underpin how tourism nodes emerge, expand, and sustain themselves and whether they deliver balanced benefits or produce hidden inefficiencies.</w:t>
      </w:r>
    </w:p>
    <w:p w14:paraId="7BBC78E3">
      <w:pPr>
        <w:pStyle w:val="58"/>
        <w:spacing w:line="240" w:lineRule="auto"/>
        <w:ind w:firstLine="851"/>
        <w:jc w:val="both"/>
      </w:pPr>
      <w:r>
        <w:t>The central idea here is that a rational tourism spatial structure hinges on a clear, proportionate relationship between inputs and outputs. Outputs such as tourism revenue, visitor capacity, or service production measure how well the sector performs over time (Ouyang et al. 2020). Inputs, including capital investment, labor, natural assets, infrastructure, and governance capacity directly condition these outcomes (Gillman 2021). The balance between these elements ultimately determines how well tourism clusters, corridors, and growth pole’s function and whether they anchor lasting economic linkages.</w:t>
      </w:r>
    </w:p>
    <w:p w14:paraId="08769208">
      <w:pPr>
        <w:pStyle w:val="58"/>
        <w:spacing w:line="240" w:lineRule="auto"/>
        <w:ind w:firstLine="851"/>
        <w:jc w:val="both"/>
      </w:pPr>
      <w:r>
        <w:t>In this sense, inputs serve as the foundation for outputs; when this relationship is well-calibrated, spatial patterns tend to be more efficient, resilient, and regionally equitable (Wang et al. 2020a). Conversely, misalignments between what goes in and what comes out can drain resources, weaken local multiplier effects, and leave some areas underdeveloped or disconnected from broader economic circuits. Input-output analysis thus offers a clear, evidence-based means to diagnose such gaps and guide more strategic spatial planning.</w:t>
      </w:r>
    </w:p>
    <w:p w14:paraId="47CCF03B">
      <w:pPr>
        <w:pStyle w:val="58"/>
        <w:spacing w:line="240" w:lineRule="auto"/>
        <w:ind w:firstLine="851"/>
        <w:jc w:val="both"/>
      </w:pPr>
      <w:r>
        <w:t>In theory, increasing inputs for example, by boosting infrastructure investment or enhancing workforce skills should expand outputs proportionally. However, this relationship often breaks down due to resource misallocations, technological bottlenecks, or sudden shifts in market conditions (Liao et al. 2021). Understanding where and why these mismatches occur has become an important focus for tourism scholars and planners alike.</w:t>
      </w:r>
    </w:p>
    <w:p w14:paraId="3C817F2B">
      <w:pPr>
        <w:pStyle w:val="24"/>
        <w:keepNext w:val="0"/>
        <w:keepLines w:val="0"/>
        <w:widowControl/>
        <w:suppressLineNumbers w:val="0"/>
        <w:jc w:val="both"/>
        <w:rPr>
          <w:b w:val="0"/>
          <w:bCs w:val="0"/>
        </w:rPr>
      </w:pPr>
      <w:r>
        <w:rPr>
          <w:b w:val="0"/>
          <w:bCs w:val="0"/>
        </w:rPr>
        <w:t xml:space="preserve">A growing body of work now tackles this problem directly by quantifying mismatches and developing models to explain them under various regional and sectoral scenarios (Egidi et al. 2020; González-García et al. 2020; Chi and Liu 2023; Wang et al. 2024; Tang and Luo 2022). Among these, spatial mismatch theory is especially relevant because it not only measures disparities between inputs and outputs but also reveals deeper structural misalignments that weaken the intended linkages. In this study, we adopt the Spatial Mismatch Index (SMI) to expose gaps between what the tourism system invests and what it delivers on the ground. </w:t>
      </w:r>
      <w:r>
        <w:rPr>
          <w:rFonts w:hint="default"/>
          <w:b w:val="0"/>
          <w:bCs w:val="0"/>
          <w:lang w:val="en-US"/>
        </w:rPr>
        <w:t>T</w:t>
      </w:r>
      <w:r>
        <w:rPr>
          <w:b w:val="0"/>
          <w:bCs w:val="0"/>
        </w:rPr>
        <w:t xml:space="preserve">he </w:t>
      </w:r>
      <w:r>
        <w:rPr>
          <w:rStyle w:val="26"/>
          <w:b w:val="0"/>
          <w:bCs w:val="0"/>
        </w:rPr>
        <w:t>Spatial Mismatch Index (SMI)</w:t>
      </w:r>
      <w:r>
        <w:rPr>
          <w:b w:val="0"/>
          <w:bCs w:val="0"/>
        </w:rPr>
        <w:t xml:space="preserve"> has been used in various studies, especially in </w:t>
      </w:r>
      <w:r>
        <w:rPr>
          <w:rStyle w:val="26"/>
          <w:b w:val="0"/>
          <w:bCs w:val="0"/>
        </w:rPr>
        <w:t>urban economics, labor geography, and regional planning</w:t>
      </w:r>
      <w:r>
        <w:rPr>
          <w:b w:val="0"/>
          <w:bCs w:val="0"/>
        </w:rPr>
        <w:t>. It measures the degree of spatial separation between where people live and where jobs or services are located.</w:t>
      </w:r>
      <w:r>
        <w:rPr>
          <w:rFonts w:hint="default"/>
          <w:b w:val="0"/>
          <w:bCs w:val="0"/>
          <w:lang w:val="en-US"/>
        </w:rPr>
        <w:t xml:space="preserve"> </w:t>
      </w:r>
      <w:r>
        <w:rPr>
          <w:b w:val="0"/>
          <w:bCs w:val="0"/>
        </w:rPr>
        <w:t xml:space="preserve">The method has been effectively applied in studies on </w:t>
      </w:r>
      <w:r>
        <w:rPr>
          <w:rStyle w:val="26"/>
          <w:b w:val="0"/>
          <w:bCs w:val="0"/>
        </w:rPr>
        <w:t>employment accessibility in U.S. metropolitan areas</w:t>
      </w:r>
      <w:r>
        <w:rPr>
          <w:b w:val="0"/>
          <w:bCs w:val="0"/>
        </w:rPr>
        <w:t xml:space="preserve"> (Kain, 1968; Gobillon et al., 2007), </w:t>
      </w:r>
      <w:r>
        <w:rPr>
          <w:rStyle w:val="26"/>
          <w:b w:val="0"/>
          <w:bCs w:val="0"/>
        </w:rPr>
        <w:t>housing and job distribution in European cities</w:t>
      </w:r>
      <w:r>
        <w:rPr>
          <w:b w:val="0"/>
          <w:bCs w:val="0"/>
        </w:rPr>
        <w:t xml:space="preserve"> (Houston, 2005), and more recently in </w:t>
      </w:r>
      <w:r>
        <w:rPr>
          <w:rStyle w:val="26"/>
          <w:b w:val="0"/>
          <w:bCs w:val="0"/>
        </w:rPr>
        <w:t>China’s urban and tourism development research</w:t>
      </w:r>
      <w:r>
        <w:rPr>
          <w:b w:val="0"/>
          <w:bCs w:val="0"/>
        </w:rPr>
        <w:t xml:space="preserve"> (Wang et al., 2020; Zhao &amp; Wang, 2022).</w:t>
      </w:r>
      <w:r>
        <w:rPr>
          <w:rFonts w:hint="default"/>
          <w:b w:val="0"/>
          <w:bCs w:val="0"/>
          <w:lang w:val="en-US"/>
        </w:rPr>
        <w:t xml:space="preserve"> </w:t>
      </w:r>
      <w:r>
        <w:rPr>
          <w:b w:val="0"/>
          <w:bCs w:val="0"/>
        </w:rPr>
        <w:t xml:space="preserve">Its </w:t>
      </w:r>
      <w:r>
        <w:rPr>
          <w:rStyle w:val="26"/>
          <w:b w:val="0"/>
          <w:bCs w:val="0"/>
        </w:rPr>
        <w:t>effectiveness</w:t>
      </w:r>
      <w:r>
        <w:rPr>
          <w:b w:val="0"/>
          <w:bCs w:val="0"/>
        </w:rPr>
        <w:t xml:space="preserve"> lies in quantifying how uneven spatial distribution affects economic opportunities and regional balance. In tourism studies, SMI helps identify mismatches between </w:t>
      </w:r>
      <w:r>
        <w:rPr>
          <w:rStyle w:val="26"/>
          <w:b w:val="0"/>
          <w:bCs w:val="0"/>
        </w:rPr>
        <w:t>tourism resources, facilities, and demand centers</w:t>
      </w:r>
      <w:r>
        <w:rPr>
          <w:b w:val="0"/>
          <w:bCs w:val="0"/>
        </w:rPr>
        <w:t xml:space="preserve">, guiding planners toward more </w:t>
      </w:r>
      <w:r>
        <w:rPr>
          <w:rStyle w:val="26"/>
          <w:b w:val="0"/>
          <w:bCs w:val="0"/>
        </w:rPr>
        <w:t>balanced and efficient spatial structures</w:t>
      </w:r>
      <w:r>
        <w:rPr>
          <w:b w:val="0"/>
          <w:bCs w:val="0"/>
        </w:rPr>
        <w:t>.</w:t>
      </w:r>
    </w:p>
    <w:p w14:paraId="1C28F189">
      <w:pPr>
        <w:pStyle w:val="58"/>
        <w:spacing w:line="240" w:lineRule="auto"/>
        <w:ind w:firstLine="851"/>
        <w:jc w:val="both"/>
      </w:pPr>
      <w:r>
        <w:t>By systematically assessing this balance, the goal is to identify where resource allocation and planning adjustments can close these gaps, ultimately fostering a more efficient, equitable, and sustainable tourism spatial structure for Shanxi (see Figure 1).</w:t>
      </w:r>
    </w:p>
    <w:p w14:paraId="69C6D009">
      <w:pPr>
        <w:pStyle w:val="58"/>
        <w:spacing w:line="240" w:lineRule="auto"/>
        <w:ind w:firstLine="851"/>
        <w:jc w:val="both"/>
      </w:pPr>
    </w:p>
    <w:p w14:paraId="0B27DD1D">
      <w:pPr>
        <w:pStyle w:val="58"/>
        <w:spacing w:line="240" w:lineRule="auto"/>
        <w:ind w:firstLine="851"/>
        <w:jc w:val="both"/>
      </w:pPr>
    </w:p>
    <w:p w14:paraId="135A4DF8">
      <w:pPr>
        <w:pStyle w:val="58"/>
        <w:spacing w:line="240" w:lineRule="auto"/>
        <w:ind w:firstLine="851"/>
        <w:jc w:val="center"/>
        <w:rPr>
          <w:rFonts w:eastAsiaTheme="minorEastAsia"/>
          <w:lang w:eastAsia="zh-CN"/>
        </w:rPr>
      </w:pPr>
      <w:r>
        <w:rPr>
          <w:sz w:val="20"/>
          <w:szCs w:val="20"/>
        </w:rPr>
        <w:drawing>
          <wp:inline distT="0" distB="0" distL="0" distR="0">
            <wp:extent cx="3474720" cy="2499995"/>
            <wp:effectExtent l="0" t="0" r="0" b="0"/>
            <wp:docPr id="1467013322" name="图片 1" descr="A diagram of a business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13322" name="图片 1" descr="A diagram of a business syste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09958" cy="2525525"/>
                    </a:xfrm>
                    <a:prstGeom prst="rect">
                      <a:avLst/>
                    </a:prstGeom>
                    <a:noFill/>
                    <a:ln>
                      <a:noFill/>
                    </a:ln>
                  </pic:spPr>
                </pic:pic>
              </a:graphicData>
            </a:graphic>
          </wp:inline>
        </w:drawing>
      </w:r>
    </w:p>
    <w:p w14:paraId="0A6DF1EC">
      <w:pPr>
        <w:pStyle w:val="58"/>
        <w:spacing w:line="240" w:lineRule="auto"/>
        <w:ind w:firstLine="851"/>
        <w:jc w:val="center"/>
        <w:rPr>
          <w:rFonts w:eastAsiaTheme="minorEastAsia"/>
          <w:lang w:eastAsia="zh-CN"/>
        </w:rPr>
      </w:pPr>
    </w:p>
    <w:p w14:paraId="36E6A182">
      <w:pPr>
        <w:pStyle w:val="72"/>
        <w:spacing w:before="0" w:line="240" w:lineRule="auto"/>
        <w:ind w:firstLine="851"/>
        <w:rPr>
          <w:rFonts w:eastAsiaTheme="minorEastAsia"/>
          <w:sz w:val="20"/>
          <w:szCs w:val="20"/>
          <w:lang w:eastAsia="zh-CN"/>
        </w:rPr>
      </w:pPr>
      <w:r>
        <w:rPr>
          <w:sz w:val="20"/>
          <w:szCs w:val="20"/>
        </w:rPr>
        <w:t>Fig</w:t>
      </w:r>
      <w:r>
        <w:rPr>
          <w:rFonts w:eastAsia="SimSun"/>
          <w:sz w:val="20"/>
          <w:szCs w:val="20"/>
          <w:lang w:eastAsia="zh-CN"/>
        </w:rPr>
        <w:t xml:space="preserve">ure </w:t>
      </w:r>
      <w:r>
        <w:rPr>
          <w:rFonts w:eastAsiaTheme="minorEastAsia"/>
          <w:sz w:val="20"/>
          <w:szCs w:val="20"/>
          <w:lang w:eastAsia="zh-CN"/>
        </w:rPr>
        <w:t>1</w:t>
      </w:r>
      <w:r>
        <w:rPr>
          <w:sz w:val="20"/>
          <w:szCs w:val="20"/>
        </w:rPr>
        <w:t xml:space="preserve"> Tourism spatial structure rationality evaluation model</w:t>
      </w:r>
      <w:r>
        <w:rPr>
          <w:rFonts w:eastAsiaTheme="minorEastAsia"/>
          <w:sz w:val="20"/>
          <w:szCs w:val="20"/>
          <w:lang w:eastAsia="zh-CN"/>
        </w:rPr>
        <w:t xml:space="preserve"> (</w:t>
      </w:r>
      <w:r>
        <w:rPr>
          <w:sz w:val="20"/>
          <w:szCs w:val="20"/>
        </w:rPr>
        <w:t>Source: Authors</w:t>
      </w:r>
      <w:r>
        <w:rPr>
          <w:rFonts w:eastAsiaTheme="minorEastAsia"/>
          <w:sz w:val="20"/>
          <w:szCs w:val="20"/>
          <w:lang w:eastAsia="zh-CN"/>
        </w:rPr>
        <w:t>)</w:t>
      </w:r>
    </w:p>
    <w:p w14:paraId="48CEC999">
      <w:pPr>
        <w:pStyle w:val="58"/>
        <w:spacing w:line="240" w:lineRule="auto"/>
        <w:ind w:firstLine="851"/>
        <w:jc w:val="both"/>
        <w:rPr>
          <w:b/>
          <w:bCs/>
        </w:rPr>
      </w:pPr>
    </w:p>
    <w:p w14:paraId="4018D676">
      <w:pPr>
        <w:spacing w:after="0" w:line="240" w:lineRule="auto"/>
        <w:ind w:left="-2" w:firstLine="926" w:firstLineChars="386"/>
        <w:jc w:val="both"/>
        <w:rPr>
          <w:rFonts w:ascii="Times New Roman" w:hAnsi="Times New Roman" w:cs="Times New Roman"/>
          <w:sz w:val="24"/>
          <w:szCs w:val="24"/>
        </w:rPr>
      </w:pPr>
      <w:r>
        <w:rPr>
          <w:rFonts w:ascii="Times New Roman" w:hAnsi="Times New Roman" w:cs="Times New Roman"/>
          <w:sz w:val="24"/>
          <w:szCs w:val="24"/>
        </w:rPr>
        <w:t>For its empirical grounding, this study situates its analysis within the Pole-Axis theory, focusing specifically on cities in Shanxi Province. This spatial theory, first articulated by Lu (2001), explains how socio-economic systems evolve by concentrating activity in strategic ‘poles’ that gradually radiate development outward along designated ‘axes. These axes often transport corridors or infrastructural backbones connect key urban centers, enabling a networked structure that supports balanced regional growth (Lu 2002).</w:t>
      </w:r>
    </w:p>
    <w:p w14:paraId="51A83705">
      <w:pPr>
        <w:spacing w:after="0" w:line="240" w:lineRule="auto"/>
        <w:ind w:left="-2" w:firstLine="926" w:firstLineChars="386"/>
        <w:jc w:val="both"/>
        <w:rPr>
          <w:rFonts w:ascii="Times New Roman" w:hAnsi="Times New Roman" w:cs="Times New Roman"/>
          <w:sz w:val="24"/>
          <w:szCs w:val="24"/>
        </w:rPr>
      </w:pPr>
      <w:r>
        <w:rPr>
          <w:rFonts w:ascii="Times New Roman" w:hAnsi="Times New Roman" w:cs="Times New Roman"/>
          <w:sz w:val="24"/>
          <w:szCs w:val="24"/>
        </w:rPr>
        <w:t>Within this framework, tourism nodes act as functional growth poles. They anchor flows of visitors, investment, and services, shaping how tourism activities cluster, disperse, and ultimately restructure the spatial economy (Lu 2024). Over time, well-positioned tourism poles consolidate their roles as urban hubs, while transport routes and supporting infrastructure form the axes that bind these nodes into a coherent whole (Lu 2024). The strength and efficiency of these linkages often determine whether a region’s tourism development simply stays localized or generates broader spillover effects that benefit surrounding areas.</w:t>
      </w:r>
    </w:p>
    <w:p w14:paraId="123C8C18">
      <w:pPr>
        <w:pStyle w:val="24"/>
        <w:keepNext w:val="0"/>
        <w:keepLines w:val="0"/>
        <w:widowControl/>
        <w:suppressLineNumbers w:val="0"/>
        <w:ind w:firstLine="720"/>
        <w:jc w:val="both"/>
        <w:rPr>
          <w:b w:val="0"/>
          <w:bCs w:val="0"/>
        </w:rPr>
      </w:pPr>
      <w:r>
        <w:rPr>
          <w:b w:val="0"/>
          <w:bCs w:val="0"/>
        </w:rPr>
        <w:t xml:space="preserve">The </w:t>
      </w:r>
      <w:r>
        <w:rPr>
          <w:rStyle w:val="26"/>
          <w:b w:val="0"/>
          <w:bCs w:val="0"/>
        </w:rPr>
        <w:t>Pole–Axis Theory</w:t>
      </w:r>
      <w:r>
        <w:rPr>
          <w:b w:val="0"/>
          <w:bCs w:val="0"/>
        </w:rPr>
        <w:t xml:space="preserve"> provides a robust theoretical foundation for analyzing regional spatial organization and development dynamics. Originally derived from growth pole theory, it posits that regional development is driven by dominant urban centers (poles) whose influence radiates outward along defined development axes, thereby fostering spatial diffusion of economic activities and promoting coordinated growth among peripheral areas. The theory emphasizes the interplay between </w:t>
      </w:r>
      <w:r>
        <w:rPr>
          <w:rStyle w:val="15"/>
          <w:b w:val="0"/>
          <w:bCs w:val="0"/>
        </w:rPr>
        <w:t>concentration</w:t>
      </w:r>
      <w:r>
        <w:rPr>
          <w:b w:val="0"/>
          <w:bCs w:val="0"/>
        </w:rPr>
        <w:t xml:space="preserve"> (the growth-driving role of the pole) and </w:t>
      </w:r>
      <w:r>
        <w:rPr>
          <w:rStyle w:val="15"/>
          <w:b w:val="0"/>
          <w:bCs w:val="0"/>
        </w:rPr>
        <w:t>diffusion</w:t>
      </w:r>
      <w:r>
        <w:rPr>
          <w:b w:val="0"/>
          <w:bCs w:val="0"/>
        </w:rPr>
        <w:t xml:space="preserve"> (the spread of development benefits through axes and networks), making it particularly suitable for analyzing the spatial rationality and connectivity of tourism systems.</w:t>
      </w:r>
    </w:p>
    <w:p w14:paraId="69BB1183">
      <w:pPr>
        <w:pStyle w:val="24"/>
        <w:keepNext w:val="0"/>
        <w:keepLines w:val="0"/>
        <w:widowControl/>
        <w:suppressLineNumbers w:val="0"/>
        <w:ind w:firstLine="720"/>
        <w:jc w:val="both"/>
        <w:rPr>
          <w:b w:val="0"/>
          <w:bCs w:val="0"/>
        </w:rPr>
      </w:pPr>
      <w:r>
        <w:rPr>
          <w:b w:val="0"/>
          <w:bCs w:val="0"/>
        </w:rPr>
        <w:t xml:space="preserve">In the context of </w:t>
      </w:r>
      <w:r>
        <w:rPr>
          <w:rStyle w:val="26"/>
          <w:b w:val="0"/>
          <w:bCs w:val="0"/>
        </w:rPr>
        <w:t>Shanxi Province</w:t>
      </w:r>
      <w:r>
        <w:rPr>
          <w:b w:val="0"/>
          <w:bCs w:val="0"/>
        </w:rPr>
        <w:t xml:space="preserve">, the adoption of the Pole–Axis framework is highly relevant because the province’s tourism spatial strategy explicitly follows a “one pole driving, multi-axis linkage” model centered on </w:t>
      </w:r>
      <w:r>
        <w:rPr>
          <w:rStyle w:val="26"/>
          <w:b w:val="0"/>
          <w:bCs w:val="0"/>
        </w:rPr>
        <w:t>Taiyuan</w:t>
      </w:r>
      <w:r>
        <w:rPr>
          <w:b w:val="0"/>
          <w:bCs w:val="0"/>
        </w:rPr>
        <w:t xml:space="preserve"> as the core growth pole. This framework conceptualizes tourism development as radiating from Taiyuan through the </w:t>
      </w:r>
      <w:r>
        <w:rPr>
          <w:rStyle w:val="26"/>
          <w:b w:val="0"/>
          <w:bCs w:val="0"/>
        </w:rPr>
        <w:t>人-shaped tourism corridor</w:t>
      </w:r>
      <w:r>
        <w:rPr>
          <w:b w:val="0"/>
          <w:bCs w:val="0"/>
        </w:rPr>
        <w:t xml:space="preserve"> and </w:t>
      </w:r>
      <w:r>
        <w:rPr>
          <w:rStyle w:val="26"/>
          <w:b w:val="0"/>
          <w:bCs w:val="0"/>
        </w:rPr>
        <w:t>three major tourism belts</w:t>
      </w:r>
      <w:r>
        <w:rPr>
          <w:b w:val="0"/>
          <w:bCs w:val="0"/>
        </w:rPr>
        <w:t xml:space="preserve">, intended to integrate cultural, ecological, and heritage destinations such as the </w:t>
      </w:r>
      <w:r>
        <w:rPr>
          <w:rStyle w:val="26"/>
          <w:b w:val="0"/>
          <w:bCs w:val="0"/>
        </w:rPr>
        <w:t>Yungang Grottoes</w:t>
      </w:r>
      <w:r>
        <w:rPr>
          <w:b w:val="0"/>
          <w:bCs w:val="0"/>
        </w:rPr>
        <w:t xml:space="preserve">, </w:t>
      </w:r>
      <w:r>
        <w:rPr>
          <w:rStyle w:val="26"/>
          <w:b w:val="0"/>
          <w:bCs w:val="0"/>
        </w:rPr>
        <w:t>Mount Wutai</w:t>
      </w:r>
      <w:r>
        <w:rPr>
          <w:b w:val="0"/>
          <w:bCs w:val="0"/>
        </w:rPr>
        <w:t xml:space="preserve">, and </w:t>
      </w:r>
      <w:r>
        <w:rPr>
          <w:rStyle w:val="26"/>
          <w:b w:val="0"/>
          <w:bCs w:val="0"/>
        </w:rPr>
        <w:t>Pingyao Ancient City</w:t>
      </w:r>
      <w:r>
        <w:rPr>
          <w:b w:val="0"/>
          <w:bCs w:val="0"/>
        </w:rPr>
        <w:t xml:space="preserve"> into a cohesive network. By applying the Pole–Axis perspective, this study can empirically assess whether these planned linkages translate into actual spatial interactions and functional complementarities among tourism nodes.</w:t>
      </w:r>
    </w:p>
    <w:p w14:paraId="414B62F6">
      <w:pPr>
        <w:pStyle w:val="24"/>
        <w:keepNext w:val="0"/>
        <w:keepLines w:val="0"/>
        <w:widowControl/>
        <w:suppressLineNumbers w:val="0"/>
        <w:ind w:firstLine="720"/>
        <w:jc w:val="both"/>
        <w:rPr>
          <w:b w:val="0"/>
          <w:bCs w:val="0"/>
        </w:rPr>
      </w:pPr>
      <w:r>
        <w:rPr>
          <w:b w:val="0"/>
          <w:bCs w:val="0"/>
        </w:rPr>
        <w:t xml:space="preserve">Furthermore, the Pole–Axis framework facilitates the measurement of </w:t>
      </w:r>
      <w:r>
        <w:rPr>
          <w:rStyle w:val="26"/>
          <w:b w:val="0"/>
          <w:bCs w:val="0"/>
        </w:rPr>
        <w:t>tourism spatial structure rationality</w:t>
      </w:r>
      <w:r>
        <w:rPr>
          <w:b w:val="0"/>
          <w:bCs w:val="0"/>
        </w:rPr>
        <w:t xml:space="preserve"> by revealing the balance between concentration and diffusion of tourism flows. It allows researchers to evaluate whether development is overly polarized around Taiyuan or effectively distributed along the tourism belts. When combined with spatial econometric techniques, the theory helps quantify spatial dependence and spillover effects, revealing how tourism growth in one area influences neighboring regions. This integrated approach advances understanding of how tourism networks evolve, how regional disparities emerge, and how policy interventions can enhance intercity connectivity and regional balance.</w:t>
      </w:r>
      <w:r>
        <w:rPr>
          <w:rFonts w:hint="default"/>
          <w:b w:val="0"/>
          <w:bCs w:val="0"/>
          <w:lang w:val="en-US"/>
        </w:rPr>
        <w:t xml:space="preserve"> </w:t>
      </w:r>
      <w:r>
        <w:rPr>
          <w:b w:val="0"/>
          <w:bCs w:val="0"/>
        </w:rPr>
        <w:t xml:space="preserve">Thus, employing the Pole–Axis Theory not only aligns conceptually with Shanxi’s provincial spatial plan but also provides a rigorous analytical lens to test the </w:t>
      </w:r>
      <w:r>
        <w:rPr>
          <w:rStyle w:val="26"/>
          <w:b w:val="0"/>
          <w:bCs w:val="0"/>
        </w:rPr>
        <w:t>functional efficiency, spatial balance, and rationality</w:t>
      </w:r>
      <w:r>
        <w:rPr>
          <w:b w:val="0"/>
          <w:bCs w:val="0"/>
        </w:rPr>
        <w:t xml:space="preserve"> of its tourism development model.</w:t>
      </w:r>
    </w:p>
    <w:p w14:paraId="454F537D">
      <w:pPr>
        <w:spacing w:after="0" w:line="240" w:lineRule="auto"/>
        <w:ind w:left="-2" w:firstLine="926" w:firstLineChars="386"/>
        <w:jc w:val="both"/>
        <w:rPr>
          <w:rFonts w:ascii="Times New Roman" w:hAnsi="Times New Roman" w:cs="Times New Roman"/>
          <w:sz w:val="24"/>
          <w:szCs w:val="24"/>
        </w:rPr>
      </w:pPr>
      <w:r>
        <w:rPr>
          <w:rFonts w:ascii="Times New Roman" w:hAnsi="Times New Roman" w:cs="Times New Roman"/>
          <w:sz w:val="24"/>
          <w:szCs w:val="24"/>
        </w:rPr>
        <w:t>In this context, the rationality of tourism spatial structures cannot be assessed in isolation from their economic dynamics. By positioning cities across Shanxi Province as core tourism poles, this study evaluates whether their spatial arrangement aligns with the region’s underlying input-output flows. Are investments, labor, and resources feeding into these nodes translating into robust local returns and stronger backward and forward linkages? Or do mismatches persist that weaken the intended ripple effects? By embedding the Pole-Axis framework within a tourism input-output lens, this research not only extends theoretical debates in tourism geography but also provides actionable insights for planners and policymakers. Ultimately, it highlights how tourism spatial strategies can be recalibrated to strengthen regional connectivity, correct inefficiencies, and support more balanced and sustainable development trajectories across Shanxi.</w:t>
      </w:r>
    </w:p>
    <w:p w14:paraId="0F42C9F7">
      <w:pPr>
        <w:pStyle w:val="58"/>
        <w:spacing w:line="240" w:lineRule="auto"/>
        <w:ind w:hanging="2"/>
        <w:jc w:val="center"/>
        <w:rPr>
          <w:rFonts w:eastAsiaTheme="minorEastAsia"/>
          <w:lang w:val="en-US" w:eastAsia="zh-CN"/>
        </w:rPr>
      </w:pPr>
      <w:r>
        <w:rPr>
          <w:rFonts w:eastAsiaTheme="minorEastAsia"/>
          <w:lang w:val="en-US" w:eastAsia="zh-CN"/>
        </w:rPr>
        <w:drawing>
          <wp:inline distT="0" distB="0" distL="0" distR="0">
            <wp:extent cx="5396865" cy="2374900"/>
            <wp:effectExtent l="0" t="0" r="0" b="6350"/>
            <wp:docPr id="1894832004" name="图片 2" descr="A diagram of a pregnant stage and a pregnancy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32004" name="图片 2" descr="A diagram of a pregnant stage and a pregnancy stag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96865" cy="2374900"/>
                    </a:xfrm>
                    <a:prstGeom prst="rect">
                      <a:avLst/>
                    </a:prstGeom>
                    <a:noFill/>
                    <a:ln>
                      <a:noFill/>
                    </a:ln>
                  </pic:spPr>
                </pic:pic>
              </a:graphicData>
            </a:graphic>
          </wp:inline>
        </w:drawing>
      </w:r>
    </w:p>
    <w:p w14:paraId="104ABD42">
      <w:pPr>
        <w:pStyle w:val="58"/>
        <w:spacing w:line="240" w:lineRule="auto"/>
        <w:ind w:hanging="2"/>
        <w:jc w:val="center"/>
        <w:rPr>
          <w:rFonts w:eastAsiaTheme="minorEastAsia"/>
          <w:sz w:val="20"/>
          <w:szCs w:val="20"/>
          <w:lang w:val="en-US" w:eastAsia="zh-CN"/>
        </w:rPr>
      </w:pPr>
      <w:r>
        <w:rPr>
          <w:rFonts w:eastAsiaTheme="minorEastAsia"/>
          <w:sz w:val="20"/>
          <w:szCs w:val="20"/>
          <w:lang w:val="en-US" w:eastAsia="zh-CN"/>
        </w:rPr>
        <w:t>Figure 2 The evolvement phases of pole-axis system’s spatial structure (modified by Meng et al. (2009))</w:t>
      </w:r>
    </w:p>
    <w:p w14:paraId="1E4B4D1E">
      <w:pPr>
        <w:pStyle w:val="58"/>
        <w:spacing w:line="240" w:lineRule="auto"/>
        <w:ind w:hanging="2"/>
        <w:jc w:val="center"/>
        <w:rPr>
          <w:rFonts w:eastAsiaTheme="minorEastAsia"/>
          <w:sz w:val="20"/>
          <w:szCs w:val="20"/>
          <w:lang w:val="en-US" w:eastAsia="zh-CN"/>
        </w:rPr>
      </w:pPr>
    </w:p>
    <w:p w14:paraId="49DA3DF5">
      <w:pPr>
        <w:pStyle w:val="2"/>
        <w:spacing w:before="0" w:line="240" w:lineRule="auto"/>
        <w:ind w:left="1" w:hanging="3"/>
        <w:jc w:val="center"/>
        <w:rPr>
          <w:rFonts w:ascii="Times New Roman" w:hAnsi="Times New Roman"/>
          <w:color w:val="EE0000"/>
        </w:rPr>
      </w:pPr>
    </w:p>
    <w:p w14:paraId="5487B379">
      <w:pPr>
        <w:pStyle w:val="2"/>
        <w:spacing w:before="0" w:line="240" w:lineRule="auto"/>
        <w:ind w:left="1" w:hanging="3"/>
        <w:jc w:val="both"/>
        <w:rPr>
          <w:rFonts w:ascii="Times New Roman" w:hAnsi="Times New Roman"/>
          <w:b/>
          <w:bCs/>
          <w:szCs w:val="24"/>
          <w:lang w:val="en-MY" w:eastAsia="zh-CN"/>
        </w:rPr>
      </w:pPr>
    </w:p>
    <w:p w14:paraId="3AB5FB96">
      <w:pPr>
        <w:pStyle w:val="58"/>
        <w:spacing w:line="240" w:lineRule="auto"/>
        <w:ind w:hanging="2"/>
        <w:jc w:val="both"/>
        <w:rPr>
          <w:rFonts w:eastAsia="SimSun"/>
          <w:b/>
          <w:bCs/>
          <w:color w:val="000000" w:themeColor="text1"/>
          <w:position w:val="-1"/>
          <w:lang w:val="en-US" w:eastAsia="en-US"/>
          <w14:textFill>
            <w14:solidFill>
              <w14:schemeClr w14:val="tx1"/>
            </w14:solidFill>
          </w14:textFill>
        </w:rPr>
      </w:pPr>
      <w:bookmarkStart w:id="1" w:name="OLE_LINK3"/>
      <w:r>
        <w:rPr>
          <w:rFonts w:eastAsia="SimSun"/>
          <w:b/>
          <w:bCs/>
          <w:color w:val="000000" w:themeColor="text1"/>
          <w:position w:val="-1"/>
          <w:lang w:val="en-US" w:eastAsia="en-US"/>
          <w14:textFill>
            <w14:solidFill>
              <w14:schemeClr w14:val="tx1"/>
            </w14:solidFill>
          </w14:textFill>
        </w:rPr>
        <w:t>Method and study area</w:t>
      </w:r>
    </w:p>
    <w:p w14:paraId="5105E861">
      <w:pPr>
        <w:pStyle w:val="58"/>
        <w:spacing w:line="240" w:lineRule="auto"/>
        <w:ind w:hanging="2"/>
        <w:jc w:val="both"/>
      </w:pPr>
    </w:p>
    <w:p w14:paraId="72816DAD">
      <w:pPr>
        <w:pStyle w:val="58"/>
        <w:spacing w:line="240" w:lineRule="auto"/>
        <w:ind w:hanging="2"/>
        <w:jc w:val="both"/>
      </w:pPr>
      <w:r>
        <w:t>This study focuses on Shanxi Province, situated in northern China (Figure 3). Renowned for its deep cultural heritage and historic landmarks, Shanxi holds significant potential for tourism development. The province’s diverse geography ranging from mountains to plains shapes both its tourism patterns and its spatial configuration. In recent years, Shanxi has positioned tourism as a core driver of regional economic growth, supported by a strategic spatial framework designed to optimize the sector’s development (The People's Government of Shanxi Province 2021). This research critically assesses the effectiveness of this framework by examining its contribution to tourism-driven economic growth and identifying spatial mismatches within the province’s tourism system. The study covers a spectrum of urban and rural areas across Shanxi, each with unique tourism resources, infrastructure conditions, and economic profiles.</w:t>
      </w:r>
    </w:p>
    <w:p w14:paraId="6A596AEC">
      <w:pPr>
        <w:pStyle w:val="58"/>
        <w:spacing w:line="240" w:lineRule="auto"/>
        <w:ind w:hanging="2"/>
        <w:jc w:val="both"/>
      </w:pPr>
    </w:p>
    <w:p w14:paraId="0367E14A">
      <w:pPr>
        <w:pStyle w:val="58"/>
        <w:spacing w:line="240" w:lineRule="auto"/>
        <w:ind w:hanging="2"/>
        <w:jc w:val="center"/>
        <w:rPr>
          <w:rFonts w:eastAsiaTheme="minorEastAsia"/>
          <w:lang w:val="en-US" w:eastAsia="zh-CN"/>
        </w:rPr>
      </w:pPr>
      <w:r>
        <w:rPr>
          <w:rFonts w:eastAsiaTheme="minorEastAsia"/>
          <w:lang w:val="en-US" w:eastAsia="zh-CN"/>
        </w:rPr>
        <w:drawing>
          <wp:inline distT="0" distB="0" distL="0" distR="0">
            <wp:extent cx="5124450" cy="4223385"/>
            <wp:effectExtent l="0" t="0" r="0" b="5715"/>
            <wp:docPr id="2045944343" name="图片 4" descr="A map of a country with a red lo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44343" name="图片 4" descr="A map of a country with a red locatio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40420" cy="4236610"/>
                    </a:xfrm>
                    <a:prstGeom prst="rect">
                      <a:avLst/>
                    </a:prstGeom>
                    <a:noFill/>
                    <a:ln>
                      <a:noFill/>
                    </a:ln>
                  </pic:spPr>
                </pic:pic>
              </a:graphicData>
            </a:graphic>
          </wp:inline>
        </w:drawing>
      </w:r>
    </w:p>
    <w:p w14:paraId="433A8988">
      <w:pPr>
        <w:pStyle w:val="58"/>
        <w:spacing w:line="240" w:lineRule="auto"/>
        <w:ind w:hanging="2"/>
        <w:jc w:val="center"/>
        <w:rPr>
          <w:rFonts w:eastAsiaTheme="minorEastAsia"/>
          <w:lang w:val="en-US" w:eastAsia="zh-CN"/>
        </w:rPr>
      </w:pPr>
      <w:bookmarkStart w:id="2" w:name="_Ref177148209"/>
      <w:bookmarkEnd w:id="2"/>
      <w:bookmarkStart w:id="3" w:name="_Toc177148388"/>
      <w:r>
        <w:rPr>
          <w:rFonts w:eastAsiaTheme="minorEastAsia"/>
          <w:b/>
          <w:bCs/>
          <w:lang w:val="en-US" w:eastAsia="zh-CN"/>
        </w:rPr>
        <w:t xml:space="preserve">Figure </w:t>
      </w:r>
      <w:bookmarkEnd w:id="3"/>
      <w:r>
        <w:rPr>
          <w:rFonts w:eastAsiaTheme="minorEastAsia"/>
          <w:b/>
          <w:bCs/>
          <w:lang w:val="en-US" w:eastAsia="zh-CN"/>
        </w:rPr>
        <w:t>3</w:t>
      </w:r>
      <w:r>
        <w:rPr>
          <w:rFonts w:eastAsiaTheme="minorEastAsia"/>
          <w:lang w:val="en-US" w:eastAsia="zh-CN"/>
        </w:rPr>
        <w:t xml:space="preserve"> Regional map of Shanxi </w:t>
      </w:r>
      <w:r>
        <w:rPr>
          <w:rFonts w:eastAsiaTheme="minorEastAsia"/>
          <w:lang w:eastAsia="zh-CN"/>
        </w:rPr>
        <w:t>(Source: Authors)</w:t>
      </w:r>
    </w:p>
    <w:bookmarkEnd w:id="1"/>
    <w:p w14:paraId="37BB0258">
      <w:pPr>
        <w:pStyle w:val="58"/>
        <w:spacing w:line="240" w:lineRule="auto"/>
        <w:ind w:hanging="2"/>
        <w:jc w:val="both"/>
        <w:rPr>
          <w:szCs w:val="28"/>
        </w:rPr>
      </w:pPr>
    </w:p>
    <w:p w14:paraId="1C55BEF1">
      <w:pPr>
        <w:pStyle w:val="58"/>
        <w:spacing w:line="240" w:lineRule="auto"/>
        <w:ind w:firstLine="851"/>
        <w:jc w:val="both"/>
        <w:rPr>
          <w:sz w:val="20"/>
          <w:szCs w:val="20"/>
        </w:rPr>
      </w:pPr>
      <w:r>
        <w:rPr>
          <w:szCs w:val="28"/>
        </w:rPr>
        <w:t>Tourism is an integrated industry combining transport, accommodation, sightseeing, entertainment, and other activities (Huang et al. 2019). As Lu (1989) argued, a rational spatial structure must reflect the balanced relationship between natural conditions, the economy, the environment, productivity, and industrial layout. Guided by this systems perspective, this study constructs a comprehensive index system to evaluate the rationality of Shanxi’s tourism spatial structure. Drawing on the Cobb-Douglas production function, land, labor, and capital are key inputs in production (Munguía et al. 2019); however, given the complexity of tourism land use, land is excluded (Song and Li 2019). Inputs are therefore framed around labor and capital: core tourism functions such as dining, accommodation, transport, sightseeing, shopping, and entertainment define capital elements, while labor inputs are measured by the number of employees in the tertiary sector (Ladkin 2011), with registered population and college students included as proxies for available labor. In line with recent studies (Kunjuraman 2023; Gössling 2021; Chang et al. 2023), economic, environmental, and technological innovation factors are also incorporated to ensure a robust system. Tourism outputs are represented by domestic tourist numbers and tourism revenue (Chaabouni 2019). Due to COVID-19 disruptions and gaps in international visitor data, only domestic indicators are used. A full summary of variables is shown in Table 1.</w:t>
      </w:r>
    </w:p>
    <w:p w14:paraId="208AD648">
      <w:pPr>
        <w:spacing w:line="240" w:lineRule="auto"/>
        <w:ind w:left="0" w:hanging="2"/>
        <w:jc w:val="both"/>
        <w:rPr>
          <w:rFonts w:ascii="Times New Roman" w:hAnsi="Times New Roman" w:cs="Times New Roman" w:eastAsiaTheme="minorEastAsia"/>
          <w:lang w:eastAsia="zh-CN"/>
        </w:rPr>
      </w:pPr>
    </w:p>
    <w:p w14:paraId="094B3A83">
      <w:pPr>
        <w:spacing w:before="100" w:beforeAutospacing="1" w:after="100" w:afterAutospacing="1" w:line="240" w:lineRule="auto"/>
        <w:ind w:left="0" w:hanging="2"/>
        <w:jc w:val="center"/>
        <w:rPr>
          <w:rFonts w:ascii="Times New Roman" w:hAnsi="Times New Roman" w:cs="Times New Roman"/>
          <w:sz w:val="24"/>
          <w:szCs w:val="24"/>
          <w:lang w:eastAsia="ja-JP"/>
        </w:rPr>
      </w:pPr>
      <w:r>
        <w:rPr>
          <w:rFonts w:ascii="Times New Roman" w:hAnsi="Times New Roman" w:cs="Times New Roman"/>
          <w:b/>
          <w:bCs/>
          <w:sz w:val="24"/>
          <w:szCs w:val="24"/>
          <w:lang w:eastAsia="ja-JP"/>
        </w:rPr>
        <w:t xml:space="preserve">Table 1. </w:t>
      </w:r>
      <w:r>
        <w:rPr>
          <w:rFonts w:ascii="Times New Roman" w:hAnsi="Times New Roman" w:cs="Times New Roman"/>
          <w:sz w:val="24"/>
          <w:szCs w:val="24"/>
          <w:lang w:eastAsia="ja-JP"/>
        </w:rPr>
        <w:t>Tourism Spatial Structure Rationality Evaluation Index System</w:t>
      </w:r>
    </w:p>
    <w:tbl>
      <w:tblPr>
        <w:tblStyle w:val="9"/>
        <w:tblW w:w="0" w:type="auto"/>
        <w:tblCellSpacing w:w="15" w:type="dxa"/>
        <w:tblInd w:w="0" w:type="dxa"/>
        <w:tblLayout w:type="autofit"/>
        <w:tblCellMar>
          <w:top w:w="15" w:type="dxa"/>
          <w:left w:w="15" w:type="dxa"/>
          <w:bottom w:w="15" w:type="dxa"/>
          <w:right w:w="15" w:type="dxa"/>
        </w:tblCellMar>
      </w:tblPr>
      <w:tblGrid>
        <w:gridCol w:w="1098"/>
        <w:gridCol w:w="2427"/>
        <w:gridCol w:w="833"/>
        <w:gridCol w:w="3367"/>
        <w:gridCol w:w="864"/>
      </w:tblGrid>
      <w:tr w14:paraId="119238C1">
        <w:tblPrEx>
          <w:tblCellMar>
            <w:top w:w="15" w:type="dxa"/>
            <w:left w:w="15" w:type="dxa"/>
            <w:bottom w:w="15" w:type="dxa"/>
            <w:right w:w="15" w:type="dxa"/>
          </w:tblCellMar>
        </w:tblPrEx>
        <w:trPr>
          <w:tblHeader/>
          <w:tblCellSpacing w:w="15" w:type="dxa"/>
        </w:trPr>
        <w:tc>
          <w:tcPr>
            <w:tcW w:w="0" w:type="auto"/>
            <w:tcBorders>
              <w:top w:val="single" w:color="auto" w:sz="4" w:space="0"/>
              <w:bottom w:val="single" w:color="auto" w:sz="4" w:space="0"/>
            </w:tcBorders>
            <w:shd w:val="clear" w:color="auto" w:fill="B8CCE4" w:themeFill="accent1" w:themeFillTint="66"/>
            <w:vAlign w:val="center"/>
          </w:tcPr>
          <w:p w14:paraId="26106977">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Target Layer</w:t>
            </w:r>
          </w:p>
        </w:tc>
        <w:tc>
          <w:tcPr>
            <w:tcW w:w="0" w:type="auto"/>
            <w:tcBorders>
              <w:top w:val="single" w:color="auto" w:sz="4" w:space="0"/>
              <w:bottom w:val="single" w:color="auto" w:sz="4" w:space="0"/>
            </w:tcBorders>
            <w:shd w:val="clear" w:color="auto" w:fill="B8CCE4" w:themeFill="accent1" w:themeFillTint="66"/>
            <w:vAlign w:val="center"/>
          </w:tcPr>
          <w:p w14:paraId="5EAAC4B5">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Criterion Layer</w:t>
            </w:r>
          </w:p>
        </w:tc>
        <w:tc>
          <w:tcPr>
            <w:tcW w:w="0" w:type="auto"/>
            <w:tcBorders>
              <w:top w:val="single" w:color="auto" w:sz="4" w:space="0"/>
              <w:bottom w:val="single" w:color="auto" w:sz="4" w:space="0"/>
            </w:tcBorders>
            <w:shd w:val="clear" w:color="auto" w:fill="B8CCE4" w:themeFill="accent1" w:themeFillTint="66"/>
            <w:vAlign w:val="center"/>
          </w:tcPr>
          <w:p w14:paraId="584942B9">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Weight</w:t>
            </w:r>
          </w:p>
        </w:tc>
        <w:tc>
          <w:tcPr>
            <w:tcW w:w="0" w:type="auto"/>
            <w:tcBorders>
              <w:top w:val="single" w:color="auto" w:sz="4" w:space="0"/>
              <w:bottom w:val="single" w:color="auto" w:sz="4" w:space="0"/>
            </w:tcBorders>
            <w:shd w:val="clear" w:color="auto" w:fill="B8CCE4" w:themeFill="accent1" w:themeFillTint="66"/>
            <w:vAlign w:val="center"/>
          </w:tcPr>
          <w:p w14:paraId="0D918D6D">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Indicator Layer</w:t>
            </w:r>
          </w:p>
        </w:tc>
        <w:tc>
          <w:tcPr>
            <w:tcW w:w="0" w:type="auto"/>
            <w:tcBorders>
              <w:top w:val="single" w:color="auto" w:sz="4" w:space="0"/>
              <w:bottom w:val="single" w:color="auto" w:sz="4" w:space="0"/>
            </w:tcBorders>
            <w:shd w:val="clear" w:color="auto" w:fill="B8CCE4" w:themeFill="accent1" w:themeFillTint="66"/>
            <w:vAlign w:val="center"/>
          </w:tcPr>
          <w:p w14:paraId="23EB3663">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Weight</w:t>
            </w:r>
          </w:p>
        </w:tc>
      </w:tr>
      <w:tr w14:paraId="1CFE40CD">
        <w:tblPrEx>
          <w:tblCellMar>
            <w:top w:w="15" w:type="dxa"/>
            <w:left w:w="15" w:type="dxa"/>
            <w:bottom w:w="15" w:type="dxa"/>
            <w:right w:w="15" w:type="dxa"/>
          </w:tblCellMar>
        </w:tblPrEx>
        <w:trPr>
          <w:tblCellSpacing w:w="15" w:type="dxa"/>
        </w:trPr>
        <w:tc>
          <w:tcPr>
            <w:tcW w:w="0" w:type="auto"/>
            <w:vAlign w:val="center"/>
          </w:tcPr>
          <w:p w14:paraId="78A074D6">
            <w:pPr>
              <w:spacing w:after="0" w:line="240" w:lineRule="auto"/>
              <w:ind w:left="0" w:hanging="2"/>
              <w:rPr>
                <w:rFonts w:ascii="Times New Roman" w:hAnsi="Times New Roman" w:cs="Times New Roman"/>
                <w:sz w:val="24"/>
                <w:szCs w:val="24"/>
                <w:lang w:eastAsia="ja-JP"/>
              </w:rPr>
            </w:pPr>
            <w:r>
              <w:rPr>
                <w:rFonts w:ascii="Times New Roman" w:hAnsi="Times New Roman" w:cs="Times New Roman"/>
                <w:b/>
                <w:bCs/>
                <w:sz w:val="24"/>
                <w:szCs w:val="24"/>
                <w:lang w:eastAsia="ja-JP"/>
              </w:rPr>
              <w:t>Input</w:t>
            </w:r>
          </w:p>
        </w:tc>
        <w:tc>
          <w:tcPr>
            <w:tcW w:w="0" w:type="auto"/>
            <w:vAlign w:val="center"/>
          </w:tcPr>
          <w:p w14:paraId="3EAF3E56">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B1 Transportation Accessibility</w:t>
            </w:r>
          </w:p>
        </w:tc>
        <w:tc>
          <w:tcPr>
            <w:tcW w:w="0" w:type="auto"/>
            <w:vAlign w:val="center"/>
          </w:tcPr>
          <w:p w14:paraId="63F7482D">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0.1216</w:t>
            </w:r>
          </w:p>
        </w:tc>
        <w:tc>
          <w:tcPr>
            <w:tcW w:w="0" w:type="auto"/>
            <w:vAlign w:val="center"/>
          </w:tcPr>
          <w:p w14:paraId="2098C58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Highway mileage (km)</w:t>
            </w:r>
          </w:p>
        </w:tc>
        <w:tc>
          <w:tcPr>
            <w:tcW w:w="0" w:type="auto"/>
            <w:vAlign w:val="center"/>
          </w:tcPr>
          <w:p w14:paraId="1FDDD9E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0.1699</w:t>
            </w:r>
          </w:p>
        </w:tc>
      </w:tr>
      <w:tr w14:paraId="32B7DE42">
        <w:tblPrEx>
          <w:tblCellMar>
            <w:top w:w="15" w:type="dxa"/>
            <w:left w:w="15" w:type="dxa"/>
            <w:bottom w:w="15" w:type="dxa"/>
            <w:right w:w="15" w:type="dxa"/>
          </w:tblCellMar>
        </w:tblPrEx>
        <w:trPr>
          <w:tblCellSpacing w:w="15" w:type="dxa"/>
        </w:trPr>
        <w:tc>
          <w:tcPr>
            <w:tcW w:w="0" w:type="auto"/>
            <w:vAlign w:val="center"/>
          </w:tcPr>
          <w:p w14:paraId="6108BAEF">
            <w:pPr>
              <w:spacing w:after="0" w:line="240" w:lineRule="auto"/>
              <w:ind w:left="0" w:hanging="2"/>
              <w:rPr>
                <w:rFonts w:ascii="Times New Roman" w:hAnsi="Times New Roman" w:cs="Times New Roman"/>
                <w:sz w:val="24"/>
                <w:szCs w:val="24"/>
                <w:lang w:eastAsia="ja-JP"/>
              </w:rPr>
            </w:pPr>
          </w:p>
        </w:tc>
        <w:tc>
          <w:tcPr>
            <w:tcW w:w="0" w:type="auto"/>
            <w:vAlign w:val="center"/>
          </w:tcPr>
          <w:p w14:paraId="26F84116">
            <w:pPr>
              <w:spacing w:after="0" w:line="240" w:lineRule="auto"/>
              <w:ind w:left="0" w:hanging="2"/>
              <w:rPr>
                <w:rFonts w:ascii="Times New Roman" w:hAnsi="Times New Roman" w:cs="Times New Roman"/>
                <w:sz w:val="24"/>
                <w:szCs w:val="24"/>
                <w:lang w:eastAsia="ja-JP"/>
              </w:rPr>
            </w:pPr>
          </w:p>
        </w:tc>
        <w:tc>
          <w:tcPr>
            <w:tcW w:w="0" w:type="auto"/>
            <w:vAlign w:val="center"/>
          </w:tcPr>
          <w:p w14:paraId="1CE5AFCD">
            <w:pPr>
              <w:spacing w:after="0" w:line="240" w:lineRule="auto"/>
              <w:ind w:left="0" w:hanging="2"/>
              <w:rPr>
                <w:rFonts w:ascii="Times New Roman" w:hAnsi="Times New Roman" w:cs="Times New Roman"/>
                <w:sz w:val="24"/>
                <w:szCs w:val="24"/>
                <w:lang w:eastAsia="ja-JP"/>
              </w:rPr>
            </w:pPr>
          </w:p>
        </w:tc>
        <w:tc>
          <w:tcPr>
            <w:tcW w:w="0" w:type="auto"/>
            <w:vAlign w:val="center"/>
          </w:tcPr>
          <w:p w14:paraId="329617E7">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buses/electric vehicles in operation (units)</w:t>
            </w:r>
          </w:p>
        </w:tc>
        <w:tc>
          <w:tcPr>
            <w:tcW w:w="0" w:type="auto"/>
            <w:vAlign w:val="center"/>
          </w:tcPr>
          <w:p w14:paraId="431FB6E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0.4469</w:t>
            </w:r>
          </w:p>
        </w:tc>
      </w:tr>
      <w:tr w14:paraId="0DCF24EF">
        <w:tblPrEx>
          <w:tblCellMar>
            <w:top w:w="15" w:type="dxa"/>
            <w:left w:w="15" w:type="dxa"/>
            <w:bottom w:w="15" w:type="dxa"/>
            <w:right w:w="15" w:type="dxa"/>
          </w:tblCellMar>
        </w:tblPrEx>
        <w:trPr>
          <w:tblCellSpacing w:w="15" w:type="dxa"/>
        </w:trPr>
        <w:tc>
          <w:tcPr>
            <w:tcW w:w="0" w:type="auto"/>
            <w:vAlign w:val="center"/>
          </w:tcPr>
          <w:p w14:paraId="52D661DE">
            <w:pPr>
              <w:spacing w:after="0" w:line="240" w:lineRule="auto"/>
              <w:ind w:left="0" w:hanging="2"/>
              <w:rPr>
                <w:rFonts w:ascii="Times New Roman" w:hAnsi="Times New Roman" w:cs="Times New Roman"/>
                <w:sz w:val="24"/>
                <w:szCs w:val="24"/>
                <w:lang w:eastAsia="ja-JP"/>
              </w:rPr>
            </w:pPr>
          </w:p>
        </w:tc>
        <w:tc>
          <w:tcPr>
            <w:tcW w:w="0" w:type="auto"/>
            <w:vAlign w:val="center"/>
          </w:tcPr>
          <w:p w14:paraId="05755DF7">
            <w:pPr>
              <w:spacing w:after="0" w:line="240" w:lineRule="auto"/>
              <w:ind w:left="0" w:hanging="2"/>
              <w:rPr>
                <w:rFonts w:ascii="Times New Roman" w:hAnsi="Times New Roman" w:cs="Times New Roman"/>
                <w:sz w:val="24"/>
                <w:szCs w:val="24"/>
                <w:lang w:eastAsia="ja-JP"/>
              </w:rPr>
            </w:pPr>
          </w:p>
        </w:tc>
        <w:tc>
          <w:tcPr>
            <w:tcW w:w="0" w:type="auto"/>
            <w:vAlign w:val="center"/>
          </w:tcPr>
          <w:p w14:paraId="02A277D1">
            <w:pPr>
              <w:spacing w:after="0" w:line="240" w:lineRule="auto"/>
              <w:ind w:left="0" w:hanging="2"/>
              <w:rPr>
                <w:rFonts w:ascii="Times New Roman" w:hAnsi="Times New Roman" w:cs="Times New Roman"/>
                <w:sz w:val="24"/>
                <w:szCs w:val="24"/>
                <w:lang w:eastAsia="ja-JP"/>
              </w:rPr>
            </w:pPr>
          </w:p>
        </w:tc>
        <w:tc>
          <w:tcPr>
            <w:tcW w:w="0" w:type="auto"/>
            <w:vAlign w:val="center"/>
          </w:tcPr>
          <w:p w14:paraId="2DDB5169">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cruise taxis in operation (units)</w:t>
            </w:r>
          </w:p>
        </w:tc>
        <w:tc>
          <w:tcPr>
            <w:tcW w:w="0" w:type="auto"/>
            <w:vAlign w:val="center"/>
          </w:tcPr>
          <w:p w14:paraId="51CF03B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0.3833</w:t>
            </w:r>
          </w:p>
        </w:tc>
      </w:tr>
      <w:tr w14:paraId="545660BA">
        <w:tblPrEx>
          <w:tblCellMar>
            <w:top w:w="15" w:type="dxa"/>
            <w:left w:w="15" w:type="dxa"/>
            <w:bottom w:w="15" w:type="dxa"/>
            <w:right w:w="15" w:type="dxa"/>
          </w:tblCellMar>
        </w:tblPrEx>
        <w:trPr>
          <w:tblCellSpacing w:w="15" w:type="dxa"/>
        </w:trPr>
        <w:tc>
          <w:tcPr>
            <w:tcW w:w="0" w:type="auto"/>
            <w:vAlign w:val="center"/>
          </w:tcPr>
          <w:p w14:paraId="5EC88BEF">
            <w:pPr>
              <w:spacing w:after="0" w:line="240" w:lineRule="auto"/>
              <w:ind w:left="0" w:hanging="2"/>
              <w:rPr>
                <w:rFonts w:ascii="Times New Roman" w:hAnsi="Times New Roman" w:cs="Times New Roman"/>
                <w:sz w:val="24"/>
                <w:szCs w:val="24"/>
                <w:lang w:eastAsia="ja-JP"/>
              </w:rPr>
            </w:pPr>
          </w:p>
        </w:tc>
        <w:tc>
          <w:tcPr>
            <w:tcW w:w="0" w:type="auto"/>
            <w:vAlign w:val="center"/>
          </w:tcPr>
          <w:p w14:paraId="4EAD48F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B2 Economic Development Foundation</w:t>
            </w:r>
          </w:p>
        </w:tc>
        <w:tc>
          <w:tcPr>
            <w:tcW w:w="0" w:type="auto"/>
            <w:vAlign w:val="center"/>
          </w:tcPr>
          <w:p w14:paraId="68D5BA5F">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0.0934</w:t>
            </w:r>
          </w:p>
        </w:tc>
        <w:tc>
          <w:tcPr>
            <w:tcW w:w="0" w:type="auto"/>
            <w:vAlign w:val="center"/>
          </w:tcPr>
          <w:p w14:paraId="6A5BABA5">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Per capita disposable income (yuan)</w:t>
            </w:r>
          </w:p>
        </w:tc>
        <w:tc>
          <w:tcPr>
            <w:tcW w:w="0" w:type="auto"/>
            <w:vAlign w:val="center"/>
          </w:tcPr>
          <w:p w14:paraId="59D4D0AD">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0.2609</w:t>
            </w:r>
          </w:p>
        </w:tc>
      </w:tr>
      <w:tr w14:paraId="44FD1421">
        <w:tblPrEx>
          <w:tblCellMar>
            <w:top w:w="15" w:type="dxa"/>
            <w:left w:w="15" w:type="dxa"/>
            <w:bottom w:w="15" w:type="dxa"/>
            <w:right w:w="15" w:type="dxa"/>
          </w:tblCellMar>
        </w:tblPrEx>
        <w:trPr>
          <w:tblCellSpacing w:w="15" w:type="dxa"/>
        </w:trPr>
        <w:tc>
          <w:tcPr>
            <w:tcW w:w="0" w:type="auto"/>
            <w:vAlign w:val="center"/>
          </w:tcPr>
          <w:p w14:paraId="10C99E48">
            <w:pPr>
              <w:spacing w:after="0" w:line="240" w:lineRule="auto"/>
              <w:ind w:left="0" w:hanging="2"/>
              <w:rPr>
                <w:rFonts w:ascii="Times New Roman" w:hAnsi="Times New Roman" w:cs="Times New Roman"/>
                <w:sz w:val="24"/>
                <w:szCs w:val="24"/>
                <w:lang w:eastAsia="ja-JP"/>
              </w:rPr>
            </w:pPr>
          </w:p>
        </w:tc>
        <w:tc>
          <w:tcPr>
            <w:tcW w:w="0" w:type="auto"/>
            <w:vAlign w:val="center"/>
          </w:tcPr>
          <w:p w14:paraId="21C9FA6A">
            <w:pPr>
              <w:spacing w:after="0" w:line="240" w:lineRule="auto"/>
              <w:ind w:left="0" w:hanging="2"/>
              <w:rPr>
                <w:rFonts w:ascii="Times New Roman" w:hAnsi="Times New Roman" w:cs="Times New Roman"/>
                <w:sz w:val="24"/>
                <w:szCs w:val="24"/>
                <w:lang w:eastAsia="ja-JP"/>
              </w:rPr>
            </w:pPr>
          </w:p>
        </w:tc>
        <w:tc>
          <w:tcPr>
            <w:tcW w:w="0" w:type="auto"/>
            <w:vAlign w:val="center"/>
          </w:tcPr>
          <w:p w14:paraId="5C986835">
            <w:pPr>
              <w:spacing w:after="0" w:line="240" w:lineRule="auto"/>
              <w:ind w:left="0" w:hanging="2"/>
              <w:rPr>
                <w:rFonts w:ascii="Times New Roman" w:hAnsi="Times New Roman" w:cs="Times New Roman"/>
                <w:sz w:val="24"/>
                <w:szCs w:val="24"/>
                <w:lang w:eastAsia="ja-JP"/>
              </w:rPr>
            </w:pPr>
          </w:p>
        </w:tc>
        <w:tc>
          <w:tcPr>
            <w:tcW w:w="0" w:type="auto"/>
            <w:vAlign w:val="center"/>
          </w:tcPr>
          <w:p w14:paraId="5DE29FD4">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Fixed asset investment in the tertiary sector (100 million yuan)</w:t>
            </w:r>
          </w:p>
        </w:tc>
        <w:tc>
          <w:tcPr>
            <w:tcW w:w="0" w:type="auto"/>
            <w:vAlign w:val="center"/>
          </w:tcPr>
          <w:p w14:paraId="5A1A7B67">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0.4393</w:t>
            </w:r>
          </w:p>
        </w:tc>
      </w:tr>
      <w:tr w14:paraId="5EAE2026">
        <w:tblPrEx>
          <w:tblCellMar>
            <w:top w:w="15" w:type="dxa"/>
            <w:left w:w="15" w:type="dxa"/>
            <w:bottom w:w="15" w:type="dxa"/>
            <w:right w:w="15" w:type="dxa"/>
          </w:tblCellMar>
        </w:tblPrEx>
        <w:trPr>
          <w:tblCellSpacing w:w="15" w:type="dxa"/>
        </w:trPr>
        <w:tc>
          <w:tcPr>
            <w:tcW w:w="0" w:type="auto"/>
            <w:vAlign w:val="center"/>
          </w:tcPr>
          <w:p w14:paraId="3BFA1D8A">
            <w:pPr>
              <w:spacing w:after="0" w:line="240" w:lineRule="auto"/>
              <w:ind w:left="0" w:hanging="2"/>
              <w:rPr>
                <w:rFonts w:ascii="Times New Roman" w:hAnsi="Times New Roman" w:cs="Times New Roman"/>
                <w:sz w:val="24"/>
                <w:szCs w:val="24"/>
                <w:lang w:eastAsia="ja-JP"/>
              </w:rPr>
            </w:pPr>
          </w:p>
        </w:tc>
        <w:tc>
          <w:tcPr>
            <w:tcW w:w="0" w:type="auto"/>
            <w:vAlign w:val="center"/>
          </w:tcPr>
          <w:p w14:paraId="054C1206">
            <w:pPr>
              <w:spacing w:after="0" w:line="240" w:lineRule="auto"/>
              <w:ind w:left="0" w:hanging="2"/>
              <w:rPr>
                <w:rFonts w:ascii="Times New Roman" w:hAnsi="Times New Roman" w:cs="Times New Roman"/>
                <w:sz w:val="24"/>
                <w:szCs w:val="24"/>
                <w:lang w:eastAsia="ja-JP"/>
              </w:rPr>
            </w:pPr>
          </w:p>
        </w:tc>
        <w:tc>
          <w:tcPr>
            <w:tcW w:w="0" w:type="auto"/>
            <w:vAlign w:val="center"/>
          </w:tcPr>
          <w:p w14:paraId="525C3051">
            <w:pPr>
              <w:spacing w:after="0" w:line="240" w:lineRule="auto"/>
              <w:ind w:left="0" w:hanging="2"/>
              <w:rPr>
                <w:rFonts w:ascii="Times New Roman" w:hAnsi="Times New Roman" w:cs="Times New Roman"/>
                <w:sz w:val="24"/>
                <w:szCs w:val="24"/>
                <w:lang w:eastAsia="ja-JP"/>
              </w:rPr>
            </w:pPr>
          </w:p>
        </w:tc>
        <w:tc>
          <w:tcPr>
            <w:tcW w:w="0" w:type="auto"/>
            <w:vAlign w:val="center"/>
          </w:tcPr>
          <w:p w14:paraId="35B67FD9">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GDP per capita (yuan)</w:t>
            </w:r>
          </w:p>
        </w:tc>
        <w:tc>
          <w:tcPr>
            <w:tcW w:w="0" w:type="auto"/>
            <w:vAlign w:val="center"/>
          </w:tcPr>
          <w:p w14:paraId="35537B4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0.2998</w:t>
            </w:r>
          </w:p>
        </w:tc>
      </w:tr>
      <w:tr w14:paraId="51264DD5">
        <w:tblPrEx>
          <w:tblCellMar>
            <w:top w:w="15" w:type="dxa"/>
            <w:left w:w="15" w:type="dxa"/>
            <w:bottom w:w="15" w:type="dxa"/>
            <w:right w:w="15" w:type="dxa"/>
          </w:tblCellMar>
        </w:tblPrEx>
        <w:trPr>
          <w:tblCellSpacing w:w="15" w:type="dxa"/>
        </w:trPr>
        <w:tc>
          <w:tcPr>
            <w:tcW w:w="0" w:type="auto"/>
            <w:vAlign w:val="center"/>
          </w:tcPr>
          <w:p w14:paraId="59143037">
            <w:pPr>
              <w:spacing w:after="0" w:line="240" w:lineRule="auto"/>
              <w:ind w:left="0" w:hanging="2"/>
              <w:rPr>
                <w:rFonts w:ascii="Times New Roman" w:hAnsi="Times New Roman" w:cs="Times New Roman"/>
                <w:sz w:val="24"/>
                <w:szCs w:val="24"/>
                <w:lang w:eastAsia="ja-JP"/>
              </w:rPr>
            </w:pPr>
          </w:p>
        </w:tc>
        <w:tc>
          <w:tcPr>
            <w:tcW w:w="0" w:type="auto"/>
            <w:vAlign w:val="center"/>
          </w:tcPr>
          <w:p w14:paraId="768A82B9">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B3 Labour and Talent Protection</w:t>
            </w:r>
          </w:p>
        </w:tc>
        <w:tc>
          <w:tcPr>
            <w:tcW w:w="0" w:type="auto"/>
            <w:vAlign w:val="center"/>
          </w:tcPr>
          <w:p w14:paraId="3AC5DDC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0.1459</w:t>
            </w:r>
          </w:p>
        </w:tc>
        <w:tc>
          <w:tcPr>
            <w:tcW w:w="0" w:type="auto"/>
            <w:vAlign w:val="center"/>
          </w:tcPr>
          <w:p w14:paraId="53D91A57">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employees in the tertiary sector (10,000 persons)</w:t>
            </w:r>
          </w:p>
        </w:tc>
        <w:tc>
          <w:tcPr>
            <w:tcW w:w="0" w:type="auto"/>
            <w:vAlign w:val="center"/>
          </w:tcPr>
          <w:p w14:paraId="4AD464A8">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0.2077</w:t>
            </w:r>
          </w:p>
        </w:tc>
      </w:tr>
      <w:tr w14:paraId="042A5D06">
        <w:tblPrEx>
          <w:tblCellMar>
            <w:top w:w="15" w:type="dxa"/>
            <w:left w:w="15" w:type="dxa"/>
            <w:bottom w:w="15" w:type="dxa"/>
            <w:right w:w="15" w:type="dxa"/>
          </w:tblCellMar>
        </w:tblPrEx>
        <w:trPr>
          <w:tblCellSpacing w:w="15" w:type="dxa"/>
        </w:trPr>
        <w:tc>
          <w:tcPr>
            <w:tcW w:w="0" w:type="auto"/>
            <w:vAlign w:val="center"/>
          </w:tcPr>
          <w:p w14:paraId="4584C530">
            <w:pPr>
              <w:spacing w:after="0" w:line="240" w:lineRule="auto"/>
              <w:ind w:left="0" w:hanging="2"/>
              <w:rPr>
                <w:rFonts w:ascii="Times New Roman" w:hAnsi="Times New Roman" w:cs="Times New Roman"/>
                <w:sz w:val="24"/>
                <w:szCs w:val="24"/>
                <w:lang w:eastAsia="ja-JP"/>
              </w:rPr>
            </w:pPr>
          </w:p>
        </w:tc>
        <w:tc>
          <w:tcPr>
            <w:tcW w:w="0" w:type="auto"/>
            <w:vAlign w:val="center"/>
          </w:tcPr>
          <w:p w14:paraId="118D8FFE">
            <w:pPr>
              <w:spacing w:after="0" w:line="240" w:lineRule="auto"/>
              <w:ind w:left="0" w:hanging="2"/>
              <w:rPr>
                <w:rFonts w:ascii="Times New Roman" w:hAnsi="Times New Roman" w:cs="Times New Roman"/>
                <w:sz w:val="24"/>
                <w:szCs w:val="24"/>
                <w:lang w:eastAsia="ja-JP"/>
              </w:rPr>
            </w:pPr>
          </w:p>
        </w:tc>
        <w:tc>
          <w:tcPr>
            <w:tcW w:w="0" w:type="auto"/>
            <w:vAlign w:val="center"/>
          </w:tcPr>
          <w:p w14:paraId="7ED9B6AC">
            <w:pPr>
              <w:spacing w:after="0" w:line="240" w:lineRule="auto"/>
              <w:ind w:left="0" w:hanging="2"/>
              <w:rPr>
                <w:rFonts w:ascii="Times New Roman" w:hAnsi="Times New Roman" w:cs="Times New Roman"/>
                <w:sz w:val="24"/>
                <w:szCs w:val="24"/>
                <w:lang w:eastAsia="ja-JP"/>
              </w:rPr>
            </w:pPr>
          </w:p>
        </w:tc>
        <w:tc>
          <w:tcPr>
            <w:tcW w:w="0" w:type="auto"/>
            <w:vAlign w:val="center"/>
          </w:tcPr>
          <w:p w14:paraId="0141D58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Registered population (persons)</w:t>
            </w:r>
          </w:p>
        </w:tc>
        <w:tc>
          <w:tcPr>
            <w:tcW w:w="0" w:type="auto"/>
            <w:vAlign w:val="center"/>
          </w:tcPr>
          <w:p w14:paraId="55AA5FCF">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0.1516</w:t>
            </w:r>
          </w:p>
        </w:tc>
      </w:tr>
      <w:tr w14:paraId="79806D8E">
        <w:tblPrEx>
          <w:tblCellMar>
            <w:top w:w="15" w:type="dxa"/>
            <w:left w:w="15" w:type="dxa"/>
            <w:bottom w:w="15" w:type="dxa"/>
            <w:right w:w="15" w:type="dxa"/>
          </w:tblCellMar>
        </w:tblPrEx>
        <w:trPr>
          <w:tblCellSpacing w:w="15" w:type="dxa"/>
        </w:trPr>
        <w:tc>
          <w:tcPr>
            <w:tcW w:w="0" w:type="auto"/>
            <w:vAlign w:val="center"/>
          </w:tcPr>
          <w:p w14:paraId="683F5F6E">
            <w:pPr>
              <w:spacing w:after="0" w:line="240" w:lineRule="auto"/>
              <w:ind w:left="0" w:hanging="2"/>
              <w:rPr>
                <w:rFonts w:ascii="Times New Roman" w:hAnsi="Times New Roman" w:cs="Times New Roman"/>
                <w:sz w:val="24"/>
                <w:szCs w:val="24"/>
                <w:lang w:eastAsia="ja-JP"/>
              </w:rPr>
            </w:pPr>
          </w:p>
        </w:tc>
        <w:tc>
          <w:tcPr>
            <w:tcW w:w="0" w:type="auto"/>
            <w:vAlign w:val="center"/>
          </w:tcPr>
          <w:p w14:paraId="623CFE43">
            <w:pPr>
              <w:spacing w:after="0" w:line="240" w:lineRule="auto"/>
              <w:ind w:left="0" w:hanging="2"/>
              <w:rPr>
                <w:rFonts w:ascii="Times New Roman" w:hAnsi="Times New Roman" w:cs="Times New Roman"/>
                <w:sz w:val="24"/>
                <w:szCs w:val="24"/>
                <w:lang w:eastAsia="ja-JP"/>
              </w:rPr>
            </w:pPr>
          </w:p>
        </w:tc>
        <w:tc>
          <w:tcPr>
            <w:tcW w:w="0" w:type="auto"/>
            <w:vAlign w:val="center"/>
          </w:tcPr>
          <w:p w14:paraId="58F3417B">
            <w:pPr>
              <w:spacing w:after="0" w:line="240" w:lineRule="auto"/>
              <w:ind w:left="0" w:hanging="2"/>
              <w:rPr>
                <w:rFonts w:ascii="Times New Roman" w:hAnsi="Times New Roman" w:cs="Times New Roman"/>
                <w:sz w:val="24"/>
                <w:szCs w:val="24"/>
                <w:lang w:eastAsia="ja-JP"/>
              </w:rPr>
            </w:pPr>
          </w:p>
        </w:tc>
        <w:tc>
          <w:tcPr>
            <w:tcW w:w="0" w:type="auto"/>
            <w:vAlign w:val="center"/>
          </w:tcPr>
          <w:p w14:paraId="0723F02B">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enrolled college students (persons)</w:t>
            </w:r>
          </w:p>
        </w:tc>
        <w:tc>
          <w:tcPr>
            <w:tcW w:w="0" w:type="auto"/>
            <w:vAlign w:val="center"/>
          </w:tcPr>
          <w:p w14:paraId="08C144F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0.6407</w:t>
            </w:r>
          </w:p>
        </w:tc>
      </w:tr>
      <w:tr w14:paraId="4BA653BA">
        <w:tblPrEx>
          <w:tblCellMar>
            <w:top w:w="15" w:type="dxa"/>
            <w:left w:w="15" w:type="dxa"/>
            <w:bottom w:w="15" w:type="dxa"/>
            <w:right w:w="15" w:type="dxa"/>
          </w:tblCellMar>
        </w:tblPrEx>
        <w:trPr>
          <w:tblCellSpacing w:w="15" w:type="dxa"/>
        </w:trPr>
        <w:tc>
          <w:tcPr>
            <w:tcW w:w="0" w:type="auto"/>
            <w:vAlign w:val="center"/>
          </w:tcPr>
          <w:p w14:paraId="4EF7E402">
            <w:pPr>
              <w:spacing w:after="0" w:line="240" w:lineRule="auto"/>
              <w:ind w:left="0" w:hanging="2"/>
              <w:rPr>
                <w:rFonts w:ascii="Times New Roman" w:hAnsi="Times New Roman" w:cs="Times New Roman"/>
                <w:sz w:val="24"/>
                <w:szCs w:val="24"/>
                <w:lang w:eastAsia="ja-JP"/>
              </w:rPr>
            </w:pPr>
          </w:p>
        </w:tc>
        <w:tc>
          <w:tcPr>
            <w:tcW w:w="0" w:type="auto"/>
            <w:vAlign w:val="center"/>
          </w:tcPr>
          <w:p w14:paraId="16F311A5">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B4 Ecological Environment Protection</w:t>
            </w:r>
          </w:p>
        </w:tc>
        <w:tc>
          <w:tcPr>
            <w:tcW w:w="0" w:type="auto"/>
            <w:vAlign w:val="center"/>
          </w:tcPr>
          <w:p w14:paraId="05F8B685">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0.1093</w:t>
            </w:r>
          </w:p>
        </w:tc>
        <w:tc>
          <w:tcPr>
            <w:tcW w:w="0" w:type="auto"/>
            <w:vAlign w:val="center"/>
          </w:tcPr>
          <w:p w14:paraId="317EBC0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Green coverage rate in built-up areas (%)</w:t>
            </w:r>
          </w:p>
        </w:tc>
        <w:tc>
          <w:tcPr>
            <w:tcW w:w="0" w:type="auto"/>
            <w:vAlign w:val="center"/>
          </w:tcPr>
          <w:p w14:paraId="6600E6E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0.1703</w:t>
            </w:r>
          </w:p>
        </w:tc>
      </w:tr>
      <w:tr w14:paraId="0102C934">
        <w:tblPrEx>
          <w:tblCellMar>
            <w:top w:w="15" w:type="dxa"/>
            <w:left w:w="15" w:type="dxa"/>
            <w:bottom w:w="15" w:type="dxa"/>
            <w:right w:w="15" w:type="dxa"/>
          </w:tblCellMar>
        </w:tblPrEx>
        <w:trPr>
          <w:tblCellSpacing w:w="15" w:type="dxa"/>
        </w:trPr>
        <w:tc>
          <w:tcPr>
            <w:tcW w:w="0" w:type="auto"/>
            <w:vAlign w:val="center"/>
          </w:tcPr>
          <w:p w14:paraId="46E6E86D">
            <w:pPr>
              <w:spacing w:after="0" w:line="240" w:lineRule="auto"/>
              <w:ind w:left="0" w:hanging="2"/>
              <w:rPr>
                <w:rFonts w:ascii="Times New Roman" w:hAnsi="Times New Roman" w:cs="Times New Roman"/>
                <w:sz w:val="24"/>
                <w:szCs w:val="24"/>
                <w:lang w:eastAsia="ja-JP"/>
              </w:rPr>
            </w:pPr>
          </w:p>
        </w:tc>
        <w:tc>
          <w:tcPr>
            <w:tcW w:w="0" w:type="auto"/>
            <w:vAlign w:val="center"/>
          </w:tcPr>
          <w:p w14:paraId="236F7FFB">
            <w:pPr>
              <w:spacing w:after="0" w:line="240" w:lineRule="auto"/>
              <w:ind w:left="0" w:hanging="2"/>
              <w:rPr>
                <w:rFonts w:ascii="Times New Roman" w:hAnsi="Times New Roman" w:cs="Times New Roman"/>
                <w:sz w:val="24"/>
                <w:szCs w:val="24"/>
                <w:lang w:eastAsia="ja-JP"/>
              </w:rPr>
            </w:pPr>
          </w:p>
        </w:tc>
        <w:tc>
          <w:tcPr>
            <w:tcW w:w="0" w:type="auto"/>
            <w:vAlign w:val="center"/>
          </w:tcPr>
          <w:p w14:paraId="078D869F">
            <w:pPr>
              <w:spacing w:after="0" w:line="240" w:lineRule="auto"/>
              <w:ind w:left="0" w:hanging="2"/>
              <w:rPr>
                <w:rFonts w:ascii="Times New Roman" w:hAnsi="Times New Roman" w:cs="Times New Roman"/>
                <w:sz w:val="24"/>
                <w:szCs w:val="24"/>
                <w:lang w:eastAsia="ja-JP"/>
              </w:rPr>
            </w:pPr>
          </w:p>
        </w:tc>
        <w:tc>
          <w:tcPr>
            <w:tcW w:w="0" w:type="auto"/>
            <w:vAlign w:val="center"/>
          </w:tcPr>
          <w:p w14:paraId="5B722B58">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days with standard air quality (days)</w:t>
            </w:r>
          </w:p>
        </w:tc>
        <w:tc>
          <w:tcPr>
            <w:tcW w:w="0" w:type="auto"/>
            <w:vAlign w:val="center"/>
          </w:tcPr>
          <w:p w14:paraId="45F5C7E7">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0.1309</w:t>
            </w:r>
          </w:p>
        </w:tc>
      </w:tr>
      <w:tr w14:paraId="1BB42980">
        <w:tblPrEx>
          <w:tblCellMar>
            <w:top w:w="15" w:type="dxa"/>
            <w:left w:w="15" w:type="dxa"/>
            <w:bottom w:w="15" w:type="dxa"/>
            <w:right w:w="15" w:type="dxa"/>
          </w:tblCellMar>
        </w:tblPrEx>
        <w:trPr>
          <w:tblCellSpacing w:w="15" w:type="dxa"/>
        </w:trPr>
        <w:tc>
          <w:tcPr>
            <w:tcW w:w="0" w:type="auto"/>
            <w:vAlign w:val="center"/>
          </w:tcPr>
          <w:p w14:paraId="62ED9306">
            <w:pPr>
              <w:spacing w:after="0" w:line="240" w:lineRule="auto"/>
              <w:ind w:left="0" w:hanging="2"/>
              <w:rPr>
                <w:rFonts w:ascii="Times New Roman" w:hAnsi="Times New Roman" w:cs="Times New Roman"/>
                <w:sz w:val="24"/>
                <w:szCs w:val="24"/>
                <w:lang w:eastAsia="ja-JP"/>
              </w:rPr>
            </w:pPr>
          </w:p>
        </w:tc>
        <w:tc>
          <w:tcPr>
            <w:tcW w:w="0" w:type="auto"/>
            <w:vAlign w:val="center"/>
          </w:tcPr>
          <w:p w14:paraId="4F2E43CB">
            <w:pPr>
              <w:spacing w:after="0" w:line="240" w:lineRule="auto"/>
              <w:ind w:left="0" w:hanging="2"/>
              <w:rPr>
                <w:rFonts w:ascii="Times New Roman" w:hAnsi="Times New Roman" w:cs="Times New Roman"/>
                <w:sz w:val="24"/>
                <w:szCs w:val="24"/>
                <w:lang w:eastAsia="ja-JP"/>
              </w:rPr>
            </w:pPr>
          </w:p>
        </w:tc>
        <w:tc>
          <w:tcPr>
            <w:tcW w:w="0" w:type="auto"/>
            <w:vAlign w:val="center"/>
          </w:tcPr>
          <w:p w14:paraId="3CEB964B">
            <w:pPr>
              <w:spacing w:after="0" w:line="240" w:lineRule="auto"/>
              <w:ind w:left="0" w:hanging="2"/>
              <w:rPr>
                <w:rFonts w:ascii="Times New Roman" w:hAnsi="Times New Roman" w:cs="Times New Roman"/>
                <w:sz w:val="24"/>
                <w:szCs w:val="24"/>
                <w:lang w:eastAsia="ja-JP"/>
              </w:rPr>
            </w:pPr>
          </w:p>
        </w:tc>
        <w:tc>
          <w:tcPr>
            <w:tcW w:w="0" w:type="auto"/>
            <w:vAlign w:val="center"/>
          </w:tcPr>
          <w:p w14:paraId="34F18307">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Total green space area (hectares)</w:t>
            </w:r>
          </w:p>
        </w:tc>
        <w:tc>
          <w:tcPr>
            <w:tcW w:w="0" w:type="auto"/>
            <w:vAlign w:val="center"/>
          </w:tcPr>
          <w:p w14:paraId="303C7DD5">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0.5518</w:t>
            </w:r>
          </w:p>
        </w:tc>
      </w:tr>
      <w:tr w14:paraId="1EF5C1FC">
        <w:tblPrEx>
          <w:tblCellMar>
            <w:top w:w="15" w:type="dxa"/>
            <w:left w:w="15" w:type="dxa"/>
            <w:bottom w:w="15" w:type="dxa"/>
            <w:right w:w="15" w:type="dxa"/>
          </w:tblCellMar>
        </w:tblPrEx>
        <w:trPr>
          <w:tblCellSpacing w:w="15" w:type="dxa"/>
        </w:trPr>
        <w:tc>
          <w:tcPr>
            <w:tcW w:w="0" w:type="auto"/>
            <w:vAlign w:val="center"/>
          </w:tcPr>
          <w:p w14:paraId="69A8D429">
            <w:pPr>
              <w:spacing w:after="0" w:line="240" w:lineRule="auto"/>
              <w:ind w:left="0" w:hanging="2"/>
              <w:rPr>
                <w:rFonts w:ascii="Times New Roman" w:hAnsi="Times New Roman" w:cs="Times New Roman"/>
                <w:sz w:val="24"/>
                <w:szCs w:val="24"/>
                <w:lang w:eastAsia="ja-JP"/>
              </w:rPr>
            </w:pPr>
          </w:p>
        </w:tc>
        <w:tc>
          <w:tcPr>
            <w:tcW w:w="0" w:type="auto"/>
            <w:vAlign w:val="center"/>
          </w:tcPr>
          <w:p w14:paraId="0CE01FBC">
            <w:pPr>
              <w:spacing w:after="0" w:line="240" w:lineRule="auto"/>
              <w:ind w:left="0" w:hanging="2"/>
              <w:rPr>
                <w:rFonts w:ascii="Times New Roman" w:hAnsi="Times New Roman" w:cs="Times New Roman"/>
                <w:sz w:val="24"/>
                <w:szCs w:val="24"/>
                <w:lang w:eastAsia="ja-JP"/>
              </w:rPr>
            </w:pPr>
          </w:p>
        </w:tc>
        <w:tc>
          <w:tcPr>
            <w:tcW w:w="0" w:type="auto"/>
            <w:vAlign w:val="center"/>
          </w:tcPr>
          <w:p w14:paraId="0D2E25EC">
            <w:pPr>
              <w:spacing w:after="0" w:line="240" w:lineRule="auto"/>
              <w:ind w:left="0" w:hanging="2"/>
              <w:rPr>
                <w:rFonts w:ascii="Times New Roman" w:hAnsi="Times New Roman" w:cs="Times New Roman"/>
                <w:sz w:val="24"/>
                <w:szCs w:val="24"/>
                <w:lang w:eastAsia="ja-JP"/>
              </w:rPr>
            </w:pPr>
          </w:p>
        </w:tc>
        <w:tc>
          <w:tcPr>
            <w:tcW w:w="0" w:type="auto"/>
            <w:vAlign w:val="center"/>
          </w:tcPr>
          <w:p w14:paraId="3E71922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Comprehensive ambient air quality index</w:t>
            </w:r>
          </w:p>
        </w:tc>
        <w:tc>
          <w:tcPr>
            <w:tcW w:w="0" w:type="auto"/>
            <w:vAlign w:val="center"/>
          </w:tcPr>
          <w:p w14:paraId="260167BF">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0.1471</w:t>
            </w:r>
          </w:p>
        </w:tc>
      </w:tr>
      <w:tr w14:paraId="0D622B11">
        <w:tblPrEx>
          <w:tblCellMar>
            <w:top w:w="15" w:type="dxa"/>
            <w:left w:w="15" w:type="dxa"/>
            <w:bottom w:w="15" w:type="dxa"/>
            <w:right w:w="15" w:type="dxa"/>
          </w:tblCellMar>
        </w:tblPrEx>
        <w:trPr>
          <w:tblCellSpacing w:w="15" w:type="dxa"/>
        </w:trPr>
        <w:tc>
          <w:tcPr>
            <w:tcW w:w="0" w:type="auto"/>
            <w:vAlign w:val="center"/>
          </w:tcPr>
          <w:p w14:paraId="551FB1D8">
            <w:pPr>
              <w:spacing w:after="0" w:line="240" w:lineRule="auto"/>
              <w:ind w:left="0" w:hanging="2"/>
              <w:rPr>
                <w:rFonts w:ascii="Times New Roman" w:hAnsi="Times New Roman" w:cs="Times New Roman"/>
                <w:sz w:val="24"/>
                <w:szCs w:val="24"/>
                <w:lang w:eastAsia="ja-JP"/>
              </w:rPr>
            </w:pPr>
          </w:p>
        </w:tc>
        <w:tc>
          <w:tcPr>
            <w:tcW w:w="0" w:type="auto"/>
            <w:vAlign w:val="center"/>
          </w:tcPr>
          <w:p w14:paraId="3BF6886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B5 Technological Support and Capacity</w:t>
            </w:r>
          </w:p>
        </w:tc>
        <w:tc>
          <w:tcPr>
            <w:tcW w:w="0" w:type="auto"/>
            <w:vAlign w:val="center"/>
          </w:tcPr>
          <w:p w14:paraId="7BDAD41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0.3535</w:t>
            </w:r>
          </w:p>
        </w:tc>
        <w:tc>
          <w:tcPr>
            <w:tcW w:w="0" w:type="auto"/>
            <w:vAlign w:val="center"/>
          </w:tcPr>
          <w:p w14:paraId="1506806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patent authorizations (items)</w:t>
            </w:r>
          </w:p>
        </w:tc>
        <w:tc>
          <w:tcPr>
            <w:tcW w:w="0" w:type="auto"/>
            <w:vAlign w:val="center"/>
          </w:tcPr>
          <w:p w14:paraId="3579669B">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0.2530</w:t>
            </w:r>
          </w:p>
        </w:tc>
      </w:tr>
      <w:tr w14:paraId="728A9056">
        <w:tblPrEx>
          <w:tblCellMar>
            <w:top w:w="15" w:type="dxa"/>
            <w:left w:w="15" w:type="dxa"/>
            <w:bottom w:w="15" w:type="dxa"/>
            <w:right w:w="15" w:type="dxa"/>
          </w:tblCellMar>
        </w:tblPrEx>
        <w:trPr>
          <w:tblCellSpacing w:w="15" w:type="dxa"/>
        </w:trPr>
        <w:tc>
          <w:tcPr>
            <w:tcW w:w="0" w:type="auto"/>
            <w:vAlign w:val="center"/>
          </w:tcPr>
          <w:p w14:paraId="0A1AEE17">
            <w:pPr>
              <w:spacing w:after="0" w:line="240" w:lineRule="auto"/>
              <w:ind w:left="0" w:hanging="2"/>
              <w:rPr>
                <w:rFonts w:ascii="Times New Roman" w:hAnsi="Times New Roman" w:cs="Times New Roman"/>
                <w:sz w:val="24"/>
                <w:szCs w:val="24"/>
                <w:lang w:eastAsia="ja-JP"/>
              </w:rPr>
            </w:pPr>
          </w:p>
        </w:tc>
        <w:tc>
          <w:tcPr>
            <w:tcW w:w="0" w:type="auto"/>
            <w:vAlign w:val="center"/>
          </w:tcPr>
          <w:p w14:paraId="462CA3B3">
            <w:pPr>
              <w:spacing w:after="0" w:line="240" w:lineRule="auto"/>
              <w:ind w:left="0" w:hanging="2"/>
              <w:rPr>
                <w:rFonts w:ascii="Times New Roman" w:hAnsi="Times New Roman" w:cs="Times New Roman"/>
                <w:sz w:val="24"/>
                <w:szCs w:val="24"/>
                <w:lang w:eastAsia="ja-JP"/>
              </w:rPr>
            </w:pPr>
          </w:p>
        </w:tc>
        <w:tc>
          <w:tcPr>
            <w:tcW w:w="0" w:type="auto"/>
            <w:vAlign w:val="center"/>
          </w:tcPr>
          <w:p w14:paraId="3990DE79">
            <w:pPr>
              <w:spacing w:after="0" w:line="240" w:lineRule="auto"/>
              <w:ind w:left="0" w:hanging="2"/>
              <w:rPr>
                <w:rFonts w:ascii="Times New Roman" w:hAnsi="Times New Roman" w:cs="Times New Roman"/>
                <w:sz w:val="24"/>
                <w:szCs w:val="24"/>
                <w:lang w:eastAsia="ja-JP"/>
              </w:rPr>
            </w:pPr>
          </w:p>
        </w:tc>
        <w:tc>
          <w:tcPr>
            <w:tcW w:w="0" w:type="auto"/>
            <w:vAlign w:val="center"/>
          </w:tcPr>
          <w:p w14:paraId="05B396A3">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scientific research and technical service units (units)</w:t>
            </w:r>
          </w:p>
        </w:tc>
        <w:tc>
          <w:tcPr>
            <w:tcW w:w="0" w:type="auto"/>
            <w:vAlign w:val="center"/>
          </w:tcPr>
          <w:p w14:paraId="55A6940D">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0.2372</w:t>
            </w:r>
          </w:p>
        </w:tc>
      </w:tr>
      <w:tr w14:paraId="3D8F90FF">
        <w:tblPrEx>
          <w:tblCellMar>
            <w:top w:w="15" w:type="dxa"/>
            <w:left w:w="15" w:type="dxa"/>
            <w:bottom w:w="15" w:type="dxa"/>
            <w:right w:w="15" w:type="dxa"/>
          </w:tblCellMar>
        </w:tblPrEx>
        <w:trPr>
          <w:tblCellSpacing w:w="15" w:type="dxa"/>
        </w:trPr>
        <w:tc>
          <w:tcPr>
            <w:tcW w:w="0" w:type="auto"/>
            <w:vAlign w:val="center"/>
          </w:tcPr>
          <w:p w14:paraId="48D0165F">
            <w:pPr>
              <w:spacing w:after="0" w:line="240" w:lineRule="auto"/>
              <w:ind w:left="0" w:hanging="2"/>
              <w:rPr>
                <w:rFonts w:ascii="Times New Roman" w:hAnsi="Times New Roman" w:cs="Times New Roman"/>
                <w:sz w:val="24"/>
                <w:szCs w:val="24"/>
                <w:lang w:eastAsia="ja-JP"/>
              </w:rPr>
            </w:pPr>
          </w:p>
        </w:tc>
        <w:tc>
          <w:tcPr>
            <w:tcW w:w="0" w:type="auto"/>
            <w:vAlign w:val="center"/>
          </w:tcPr>
          <w:p w14:paraId="71F72056">
            <w:pPr>
              <w:spacing w:after="0" w:line="240" w:lineRule="auto"/>
              <w:ind w:left="0" w:hanging="2"/>
              <w:rPr>
                <w:rFonts w:ascii="Times New Roman" w:hAnsi="Times New Roman" w:cs="Times New Roman"/>
                <w:sz w:val="24"/>
                <w:szCs w:val="24"/>
                <w:lang w:eastAsia="ja-JP"/>
              </w:rPr>
            </w:pPr>
          </w:p>
        </w:tc>
        <w:tc>
          <w:tcPr>
            <w:tcW w:w="0" w:type="auto"/>
            <w:vAlign w:val="center"/>
          </w:tcPr>
          <w:p w14:paraId="30A07DAD">
            <w:pPr>
              <w:spacing w:after="0" w:line="240" w:lineRule="auto"/>
              <w:ind w:left="0" w:hanging="2"/>
              <w:rPr>
                <w:rFonts w:ascii="Times New Roman" w:hAnsi="Times New Roman" w:cs="Times New Roman"/>
                <w:sz w:val="24"/>
                <w:szCs w:val="24"/>
                <w:lang w:eastAsia="ja-JP"/>
              </w:rPr>
            </w:pPr>
          </w:p>
        </w:tc>
        <w:tc>
          <w:tcPr>
            <w:tcW w:w="0" w:type="auto"/>
            <w:vAlign w:val="center"/>
          </w:tcPr>
          <w:p w14:paraId="1802283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colleges and universities</w:t>
            </w:r>
          </w:p>
        </w:tc>
        <w:tc>
          <w:tcPr>
            <w:tcW w:w="0" w:type="auto"/>
            <w:vAlign w:val="center"/>
          </w:tcPr>
          <w:p w14:paraId="25CCD18B">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0.2427</w:t>
            </w:r>
          </w:p>
        </w:tc>
      </w:tr>
      <w:tr w14:paraId="3F8D7E54">
        <w:tblPrEx>
          <w:tblCellMar>
            <w:top w:w="15" w:type="dxa"/>
            <w:left w:w="15" w:type="dxa"/>
            <w:bottom w:w="15" w:type="dxa"/>
            <w:right w:w="15" w:type="dxa"/>
          </w:tblCellMar>
        </w:tblPrEx>
        <w:trPr>
          <w:tblCellSpacing w:w="15" w:type="dxa"/>
        </w:trPr>
        <w:tc>
          <w:tcPr>
            <w:tcW w:w="0" w:type="auto"/>
            <w:vAlign w:val="center"/>
          </w:tcPr>
          <w:p w14:paraId="47BA55C3">
            <w:pPr>
              <w:spacing w:after="0" w:line="240" w:lineRule="auto"/>
              <w:ind w:left="0" w:hanging="2"/>
              <w:rPr>
                <w:rFonts w:ascii="Times New Roman" w:hAnsi="Times New Roman" w:cs="Times New Roman"/>
                <w:sz w:val="24"/>
                <w:szCs w:val="24"/>
                <w:lang w:eastAsia="ja-JP"/>
              </w:rPr>
            </w:pPr>
          </w:p>
        </w:tc>
        <w:tc>
          <w:tcPr>
            <w:tcW w:w="0" w:type="auto"/>
            <w:vAlign w:val="center"/>
          </w:tcPr>
          <w:p w14:paraId="5278EC7C">
            <w:pPr>
              <w:spacing w:after="0" w:line="240" w:lineRule="auto"/>
              <w:ind w:left="0" w:hanging="2"/>
              <w:rPr>
                <w:rFonts w:ascii="Times New Roman" w:hAnsi="Times New Roman" w:cs="Times New Roman"/>
                <w:sz w:val="24"/>
                <w:szCs w:val="24"/>
                <w:lang w:eastAsia="ja-JP"/>
              </w:rPr>
            </w:pPr>
          </w:p>
        </w:tc>
        <w:tc>
          <w:tcPr>
            <w:tcW w:w="0" w:type="auto"/>
            <w:vAlign w:val="center"/>
          </w:tcPr>
          <w:p w14:paraId="0415384D">
            <w:pPr>
              <w:spacing w:after="0" w:line="240" w:lineRule="auto"/>
              <w:ind w:left="0" w:hanging="2"/>
              <w:rPr>
                <w:rFonts w:ascii="Times New Roman" w:hAnsi="Times New Roman" w:cs="Times New Roman"/>
                <w:sz w:val="24"/>
                <w:szCs w:val="24"/>
                <w:lang w:eastAsia="ja-JP"/>
              </w:rPr>
            </w:pPr>
          </w:p>
        </w:tc>
        <w:tc>
          <w:tcPr>
            <w:tcW w:w="0" w:type="auto"/>
            <w:vAlign w:val="center"/>
          </w:tcPr>
          <w:p w14:paraId="3D1DA0FD">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full-time college faculty (persons)</w:t>
            </w:r>
          </w:p>
        </w:tc>
        <w:tc>
          <w:tcPr>
            <w:tcW w:w="0" w:type="auto"/>
            <w:vAlign w:val="center"/>
          </w:tcPr>
          <w:p w14:paraId="34B5DA89">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0.2671</w:t>
            </w:r>
          </w:p>
        </w:tc>
      </w:tr>
      <w:tr w14:paraId="5D9C14FD">
        <w:tblPrEx>
          <w:tblCellMar>
            <w:top w:w="15" w:type="dxa"/>
            <w:left w:w="15" w:type="dxa"/>
            <w:bottom w:w="15" w:type="dxa"/>
            <w:right w:w="15" w:type="dxa"/>
          </w:tblCellMar>
        </w:tblPrEx>
        <w:trPr>
          <w:tblCellSpacing w:w="15" w:type="dxa"/>
        </w:trPr>
        <w:tc>
          <w:tcPr>
            <w:tcW w:w="0" w:type="auto"/>
            <w:vAlign w:val="center"/>
          </w:tcPr>
          <w:p w14:paraId="32343E13">
            <w:pPr>
              <w:spacing w:after="0" w:line="240" w:lineRule="auto"/>
              <w:ind w:left="0" w:hanging="2"/>
              <w:rPr>
                <w:rFonts w:ascii="Times New Roman" w:hAnsi="Times New Roman" w:cs="Times New Roman"/>
                <w:sz w:val="24"/>
                <w:szCs w:val="24"/>
                <w:lang w:eastAsia="ja-JP"/>
              </w:rPr>
            </w:pPr>
          </w:p>
        </w:tc>
        <w:tc>
          <w:tcPr>
            <w:tcW w:w="0" w:type="auto"/>
            <w:tcBorders>
              <w:bottom w:val="single" w:color="auto" w:sz="4" w:space="0"/>
            </w:tcBorders>
            <w:vAlign w:val="center"/>
          </w:tcPr>
          <w:p w14:paraId="193E256A">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B6 Tourism Industry Institutions</w:t>
            </w:r>
          </w:p>
        </w:tc>
        <w:tc>
          <w:tcPr>
            <w:tcW w:w="0" w:type="auto"/>
            <w:tcBorders>
              <w:bottom w:val="single" w:color="auto" w:sz="4" w:space="0"/>
            </w:tcBorders>
            <w:vAlign w:val="center"/>
          </w:tcPr>
          <w:p w14:paraId="002E041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0.1764</w:t>
            </w:r>
          </w:p>
        </w:tc>
        <w:tc>
          <w:tcPr>
            <w:tcW w:w="0" w:type="auto"/>
            <w:tcBorders>
              <w:bottom w:val="single" w:color="auto" w:sz="4" w:space="0"/>
            </w:tcBorders>
            <w:vAlign w:val="center"/>
          </w:tcPr>
          <w:p w14:paraId="005EA844">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A-level tourist attractions</w:t>
            </w:r>
          </w:p>
        </w:tc>
        <w:tc>
          <w:tcPr>
            <w:tcW w:w="0" w:type="auto"/>
            <w:tcBorders>
              <w:bottom w:val="single" w:color="auto" w:sz="4" w:space="0"/>
            </w:tcBorders>
            <w:vAlign w:val="center"/>
          </w:tcPr>
          <w:p w14:paraId="4A69F300">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0.0913</w:t>
            </w:r>
          </w:p>
        </w:tc>
      </w:tr>
      <w:tr w14:paraId="7C1E4A8F">
        <w:tblPrEx>
          <w:tblCellMar>
            <w:top w:w="15" w:type="dxa"/>
            <w:left w:w="15" w:type="dxa"/>
            <w:bottom w:w="15" w:type="dxa"/>
            <w:right w:w="15" w:type="dxa"/>
          </w:tblCellMar>
        </w:tblPrEx>
        <w:trPr>
          <w:tblCellSpacing w:w="15" w:type="dxa"/>
        </w:trPr>
        <w:tc>
          <w:tcPr>
            <w:tcW w:w="0" w:type="auto"/>
            <w:vAlign w:val="center"/>
          </w:tcPr>
          <w:p w14:paraId="47DE0580">
            <w:pPr>
              <w:spacing w:after="0" w:line="240" w:lineRule="auto"/>
              <w:ind w:left="0" w:hanging="2"/>
              <w:rPr>
                <w:rFonts w:ascii="Times New Roman" w:hAnsi="Times New Roman" w:cs="Times New Roman"/>
                <w:sz w:val="24"/>
                <w:szCs w:val="24"/>
                <w:lang w:eastAsia="ja-JP"/>
              </w:rPr>
            </w:pPr>
          </w:p>
        </w:tc>
        <w:tc>
          <w:tcPr>
            <w:tcW w:w="0" w:type="auto"/>
            <w:vAlign w:val="center"/>
          </w:tcPr>
          <w:p w14:paraId="2B85E64E">
            <w:pPr>
              <w:spacing w:after="0" w:line="240" w:lineRule="auto"/>
              <w:ind w:left="0" w:hanging="2"/>
              <w:rPr>
                <w:rFonts w:ascii="Times New Roman" w:hAnsi="Times New Roman" w:cs="Times New Roman"/>
                <w:sz w:val="24"/>
                <w:szCs w:val="24"/>
                <w:lang w:eastAsia="ja-JP"/>
              </w:rPr>
            </w:pPr>
          </w:p>
        </w:tc>
        <w:tc>
          <w:tcPr>
            <w:tcW w:w="0" w:type="auto"/>
            <w:vAlign w:val="center"/>
          </w:tcPr>
          <w:p w14:paraId="4AE0F9E7">
            <w:pPr>
              <w:spacing w:after="0" w:line="240" w:lineRule="auto"/>
              <w:ind w:left="0" w:hanging="2"/>
              <w:rPr>
                <w:rFonts w:ascii="Times New Roman" w:hAnsi="Times New Roman" w:cs="Times New Roman"/>
                <w:sz w:val="24"/>
                <w:szCs w:val="24"/>
                <w:lang w:eastAsia="ja-JP"/>
              </w:rPr>
            </w:pPr>
          </w:p>
        </w:tc>
        <w:tc>
          <w:tcPr>
            <w:tcW w:w="0" w:type="auto"/>
            <w:vAlign w:val="center"/>
          </w:tcPr>
          <w:p w14:paraId="33DFFC45">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cultural centres and public libraries</w:t>
            </w:r>
          </w:p>
        </w:tc>
        <w:tc>
          <w:tcPr>
            <w:tcW w:w="0" w:type="auto"/>
            <w:vAlign w:val="center"/>
          </w:tcPr>
          <w:p w14:paraId="32DDA56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0.1057</w:t>
            </w:r>
          </w:p>
        </w:tc>
      </w:tr>
      <w:tr w14:paraId="04D301F5">
        <w:tblPrEx>
          <w:tblCellMar>
            <w:top w:w="15" w:type="dxa"/>
            <w:left w:w="15" w:type="dxa"/>
            <w:bottom w:w="15" w:type="dxa"/>
            <w:right w:w="15" w:type="dxa"/>
          </w:tblCellMar>
        </w:tblPrEx>
        <w:trPr>
          <w:tblCellSpacing w:w="15" w:type="dxa"/>
        </w:trPr>
        <w:tc>
          <w:tcPr>
            <w:tcW w:w="0" w:type="auto"/>
            <w:vAlign w:val="center"/>
          </w:tcPr>
          <w:p w14:paraId="311F455D">
            <w:pPr>
              <w:spacing w:after="0" w:line="240" w:lineRule="auto"/>
              <w:ind w:left="0" w:hanging="2"/>
              <w:rPr>
                <w:rFonts w:ascii="Times New Roman" w:hAnsi="Times New Roman" w:cs="Times New Roman"/>
                <w:sz w:val="24"/>
                <w:szCs w:val="24"/>
                <w:lang w:eastAsia="ja-JP"/>
              </w:rPr>
            </w:pPr>
          </w:p>
        </w:tc>
        <w:tc>
          <w:tcPr>
            <w:tcW w:w="0" w:type="auto"/>
            <w:vAlign w:val="center"/>
          </w:tcPr>
          <w:p w14:paraId="17B4CC8A">
            <w:pPr>
              <w:spacing w:after="0" w:line="240" w:lineRule="auto"/>
              <w:ind w:left="0" w:hanging="2"/>
              <w:rPr>
                <w:rFonts w:ascii="Times New Roman" w:hAnsi="Times New Roman" w:cs="Times New Roman"/>
                <w:sz w:val="24"/>
                <w:szCs w:val="24"/>
                <w:lang w:eastAsia="ja-JP"/>
              </w:rPr>
            </w:pPr>
          </w:p>
        </w:tc>
        <w:tc>
          <w:tcPr>
            <w:tcW w:w="0" w:type="auto"/>
            <w:vAlign w:val="center"/>
          </w:tcPr>
          <w:p w14:paraId="0E17961D">
            <w:pPr>
              <w:spacing w:after="0" w:line="240" w:lineRule="auto"/>
              <w:ind w:left="0" w:hanging="2"/>
              <w:rPr>
                <w:rFonts w:ascii="Times New Roman" w:hAnsi="Times New Roman" w:cs="Times New Roman"/>
                <w:sz w:val="24"/>
                <w:szCs w:val="24"/>
                <w:lang w:eastAsia="ja-JP"/>
              </w:rPr>
            </w:pPr>
          </w:p>
        </w:tc>
        <w:tc>
          <w:tcPr>
            <w:tcW w:w="0" w:type="auto"/>
            <w:vAlign w:val="center"/>
          </w:tcPr>
          <w:p w14:paraId="39E6910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museums</w:t>
            </w:r>
          </w:p>
        </w:tc>
        <w:tc>
          <w:tcPr>
            <w:tcW w:w="0" w:type="auto"/>
            <w:vAlign w:val="center"/>
          </w:tcPr>
          <w:p w14:paraId="5D579A9B">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0.1099</w:t>
            </w:r>
          </w:p>
        </w:tc>
      </w:tr>
      <w:tr w14:paraId="26A45941">
        <w:tblPrEx>
          <w:tblCellMar>
            <w:top w:w="15" w:type="dxa"/>
            <w:left w:w="15" w:type="dxa"/>
            <w:bottom w:w="15" w:type="dxa"/>
            <w:right w:w="15" w:type="dxa"/>
          </w:tblCellMar>
        </w:tblPrEx>
        <w:trPr>
          <w:tblCellSpacing w:w="15" w:type="dxa"/>
        </w:trPr>
        <w:tc>
          <w:tcPr>
            <w:tcW w:w="0" w:type="auto"/>
            <w:vAlign w:val="center"/>
          </w:tcPr>
          <w:p w14:paraId="2DFEB8B8">
            <w:pPr>
              <w:spacing w:after="0" w:line="240" w:lineRule="auto"/>
              <w:ind w:left="0" w:hanging="2"/>
              <w:rPr>
                <w:rFonts w:ascii="Times New Roman" w:hAnsi="Times New Roman" w:cs="Times New Roman"/>
                <w:sz w:val="24"/>
                <w:szCs w:val="24"/>
                <w:lang w:eastAsia="ja-JP"/>
              </w:rPr>
            </w:pPr>
          </w:p>
        </w:tc>
        <w:tc>
          <w:tcPr>
            <w:tcW w:w="0" w:type="auto"/>
            <w:vAlign w:val="center"/>
          </w:tcPr>
          <w:p w14:paraId="200144D6">
            <w:pPr>
              <w:spacing w:after="0" w:line="240" w:lineRule="auto"/>
              <w:ind w:left="0" w:hanging="2"/>
              <w:rPr>
                <w:rFonts w:ascii="Times New Roman" w:hAnsi="Times New Roman" w:cs="Times New Roman"/>
                <w:sz w:val="24"/>
                <w:szCs w:val="24"/>
                <w:lang w:eastAsia="ja-JP"/>
              </w:rPr>
            </w:pPr>
          </w:p>
        </w:tc>
        <w:tc>
          <w:tcPr>
            <w:tcW w:w="0" w:type="auto"/>
            <w:vAlign w:val="center"/>
          </w:tcPr>
          <w:p w14:paraId="6BBA7EFC">
            <w:pPr>
              <w:spacing w:after="0" w:line="240" w:lineRule="auto"/>
              <w:ind w:left="0" w:hanging="2"/>
              <w:rPr>
                <w:rFonts w:ascii="Times New Roman" w:hAnsi="Times New Roman" w:cs="Times New Roman"/>
                <w:sz w:val="24"/>
                <w:szCs w:val="24"/>
                <w:lang w:eastAsia="ja-JP"/>
              </w:rPr>
            </w:pPr>
          </w:p>
        </w:tc>
        <w:tc>
          <w:tcPr>
            <w:tcW w:w="0" w:type="auto"/>
            <w:vAlign w:val="center"/>
          </w:tcPr>
          <w:p w14:paraId="6CA6810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accommodation and catering establishments</w:t>
            </w:r>
          </w:p>
        </w:tc>
        <w:tc>
          <w:tcPr>
            <w:tcW w:w="0" w:type="auto"/>
            <w:vAlign w:val="center"/>
          </w:tcPr>
          <w:p w14:paraId="4AB1EB80">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0.3901</w:t>
            </w:r>
          </w:p>
        </w:tc>
      </w:tr>
      <w:tr w14:paraId="26CDB2B5">
        <w:tblPrEx>
          <w:tblCellMar>
            <w:top w:w="15" w:type="dxa"/>
            <w:left w:w="15" w:type="dxa"/>
            <w:bottom w:w="15" w:type="dxa"/>
            <w:right w:w="15" w:type="dxa"/>
          </w:tblCellMar>
        </w:tblPrEx>
        <w:trPr>
          <w:tblCellSpacing w:w="15" w:type="dxa"/>
        </w:trPr>
        <w:tc>
          <w:tcPr>
            <w:tcW w:w="0" w:type="auto"/>
            <w:tcBorders/>
            <w:vAlign w:val="center"/>
          </w:tcPr>
          <w:p w14:paraId="0A00DE98">
            <w:pPr>
              <w:spacing w:after="0" w:line="240" w:lineRule="auto"/>
              <w:ind w:left="0" w:hanging="2"/>
              <w:rPr>
                <w:rFonts w:ascii="Times New Roman" w:hAnsi="Times New Roman" w:cs="Times New Roman"/>
                <w:sz w:val="24"/>
                <w:szCs w:val="24"/>
                <w:lang w:eastAsia="ja-JP"/>
              </w:rPr>
            </w:pPr>
          </w:p>
        </w:tc>
        <w:tc>
          <w:tcPr>
            <w:tcW w:w="0" w:type="auto"/>
            <w:tcBorders/>
            <w:vAlign w:val="center"/>
          </w:tcPr>
          <w:p w14:paraId="5E6827BC">
            <w:pPr>
              <w:spacing w:after="0" w:line="240" w:lineRule="auto"/>
              <w:ind w:left="0" w:hanging="2"/>
              <w:rPr>
                <w:rFonts w:ascii="Times New Roman" w:hAnsi="Times New Roman" w:cs="Times New Roman"/>
                <w:sz w:val="24"/>
                <w:szCs w:val="24"/>
                <w:lang w:eastAsia="ja-JP"/>
              </w:rPr>
            </w:pPr>
          </w:p>
        </w:tc>
        <w:tc>
          <w:tcPr>
            <w:tcW w:w="0" w:type="auto"/>
            <w:tcBorders/>
            <w:vAlign w:val="center"/>
          </w:tcPr>
          <w:p w14:paraId="5CC9522E">
            <w:pPr>
              <w:spacing w:after="0" w:line="240" w:lineRule="auto"/>
              <w:ind w:left="0" w:hanging="2"/>
              <w:rPr>
                <w:rFonts w:ascii="Times New Roman" w:hAnsi="Times New Roman" w:cs="Times New Roman"/>
                <w:sz w:val="24"/>
                <w:szCs w:val="24"/>
                <w:lang w:eastAsia="ja-JP"/>
              </w:rPr>
            </w:pPr>
          </w:p>
        </w:tc>
        <w:tc>
          <w:tcPr>
            <w:tcW w:w="0" w:type="auto"/>
            <w:tcBorders/>
            <w:vAlign w:val="center"/>
          </w:tcPr>
          <w:p w14:paraId="3262845B">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Number of travel agencies and related service companies</w:t>
            </w:r>
          </w:p>
        </w:tc>
        <w:tc>
          <w:tcPr>
            <w:tcW w:w="0" w:type="auto"/>
            <w:tcBorders/>
            <w:vAlign w:val="center"/>
          </w:tcPr>
          <w:p w14:paraId="087C6224">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0.3030</w:t>
            </w:r>
          </w:p>
        </w:tc>
      </w:tr>
      <w:tr w14:paraId="65777D21">
        <w:tblPrEx>
          <w:tblCellMar>
            <w:top w:w="15" w:type="dxa"/>
            <w:left w:w="15" w:type="dxa"/>
            <w:bottom w:w="15" w:type="dxa"/>
            <w:right w:w="15" w:type="dxa"/>
          </w:tblCellMar>
        </w:tblPrEx>
        <w:trPr>
          <w:tblCellSpacing w:w="15" w:type="dxa"/>
        </w:trPr>
        <w:tc>
          <w:tcPr>
            <w:tcW w:w="1053" w:type="dxa"/>
            <w:tcBorders/>
            <w:vAlign w:val="center"/>
          </w:tcPr>
          <w:p w14:paraId="4994326B">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b/>
                <w:bCs/>
                <w:sz w:val="24"/>
                <w:szCs w:val="24"/>
                <w:lang w:eastAsia="ja-JP"/>
              </w:rPr>
              <w:t>Output</w:t>
            </w:r>
          </w:p>
        </w:tc>
        <w:tc>
          <w:tcPr>
            <w:tcW w:w="2397" w:type="dxa"/>
            <w:tcBorders/>
            <w:vAlign w:val="center"/>
          </w:tcPr>
          <w:p w14:paraId="6571C3FF">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A1 Tourist Reception Volume</w:t>
            </w:r>
          </w:p>
        </w:tc>
        <w:tc>
          <w:tcPr>
            <w:tcW w:w="803" w:type="dxa"/>
            <w:tcBorders/>
            <w:vAlign w:val="center"/>
          </w:tcPr>
          <w:p w14:paraId="1F798B66">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0.4409</w:t>
            </w:r>
          </w:p>
        </w:tc>
        <w:tc>
          <w:tcPr>
            <w:tcW w:w="3337" w:type="dxa"/>
            <w:tcBorders/>
            <w:vAlign w:val="center"/>
          </w:tcPr>
          <w:p w14:paraId="662EA813">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Number of tourist arrivals (per 10,000 persons)</w:t>
            </w:r>
          </w:p>
        </w:tc>
        <w:tc>
          <w:tcPr>
            <w:tcW w:w="819" w:type="dxa"/>
            <w:tcBorders/>
            <w:vAlign w:val="center"/>
          </w:tcPr>
          <w:p w14:paraId="02E8B23C">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0.4409</w:t>
            </w:r>
          </w:p>
        </w:tc>
      </w:tr>
      <w:tr w14:paraId="6981585D">
        <w:tblPrEx>
          <w:tblCellMar>
            <w:top w:w="15" w:type="dxa"/>
            <w:left w:w="15" w:type="dxa"/>
            <w:bottom w:w="15" w:type="dxa"/>
            <w:right w:w="15" w:type="dxa"/>
          </w:tblCellMar>
        </w:tblPrEx>
        <w:trPr>
          <w:tblCellSpacing w:w="15" w:type="dxa"/>
        </w:trPr>
        <w:tc>
          <w:tcPr>
            <w:tcW w:w="1053" w:type="dxa"/>
            <w:tcBorders>
              <w:bottom w:val="single" w:color="auto" w:sz="4" w:space="0"/>
            </w:tcBorders>
            <w:vAlign w:val="center"/>
          </w:tcPr>
          <w:p w14:paraId="7E4339A4">
            <w:pPr>
              <w:spacing w:after="0" w:line="240" w:lineRule="auto"/>
              <w:ind w:left="0" w:leftChars="-1" w:hanging="2" w:hangingChars="1"/>
              <w:rPr>
                <w:rFonts w:ascii="Times New Roman" w:hAnsi="Times New Roman" w:cs="Times New Roman"/>
                <w:sz w:val="24"/>
                <w:szCs w:val="24"/>
                <w:lang w:eastAsia="ja-JP"/>
              </w:rPr>
            </w:pPr>
          </w:p>
        </w:tc>
        <w:tc>
          <w:tcPr>
            <w:tcW w:w="2397" w:type="dxa"/>
            <w:tcBorders>
              <w:bottom w:val="single" w:color="auto" w:sz="4" w:space="0"/>
            </w:tcBorders>
            <w:vAlign w:val="center"/>
          </w:tcPr>
          <w:p w14:paraId="6013A0DC">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A2 Tourism Revenue Level</w:t>
            </w:r>
          </w:p>
        </w:tc>
        <w:tc>
          <w:tcPr>
            <w:tcW w:w="803" w:type="dxa"/>
            <w:tcBorders>
              <w:bottom w:val="single" w:color="auto" w:sz="4" w:space="0"/>
            </w:tcBorders>
            <w:vAlign w:val="center"/>
          </w:tcPr>
          <w:p w14:paraId="68F0AA21">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0.5591</w:t>
            </w:r>
          </w:p>
        </w:tc>
        <w:tc>
          <w:tcPr>
            <w:tcW w:w="3337" w:type="dxa"/>
            <w:tcBorders>
              <w:bottom w:val="single" w:color="auto" w:sz="4" w:space="0"/>
            </w:tcBorders>
            <w:vAlign w:val="center"/>
          </w:tcPr>
          <w:p w14:paraId="068679EE">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Tourism revenue (100 million yuan)</w:t>
            </w:r>
          </w:p>
        </w:tc>
        <w:tc>
          <w:tcPr>
            <w:tcW w:w="819" w:type="dxa"/>
            <w:tcBorders>
              <w:bottom w:val="single" w:color="auto" w:sz="4" w:space="0"/>
            </w:tcBorders>
            <w:vAlign w:val="center"/>
          </w:tcPr>
          <w:p w14:paraId="3D070E2B">
            <w:pPr>
              <w:spacing w:after="0" w:line="240" w:lineRule="auto"/>
              <w:ind w:left="0" w:leftChars="-1" w:hanging="2" w:hangingChars="1"/>
              <w:rPr>
                <w:rFonts w:ascii="Times New Roman" w:hAnsi="Times New Roman" w:cs="Times New Roman"/>
                <w:sz w:val="24"/>
                <w:szCs w:val="24"/>
                <w:lang w:eastAsia="ja-JP"/>
              </w:rPr>
            </w:pPr>
            <w:r>
              <w:rPr>
                <w:rFonts w:ascii="Times New Roman" w:hAnsi="Times New Roman" w:cs="Times New Roman"/>
                <w:sz w:val="24"/>
                <w:szCs w:val="24"/>
                <w:lang w:eastAsia="ja-JP"/>
              </w:rPr>
              <w:t>0.5591</w:t>
            </w:r>
          </w:p>
        </w:tc>
      </w:tr>
    </w:tbl>
    <w:p w14:paraId="3424531B">
      <w:pPr>
        <w:spacing w:line="240" w:lineRule="auto"/>
        <w:ind w:left="0" w:hanging="2"/>
        <w:jc w:val="both"/>
        <w:rPr>
          <w:rFonts w:ascii="Times New Roman" w:hAnsi="Times New Roman" w:cs="Times New Roman" w:eastAsiaTheme="minorEastAsia"/>
          <w:lang w:eastAsia="zh-CN"/>
        </w:rPr>
      </w:pPr>
    </w:p>
    <w:p w14:paraId="255348C8">
      <w:pPr>
        <w:spacing w:line="240" w:lineRule="auto"/>
        <w:ind w:left="-2" w:firstLine="0" w:firstLineChars="0"/>
        <w:jc w:val="both"/>
        <w:rPr>
          <w:rFonts w:ascii="Times New Roman" w:hAnsi="Times New Roman" w:cs="Times New Roman"/>
          <w:b/>
          <w:bCs/>
          <w:i/>
          <w:iCs/>
          <w:sz w:val="24"/>
          <w:szCs w:val="24"/>
        </w:rPr>
      </w:pPr>
      <w:r>
        <w:rPr>
          <w:rFonts w:ascii="Times New Roman" w:hAnsi="Times New Roman" w:cs="Times New Roman" w:eastAsiaTheme="minorEastAsia"/>
          <w:sz w:val="24"/>
          <w:szCs w:val="24"/>
          <w:lang w:eastAsia="zh-CN"/>
        </w:rPr>
        <w:t>Data for this study are sourced from the Statistical Yearbook of Shanxi Province, the China Urban Statistical Yearbook, and the National Economic and Social Development Statistics Bulletin of various cities within Shanxi Province. Due to the lag effect between input and output in economic systems, the input data for the current year should be adjusted to correspond with the output levels of the subsequent year (Wang et al. 2021). Accordingly, the input data used in this analysis corresponds to 2022, while the output data pertains to 2023. Additionally, data on the number of travel agencies and related service enterprises are obtained from the Qichamao website for 2021 (https://www.qichamao.com/). These data sources have been thoroughly evaluated to ensure the reliability and accuracy of the research (Gössling 2021; Wang et al. 2020a; Munguía et al. 2019).</w:t>
      </w:r>
    </w:p>
    <w:p w14:paraId="071BE55F">
      <w:pPr>
        <w:pStyle w:val="3"/>
        <w:spacing w:before="0" w:after="0" w:line="240" w:lineRule="auto"/>
        <w:ind w:left="-2" w:firstLine="926" w:firstLineChars="386"/>
        <w:jc w:val="both"/>
        <w:rPr>
          <w:rFonts w:ascii="Times New Roman" w:hAnsi="Times New Roman" w:cs="Times New Roman"/>
          <w:b w:val="0"/>
          <w:bCs/>
          <w:i/>
          <w:iCs/>
          <w:sz w:val="24"/>
          <w:szCs w:val="24"/>
        </w:rPr>
      </w:pPr>
    </w:p>
    <w:p w14:paraId="543B1047">
      <w:pPr>
        <w:pStyle w:val="11"/>
        <w:jc w:val="both"/>
        <w:rPr>
          <w:rFonts w:ascii="Times New Roman" w:hAnsi="Times New Roman" w:eastAsia="Times New Roman" w:cs="Times New Roman"/>
          <w:b/>
          <w:bCs/>
          <w:i/>
          <w:iCs/>
          <w:sz w:val="24"/>
          <w:szCs w:val="24"/>
          <w:lang w:val="en-GB" w:eastAsia="en-GB"/>
        </w:rPr>
      </w:pPr>
      <w:bookmarkStart w:id="4" w:name="_bookmark26"/>
      <w:bookmarkEnd w:id="4"/>
      <w:r>
        <w:rPr>
          <w:rFonts w:ascii="Times New Roman" w:hAnsi="Times New Roman" w:eastAsia="Times New Roman" w:cs="Times New Roman"/>
          <w:b/>
          <w:bCs/>
          <w:i/>
          <w:iCs/>
          <w:sz w:val="24"/>
          <w:szCs w:val="24"/>
          <w:lang w:val="en-GB" w:eastAsia="en-GB"/>
        </w:rPr>
        <w:t>Variable Selection for Input-Output Analysis</w:t>
      </w:r>
    </w:p>
    <w:p w14:paraId="78EC586B">
      <w:pPr>
        <w:pStyle w:val="11"/>
        <w:ind w:left="-2" w:leftChars="-1" w:firstLine="927" w:firstLineChars="386"/>
        <w:jc w:val="both"/>
        <w:rPr>
          <w:rFonts w:ascii="Times New Roman" w:hAnsi="Times New Roman" w:eastAsia="Times New Roman" w:cs="Times New Roman"/>
          <w:b/>
          <w:bCs/>
          <w:i/>
          <w:iCs/>
          <w:sz w:val="24"/>
          <w:szCs w:val="24"/>
          <w:lang w:val="en-GB" w:eastAsia="en-GB"/>
        </w:rPr>
      </w:pPr>
    </w:p>
    <w:p w14:paraId="1E08FEE7">
      <w:pPr>
        <w:pStyle w:val="11"/>
        <w:ind w:left="-2" w:leftChars="-1"/>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To rigorously assess the dynamics of tourism-driven economic development in Shanxi, this study adopts an input-output analytical framework. Within this approach, tourism output serves as the dependent variable, while a range of carefully selected input variables capture the resources and conditions shaping tourism performance across the province’s diverse spatial units.</w:t>
      </w:r>
    </w:p>
    <w:p w14:paraId="7F5D0EE9">
      <w:pPr>
        <w:pStyle w:val="11"/>
        <w:ind w:left="-2" w:leftChars="-1" w:firstLine="926" w:firstLineChars="386"/>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A tailored Tourism Input-Output Evaluation Index System was developed to operationalize this framework. This system is designed to clarify how different inputs contribute to measurable outputs, and to detect any imbalances or inefficiencies in resource allocation and benefit distribution at various geographic scales. Tourism Input Indicators include capital investments in infrastructure such as transport facilities, lodging capacity, and related amenities alongside measures of human capital, like the availability of trained personnel and management expertise. Accessibility variables, including the extent and quality of road and rail connections, are also crucial, as they directly influence tourist mobility and destination appeal. Additionally, socioeconomic indicators, such as population size, local income levels, and broader regional development indices, provide context for how underlying conditions support or constrain tourism investment.</w:t>
      </w:r>
    </w:p>
    <w:p w14:paraId="591734F9">
      <w:pPr>
        <w:pStyle w:val="11"/>
        <w:ind w:left="-2" w:leftChars="-1" w:firstLine="926" w:firstLineChars="386"/>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Tourism Output Indicators capture the tangible economic returns of these investments, primarily through metrics such as total tourism revenue and visitor numbers. These outputs reflect the capacity of local tourism systems to convert inputs into sustained economic gains. Spatial Discrepancy Indicators are incorporated to illuminate mismatches within the input-output relationship. For instance, the Spatial Mismatch Index (SMI) helps identify areas where substantial inputs yield disproportionately low outputs — or conversely, where minimal inputs generate significant returns thus revealing critical leverage points for policy adjustment and resource reallocation.</w:t>
      </w:r>
    </w:p>
    <w:p w14:paraId="6A5814F6">
      <w:pPr>
        <w:pStyle w:val="11"/>
        <w:ind w:left="-2" w:leftChars="-1" w:firstLine="926" w:firstLineChars="386"/>
        <w:jc w:val="both"/>
        <w:rPr>
          <w:rFonts w:ascii="Times New Roman" w:hAnsi="Times New Roman" w:eastAsia="Times New Roman" w:cs="Times New Roman"/>
          <w:sz w:val="24"/>
          <w:szCs w:val="24"/>
          <w:lang w:val="en-GB" w:eastAsia="en-GB"/>
        </w:rPr>
      </w:pPr>
    </w:p>
    <w:p w14:paraId="50291FC5">
      <w:pPr>
        <w:pStyle w:val="11"/>
        <w:ind w:left="-2" w:leftChars="-1" w:firstLine="926" w:firstLineChars="386"/>
        <w:jc w:val="both"/>
        <w:rPr>
          <w:rFonts w:ascii="Times New Roman" w:hAnsi="Times New Roman" w:cs="Times New Roman"/>
          <w:spacing w:val="-4"/>
          <w:sz w:val="24"/>
          <w:szCs w:val="24"/>
        </w:rPr>
      </w:pPr>
      <w:r>
        <w:rPr>
          <w:rFonts w:ascii="Times New Roman" w:hAnsi="Times New Roman" w:eastAsia="Times New Roman" w:cs="Times New Roman"/>
          <w:sz w:val="24"/>
          <w:szCs w:val="24"/>
          <w:lang w:val="en-GB" w:eastAsia="en-GB"/>
        </w:rPr>
        <w:t>Through this integrated input-output lens, the study provides a clearer understanding of how tourism resources are mobilized and converted into economic benefits across Shanxi’s spatial landscape. This approach not only underscores the rationality of the province’s tourism structure but also highlights priority areas where strategic intervention could enhance efficiency and foster more balanced regional development</w:t>
      </w:r>
      <w:r>
        <w:rPr>
          <w:rFonts w:ascii="Times New Roman" w:hAnsi="Times New Roman" w:eastAsia="Times New Roman" w:cs="Times New Roman"/>
          <w:b/>
          <w:bCs/>
          <w:i/>
          <w:iCs/>
          <w:sz w:val="24"/>
          <w:szCs w:val="24"/>
          <w:lang w:val="en-GB" w:eastAsia="en-GB"/>
        </w:rPr>
        <w:t>.</w:t>
      </w:r>
    </w:p>
    <w:p w14:paraId="54B4B2D0">
      <w:pPr>
        <w:pStyle w:val="11"/>
        <w:ind w:hanging="2"/>
        <w:jc w:val="both"/>
        <w:rPr>
          <w:rFonts w:ascii="Times New Roman" w:hAnsi="Times New Roman" w:cs="Times New Roman"/>
        </w:rPr>
      </w:pPr>
    </w:p>
    <w:p w14:paraId="333CC522">
      <w:pPr>
        <w:pStyle w:val="3"/>
        <w:spacing w:before="0" w:after="0" w:line="240" w:lineRule="auto"/>
        <w:ind w:left="0" w:hanging="2"/>
        <w:rPr>
          <w:rFonts w:ascii="Times New Roman" w:hAnsi="Times New Roman" w:cs="Times New Roman"/>
          <w:i/>
          <w:iCs/>
          <w:sz w:val="24"/>
          <w:szCs w:val="24"/>
        </w:rPr>
      </w:pPr>
      <w:r>
        <w:rPr>
          <w:rFonts w:ascii="Times New Roman" w:hAnsi="Times New Roman" w:cs="Times New Roman"/>
          <w:i/>
          <w:iCs/>
          <w:sz w:val="24"/>
          <w:szCs w:val="24"/>
        </w:rPr>
        <w:t>Analysis Methods</w:t>
      </w:r>
    </w:p>
    <w:p w14:paraId="16CC1C5A">
      <w:pPr>
        <w:spacing w:after="0" w:line="240" w:lineRule="auto"/>
        <w:ind w:left="0" w:hanging="2"/>
      </w:pPr>
    </w:p>
    <w:p w14:paraId="3D636E96">
      <w:pPr>
        <w:pStyle w:val="69"/>
        <w:spacing w:before="0" w:after="0" w:line="240" w:lineRule="auto"/>
        <w:ind w:hanging="2"/>
        <w:jc w:val="both"/>
        <w:rPr>
          <w:iCs/>
        </w:rPr>
      </w:pPr>
      <w:r>
        <w:rPr>
          <w:iCs/>
        </w:rPr>
        <w:t>To systematically quantify the alignment between tourism inputs and outputs, this study employs a utility function combined with the entropy weighting method, following Tang and Luo (2022). This approach standardizes the data and objectively derives the weight of each indicator (see Table 1). Based on these calculated weights, comprehensive scores are generated for each criterion layer, along with an overall evaluation score for the target layer. The comprehensive score AAA is computed as:</w:t>
      </w:r>
    </w:p>
    <w:p w14:paraId="2A96440A">
      <w:pPr>
        <w:pStyle w:val="69"/>
        <w:spacing w:before="0" w:line="240" w:lineRule="auto"/>
        <w:ind w:hanging="2"/>
        <w:rPr>
          <w:sz w:val="20"/>
          <w:szCs w:val="20"/>
        </w:rPr>
      </w:pPr>
      <m:oMath>
        <m:r>
          <m:rPr/>
          <w:rPr>
            <w:rFonts w:ascii="Cambria Math" w:hAnsi="Cambria Math" w:eastAsiaTheme="minorEastAsia"/>
            <w:sz w:val="20"/>
            <w:szCs w:val="20"/>
            <w:lang w:eastAsia="zh-CN"/>
          </w:rPr>
          <m:t>A=</m:t>
        </m:r>
        <m:nary>
          <m:naryPr>
            <m:chr m:val="∑"/>
            <m:limLoc m:val="undOvr"/>
            <m:ctrlPr>
              <w:rPr>
                <w:rFonts w:ascii="Cambria Math" w:hAnsi="Cambria Math" w:eastAsiaTheme="minorEastAsia"/>
                <w:i/>
                <w:sz w:val="20"/>
                <w:szCs w:val="20"/>
                <w:lang w:eastAsia="zh-CN"/>
              </w:rPr>
            </m:ctrlPr>
          </m:naryPr>
          <m:sub>
            <m:r>
              <m:rPr/>
              <w:rPr>
                <w:rFonts w:ascii="Cambria Math" w:hAnsi="Cambria Math" w:eastAsiaTheme="minorEastAsia"/>
                <w:sz w:val="20"/>
                <w:szCs w:val="20"/>
                <w:lang w:eastAsia="zh-CN"/>
              </w:rPr>
              <m:t>i=1</m:t>
            </m:r>
            <m:ctrlPr>
              <w:rPr>
                <w:rFonts w:ascii="Cambria Math" w:hAnsi="Cambria Math" w:eastAsiaTheme="minorEastAsia"/>
                <w:i/>
                <w:sz w:val="20"/>
                <w:szCs w:val="20"/>
                <w:lang w:eastAsia="zh-CN"/>
              </w:rPr>
            </m:ctrlPr>
          </m:sub>
          <m:sup>
            <m:r>
              <m:rPr/>
              <w:rPr>
                <w:rFonts w:ascii="Cambria Math" w:hAnsi="Cambria Math" w:eastAsiaTheme="minorEastAsia"/>
                <w:sz w:val="20"/>
                <w:szCs w:val="20"/>
                <w:lang w:eastAsia="zh-CN"/>
              </w:rPr>
              <m:t>m</m:t>
            </m:r>
            <m:ctrlPr>
              <w:rPr>
                <w:rFonts w:ascii="Cambria Math" w:hAnsi="Cambria Math" w:eastAsiaTheme="minorEastAsia"/>
                <w:i/>
                <w:sz w:val="20"/>
                <w:szCs w:val="20"/>
                <w:lang w:eastAsia="zh-CN"/>
              </w:rPr>
            </m:ctrlPr>
          </m:sup>
          <m:e>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w</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u</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ij</m:t>
                </m:r>
                <m:ctrlPr>
                  <w:rPr>
                    <w:rFonts w:ascii="Cambria Math" w:hAnsi="Cambria Math" w:eastAsiaTheme="minorEastAsia"/>
                    <w:i/>
                    <w:sz w:val="20"/>
                    <w:szCs w:val="20"/>
                    <w:lang w:eastAsia="zh-CN"/>
                  </w:rPr>
                </m:ctrlPr>
              </m:sub>
            </m:sSub>
            <m:r>
              <m:rPr/>
              <w:rPr>
                <w:rFonts w:ascii="Cambria Math" w:hAnsi="Cambria Math" w:eastAsiaTheme="minorEastAsia"/>
                <w:sz w:val="20"/>
                <w:szCs w:val="20"/>
                <w:lang w:eastAsia="zh-CN"/>
              </w:rPr>
              <m:t>×100</m:t>
            </m:r>
            <m:ctrlPr>
              <w:rPr>
                <w:rFonts w:ascii="Cambria Math" w:hAnsi="Cambria Math" w:eastAsiaTheme="minorEastAsia"/>
                <w:i/>
                <w:sz w:val="20"/>
                <w:szCs w:val="20"/>
                <w:lang w:eastAsia="zh-CN"/>
              </w:rPr>
            </m:ctrlPr>
          </m:e>
        </m:nary>
      </m:oMath>
      <w:r>
        <w:rPr>
          <w:rFonts w:eastAsiaTheme="minorEastAsia"/>
          <w:sz w:val="20"/>
          <w:szCs w:val="20"/>
          <w:lang w:eastAsia="zh-CN"/>
        </w:rPr>
        <w:t xml:space="preserve">    </w:t>
      </w:r>
      <w:r>
        <w:rPr>
          <w:sz w:val="20"/>
          <w:szCs w:val="20"/>
          <w:lang w:eastAsia="zh-CN"/>
        </w:rPr>
        <w:t xml:space="preserve">            (1)</w:t>
      </w:r>
    </w:p>
    <w:p w14:paraId="61BCFB6A">
      <w:pPr>
        <w:pStyle w:val="82"/>
        <w:spacing w:before="0" w:line="240" w:lineRule="auto"/>
        <w:ind w:left="3" w:hanging="5"/>
        <w:jc w:val="both"/>
        <w:rPr>
          <w:rFonts w:eastAsia="Trebuchet MS"/>
          <w:lang w:eastAsia="en-US"/>
        </w:rPr>
      </w:pPr>
      <w:r>
        <w:rPr>
          <w:rFonts w:eastAsia="Trebuchet MS"/>
          <w:lang w:eastAsia="en-US"/>
        </w:rPr>
        <w:t xml:space="preserve">where A denotes the overall evaluation score, </w:t>
      </w:r>
      <w:r>
        <w:rPr>
          <w:rFonts w:eastAsia="Trebuchet MS"/>
          <w:i/>
          <w:iCs/>
          <w:lang w:eastAsia="en-US"/>
        </w:rPr>
        <w:t>i</w:t>
      </w:r>
      <w:r>
        <w:rPr>
          <w:rFonts w:eastAsia="Trebuchet MS"/>
          <w:lang w:eastAsia="en-US"/>
        </w:rPr>
        <w:t xml:space="preserve"> represents the indicator number, </w:t>
      </w:r>
      <w:r>
        <w:rPr>
          <w:rFonts w:eastAsia="Trebuchet MS"/>
          <w:i/>
          <w:iCs/>
          <w:lang w:eastAsia="en-US"/>
        </w:rPr>
        <w:t>m</w:t>
      </w:r>
      <w:r>
        <w:rPr>
          <w:rFonts w:eastAsia="Trebuchet MS"/>
          <w:lang w:eastAsia="en-US"/>
        </w:rPr>
        <w:t xml:space="preserve"> is the total number of indicators, </w:t>
      </w:r>
      <m:oMath>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w</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oMath>
      <w:r>
        <w:rPr>
          <w:rFonts w:eastAsia="Trebuchet MS"/>
          <w:lang w:eastAsia="en-US"/>
        </w:rPr>
        <w:t xml:space="preserve">​ is the entropy-derived weight for indicator </w:t>
      </w:r>
      <w:r>
        <w:rPr>
          <w:rFonts w:eastAsia="Trebuchet MS"/>
          <w:i/>
          <w:iCs/>
          <w:lang w:eastAsia="en-US"/>
        </w:rPr>
        <w:t>i, and u</w:t>
      </w:r>
      <w:r>
        <w:rPr>
          <w:rFonts w:eastAsia="Trebuchet MS"/>
          <w:i/>
          <w:iCs/>
          <w:vertAlign w:val="subscript"/>
          <w:lang w:eastAsia="en-US"/>
        </w:rPr>
        <w:t>ij</w:t>
      </w:r>
      <w:r>
        <w:rPr>
          <w:rFonts w:eastAsia="Trebuchet MS"/>
          <w:i/>
          <w:iCs/>
          <w:lang w:eastAsia="en-US"/>
        </w:rPr>
        <w:t xml:space="preserve"> </w:t>
      </w:r>
      <w:r>
        <w:rPr>
          <w:rFonts w:eastAsia="Trebuchet MS"/>
          <w:lang w:eastAsia="en-US"/>
        </w:rPr>
        <w:t xml:space="preserve">is its efficacy coefficient for region </w:t>
      </w:r>
      <w:r>
        <w:rPr>
          <w:rFonts w:eastAsia="Trebuchet MS"/>
          <w:i/>
          <w:iCs/>
          <w:lang w:eastAsia="en-US"/>
        </w:rPr>
        <w:t>j</w:t>
      </w:r>
      <w:r>
        <w:rPr>
          <w:rFonts w:eastAsia="Trebuchet MS"/>
          <w:lang w:eastAsia="en-US"/>
        </w:rPr>
        <w:t>. To facilitate meaningful comparison and interpretation, scores are scaled by 100, with higher values indicating stronger tourism-driven influence on surrounding areas.</w:t>
      </w:r>
    </w:p>
    <w:p w14:paraId="2A05EBCC">
      <w:pPr>
        <w:pStyle w:val="82"/>
        <w:spacing w:before="0" w:line="240" w:lineRule="auto"/>
        <w:ind w:left="3" w:firstLine="848"/>
        <w:jc w:val="both"/>
        <w:rPr>
          <w:rFonts w:eastAsia="Trebuchet MS"/>
          <w:lang w:eastAsia="en-US"/>
        </w:rPr>
      </w:pPr>
      <w:r>
        <w:rPr>
          <w:rFonts w:eastAsia="Trebuchet MS"/>
          <w:lang w:eastAsia="en-US"/>
        </w:rPr>
        <w:t>For spatial analysis, the comprehensive scores for each city are classified using the natural breaks method in ArcGIS 10.8. This method groups cities into five categories — A (highest), B (higher), C (medium), D (lower), and E (lowest) — capturing gradations in the strength of tourism development across Shanxi.</w:t>
      </w:r>
    </w:p>
    <w:p w14:paraId="4033C63A">
      <w:pPr>
        <w:pStyle w:val="82"/>
        <w:spacing w:before="0" w:line="240" w:lineRule="auto"/>
        <w:ind w:left="3" w:hanging="5"/>
        <w:jc w:val="both"/>
        <w:rPr>
          <w:rFonts w:eastAsia="Trebuchet MS"/>
          <w:b/>
          <w:bCs/>
          <w:lang w:eastAsia="en-US"/>
        </w:rPr>
      </w:pPr>
    </w:p>
    <w:p w14:paraId="1D488619">
      <w:pPr>
        <w:pStyle w:val="82"/>
        <w:numPr>
          <w:ilvl w:val="0"/>
          <w:numId w:val="3"/>
        </w:numPr>
        <w:spacing w:before="0" w:line="240" w:lineRule="auto"/>
        <w:jc w:val="both"/>
        <w:rPr>
          <w:rFonts w:eastAsia="Trebuchet MS"/>
          <w:lang w:eastAsia="en-US"/>
        </w:rPr>
      </w:pPr>
      <w:r>
        <w:rPr>
          <w:rFonts w:eastAsia="Trebuchet MS"/>
          <w:b/>
          <w:bCs/>
          <w:lang w:eastAsia="en-US"/>
        </w:rPr>
        <w:t>Spatial Mismatch Index (SMI)</w:t>
      </w:r>
    </w:p>
    <w:p w14:paraId="024D3D8F">
      <w:pPr>
        <w:pStyle w:val="82"/>
        <w:spacing w:before="0" w:line="240" w:lineRule="auto"/>
        <w:ind w:left="3" w:hanging="5"/>
        <w:jc w:val="both"/>
        <w:rPr>
          <w:rFonts w:eastAsia="Trebuchet MS"/>
          <w:lang w:eastAsia="en-US"/>
        </w:rPr>
      </w:pPr>
      <w:r>
        <w:rPr>
          <w:rFonts w:eastAsia="Trebuchet MS"/>
          <w:lang w:eastAsia="en-US"/>
        </w:rPr>
        <w:t xml:space="preserve">To assess the spatial coherence between tourism investments and outcomes, this study applies the </w:t>
      </w:r>
      <w:r>
        <w:rPr>
          <w:rFonts w:eastAsia="Trebuchet MS"/>
          <w:i/>
          <w:iCs/>
          <w:lang w:eastAsia="en-US"/>
        </w:rPr>
        <w:t>Spatial Mismatch Index (SMI)</w:t>
      </w:r>
      <w:r>
        <w:rPr>
          <w:rFonts w:eastAsia="Trebuchet MS"/>
          <w:lang w:eastAsia="en-US"/>
        </w:rPr>
        <w:t>, originally proposed by Martin (2001) and adapted from the dissimilarity index commonly used in segregation studies. Owing to its versatility, the SMI has found wide application in spatial research and here serves to gauge the alignment between tourism inputs and outputs across different areas.</w:t>
      </w:r>
    </w:p>
    <w:p w14:paraId="683F4D92">
      <w:pPr>
        <w:pStyle w:val="82"/>
        <w:spacing w:before="0" w:line="240" w:lineRule="auto"/>
        <w:ind w:left="3" w:hanging="5"/>
        <w:rPr>
          <w:rFonts w:eastAsia="Trebuchet MS"/>
          <w:lang w:eastAsia="en-US"/>
        </w:rPr>
      </w:pPr>
      <w:r>
        <w:rPr>
          <w:rFonts w:eastAsia="Trebuchet MS"/>
          <w:lang w:eastAsia="en-US"/>
        </w:rPr>
        <w:t>The SMI is defined as:</w:t>
      </w:r>
    </w:p>
    <w:p w14:paraId="5F8FC3D7">
      <w:pPr>
        <w:pStyle w:val="82"/>
        <w:spacing w:before="0" w:line="240" w:lineRule="auto"/>
        <w:ind w:hanging="2"/>
        <w:jc w:val="center"/>
        <w:rPr>
          <w:sz w:val="20"/>
          <w:szCs w:val="20"/>
        </w:rPr>
      </w:pPr>
      <m:oMath>
        <m:r>
          <m:rPr/>
          <w:rPr>
            <w:rFonts w:ascii="Cambria Math" w:hAnsi="Cambria Math"/>
            <w:sz w:val="20"/>
            <w:szCs w:val="20"/>
            <w:lang w:eastAsia="zh-CN"/>
          </w:rPr>
          <m:t>S</m:t>
        </m:r>
        <m:r>
          <m:rPr/>
          <w:rPr>
            <w:rFonts w:ascii="Cambria Math" w:hAnsi="Cambria Math" w:eastAsiaTheme="minorEastAsia"/>
            <w:sz w:val="20"/>
            <w:szCs w:val="20"/>
            <w:lang w:eastAsia="zh-CN"/>
          </w:rPr>
          <m:t>MI=</m:t>
        </m:r>
        <m:f>
          <m:fPr>
            <m:ctrlPr>
              <w:rPr>
                <w:rFonts w:ascii="Cambria Math" w:hAnsi="Cambria Math" w:eastAsiaTheme="minorEastAsia"/>
                <w:i/>
                <w:sz w:val="20"/>
                <w:szCs w:val="20"/>
                <w:lang w:eastAsia="zh-CN"/>
              </w:rPr>
            </m:ctrlPr>
          </m:fPr>
          <m:num>
            <m:r>
              <m:rPr/>
              <w:rPr>
                <w:rFonts w:ascii="Cambria Math" w:hAnsi="Cambria Math" w:eastAsiaTheme="minorEastAsia"/>
                <w:sz w:val="20"/>
                <w:szCs w:val="20"/>
                <w:lang w:eastAsia="zh-CN"/>
              </w:rPr>
              <m:t>1</m:t>
            </m:r>
            <m:ctrlPr>
              <w:rPr>
                <w:rFonts w:ascii="Cambria Math" w:hAnsi="Cambria Math" w:eastAsiaTheme="minorEastAsia"/>
                <w:i/>
                <w:sz w:val="20"/>
                <w:szCs w:val="20"/>
                <w:lang w:eastAsia="zh-CN"/>
              </w:rPr>
            </m:ctrlPr>
          </m:num>
          <m:den>
            <m:r>
              <m:rPr/>
              <w:rPr>
                <w:rFonts w:ascii="Cambria Math" w:hAnsi="Cambria Math" w:eastAsiaTheme="minorEastAsia"/>
                <w:sz w:val="20"/>
                <w:szCs w:val="20"/>
                <w:lang w:eastAsia="zh-CN"/>
              </w:rPr>
              <m:t>n</m:t>
            </m:r>
            <m:ctrlPr>
              <w:rPr>
                <w:rFonts w:ascii="Cambria Math" w:hAnsi="Cambria Math" w:eastAsiaTheme="minorEastAsia"/>
                <w:i/>
                <w:sz w:val="20"/>
                <w:szCs w:val="20"/>
                <w:lang w:eastAsia="zh-CN"/>
              </w:rPr>
            </m:ctrlPr>
          </m:den>
        </m:f>
        <m:nary>
          <m:naryPr>
            <m:chr m:val="∑"/>
            <m:limLoc m:val="undOvr"/>
            <m:ctrlPr>
              <w:rPr>
                <w:rFonts w:ascii="Cambria Math" w:hAnsi="Cambria Math" w:eastAsiaTheme="minorEastAsia"/>
                <w:i/>
                <w:sz w:val="20"/>
                <w:szCs w:val="20"/>
                <w:lang w:eastAsia="zh-CN"/>
              </w:rPr>
            </m:ctrlPr>
          </m:naryPr>
          <m:sub>
            <m:r>
              <m:rPr/>
              <w:rPr>
                <w:rFonts w:ascii="Cambria Math" w:hAnsi="Cambria Math" w:eastAsiaTheme="minorEastAsia"/>
                <w:sz w:val="20"/>
                <w:szCs w:val="20"/>
                <w:lang w:eastAsia="zh-CN"/>
              </w:rPr>
              <m:t>i=1</m:t>
            </m:r>
            <m:ctrlPr>
              <w:rPr>
                <w:rFonts w:ascii="Cambria Math" w:hAnsi="Cambria Math" w:eastAsiaTheme="minorEastAsia"/>
                <w:i/>
                <w:sz w:val="20"/>
                <w:szCs w:val="20"/>
                <w:lang w:eastAsia="zh-CN"/>
              </w:rPr>
            </m:ctrlPr>
          </m:sub>
          <m:sup>
            <m:r>
              <m:rPr/>
              <w:rPr>
                <w:rFonts w:ascii="Cambria Math" w:hAnsi="Cambria Math" w:eastAsiaTheme="minorEastAsia"/>
                <w:sz w:val="20"/>
                <w:szCs w:val="20"/>
                <w:lang w:eastAsia="zh-CN"/>
              </w:rPr>
              <m:t>n</m:t>
            </m:r>
            <m:ctrlPr>
              <w:rPr>
                <w:rFonts w:ascii="Cambria Math" w:hAnsi="Cambria Math" w:eastAsiaTheme="minorEastAsia"/>
                <w:i/>
                <w:sz w:val="20"/>
                <w:szCs w:val="20"/>
                <w:lang w:eastAsia="zh-CN"/>
              </w:rPr>
            </m:ctrlPr>
          </m:sup>
          <m:e>
            <m:d>
              <m:dPr>
                <m:begChr m:val="|"/>
                <m:endChr m:val="|"/>
                <m:ctrlPr>
                  <w:rPr>
                    <w:rFonts w:ascii="Cambria Math" w:hAnsi="Cambria Math" w:eastAsiaTheme="minorEastAsia"/>
                    <w:i/>
                    <w:sz w:val="20"/>
                    <w:szCs w:val="20"/>
                    <w:lang w:eastAsia="zh-CN"/>
                  </w:rPr>
                </m:ctrlPr>
              </m:dPr>
              <m:e>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SMI</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ctrlPr>
                  <w:rPr>
                    <w:rFonts w:ascii="Cambria Math" w:hAnsi="Cambria Math" w:eastAsiaTheme="minorEastAsia"/>
                    <w:i/>
                    <w:sz w:val="20"/>
                    <w:szCs w:val="20"/>
                    <w:lang w:eastAsia="zh-CN"/>
                  </w:rPr>
                </m:ctrlPr>
              </m:e>
            </m:d>
            <m:ctrlPr>
              <w:rPr>
                <w:rFonts w:ascii="Cambria Math" w:hAnsi="Cambria Math" w:eastAsiaTheme="minorEastAsia"/>
                <w:i/>
                <w:sz w:val="20"/>
                <w:szCs w:val="20"/>
                <w:lang w:eastAsia="zh-CN"/>
              </w:rPr>
            </m:ctrlPr>
          </m:e>
        </m:nary>
      </m:oMath>
      <w:r>
        <w:rPr>
          <w:sz w:val="20"/>
          <w:szCs w:val="20"/>
          <w:lang w:eastAsia="zh-CN"/>
        </w:rPr>
        <w:t xml:space="preserve">             </w:t>
      </w:r>
      <w:r>
        <w:rPr>
          <w:rFonts w:eastAsiaTheme="minorEastAsia"/>
          <w:sz w:val="20"/>
          <w:szCs w:val="20"/>
          <w:lang w:eastAsia="zh-CN"/>
        </w:rPr>
        <w:t xml:space="preserve"> </w:t>
      </w:r>
      <w:r>
        <w:rPr>
          <w:sz w:val="20"/>
          <w:szCs w:val="20"/>
          <w:lang w:eastAsia="zh-CN"/>
        </w:rPr>
        <w:t xml:space="preserve">    </w:t>
      </w:r>
      <w:r>
        <w:rPr>
          <w:rFonts w:eastAsiaTheme="minorEastAsia"/>
          <w:sz w:val="20"/>
          <w:szCs w:val="20"/>
          <w:lang w:eastAsia="zh-CN"/>
        </w:rPr>
        <w:t xml:space="preserve">   </w:t>
      </w:r>
      <w:r>
        <w:rPr>
          <w:sz w:val="20"/>
          <w:szCs w:val="20"/>
          <w:lang w:eastAsia="zh-CN"/>
        </w:rPr>
        <w:t xml:space="preserve">    </w:t>
      </w:r>
      <w:r>
        <w:rPr>
          <w:rFonts w:eastAsia="MS Mincho"/>
          <w:sz w:val="20"/>
          <w:szCs w:val="20"/>
          <w:lang w:eastAsia="zh-CN"/>
        </w:rPr>
        <w:t>（</w:t>
      </w:r>
      <w:r>
        <w:rPr>
          <w:sz w:val="20"/>
          <w:szCs w:val="20"/>
          <w:lang w:eastAsia="zh-CN"/>
        </w:rPr>
        <w:t>2</w:t>
      </w:r>
      <w:r>
        <w:rPr>
          <w:rFonts w:eastAsia="MS Mincho"/>
          <w:sz w:val="20"/>
          <w:szCs w:val="20"/>
          <w:lang w:eastAsia="zh-CN"/>
        </w:rPr>
        <w:t>）</w:t>
      </w:r>
    </w:p>
    <w:p w14:paraId="2958EBDE">
      <w:pPr>
        <w:pStyle w:val="69"/>
        <w:spacing w:before="0" w:line="240" w:lineRule="auto"/>
        <w:ind w:hanging="2"/>
        <w:rPr>
          <w:sz w:val="20"/>
          <w:szCs w:val="20"/>
          <w:lang w:eastAsia="zh-CN"/>
        </w:rPr>
      </w:pPr>
      <m:oMath>
        <m:sSub>
          <m:sSubPr>
            <m:ctrlPr>
              <w:rPr>
                <w:rFonts w:ascii="Cambria Math" w:hAnsi="Cambria Math"/>
                <w:i/>
                <w:sz w:val="20"/>
                <w:szCs w:val="20"/>
                <w:lang w:eastAsia="zh-CN"/>
              </w:rPr>
            </m:ctrlPr>
          </m:sSubPr>
          <m:e>
            <m:r>
              <m:rPr/>
              <w:rPr>
                <w:rFonts w:ascii="Cambria Math" w:hAnsi="Cambria Math"/>
                <w:sz w:val="20"/>
                <w:szCs w:val="20"/>
                <w:lang w:eastAsia="zh-CN"/>
              </w:rPr>
              <m:t>S</m:t>
            </m:r>
            <m:r>
              <m:rPr/>
              <w:rPr>
                <w:rFonts w:ascii="Cambria Math" w:hAnsi="Cambria Math" w:eastAsiaTheme="minorEastAsia"/>
                <w:sz w:val="20"/>
                <w:szCs w:val="20"/>
                <w:lang w:eastAsia="zh-CN"/>
              </w:rPr>
              <m:t>MI</m:t>
            </m:r>
            <m:ctrlPr>
              <w:rPr>
                <w:rFonts w:ascii="Cambria Math" w:hAnsi="Cambria Math"/>
                <w:i/>
                <w:sz w:val="20"/>
                <w:szCs w:val="20"/>
                <w:lang w:eastAsia="zh-CN"/>
              </w:rPr>
            </m:ctrlPr>
          </m:e>
          <m:sub>
            <m:r>
              <m:rPr/>
              <w:rPr>
                <w:rFonts w:ascii="Cambria Math" w:hAnsi="Cambria Math"/>
                <w:sz w:val="20"/>
                <w:szCs w:val="20"/>
                <w:lang w:eastAsia="zh-CN"/>
              </w:rPr>
              <m:t>i</m:t>
            </m:r>
            <m:ctrlPr>
              <w:rPr>
                <w:rFonts w:ascii="Cambria Math" w:hAnsi="Cambria Math"/>
                <w:i/>
                <w:sz w:val="20"/>
                <w:szCs w:val="20"/>
                <w:lang w:eastAsia="zh-CN"/>
              </w:rPr>
            </m:ctrlPr>
          </m:sub>
        </m:sSub>
        <m:r>
          <m:rPr/>
          <w:rPr>
            <w:rFonts w:ascii="Cambria Math" w:hAnsi="Cambria Math"/>
            <w:sz w:val="20"/>
            <w:szCs w:val="20"/>
            <w:lang w:eastAsia="zh-CN"/>
          </w:rPr>
          <m:t>=</m:t>
        </m:r>
        <m:f>
          <m:fPr>
            <m:ctrlPr>
              <w:rPr>
                <w:rFonts w:ascii="Cambria Math" w:hAnsi="Cambria Math" w:eastAsiaTheme="minorEastAsia"/>
                <w:i/>
                <w:sz w:val="20"/>
                <w:szCs w:val="20"/>
                <w:lang w:eastAsia="zh-CN"/>
              </w:rPr>
            </m:ctrlPr>
          </m:fPr>
          <m:num>
            <m:r>
              <m:rPr/>
              <w:rPr>
                <w:rFonts w:ascii="Cambria Math" w:hAnsi="Cambria Math" w:eastAsiaTheme="minorEastAsia"/>
                <w:sz w:val="20"/>
                <w:szCs w:val="20"/>
                <w:lang w:eastAsia="zh-CN"/>
              </w:rPr>
              <m:t>1</m:t>
            </m:r>
            <m:ctrlPr>
              <w:rPr>
                <w:rFonts w:ascii="Cambria Math" w:hAnsi="Cambria Math" w:eastAsiaTheme="minorEastAsia"/>
                <w:i/>
                <w:sz w:val="20"/>
                <w:szCs w:val="20"/>
                <w:lang w:eastAsia="zh-CN"/>
              </w:rPr>
            </m:ctrlPr>
          </m:num>
          <m:den>
            <m:r>
              <m:rPr/>
              <w:rPr>
                <w:rFonts w:ascii="Cambria Math" w:hAnsi="Cambria Math" w:eastAsiaTheme="minorEastAsia"/>
                <w:sz w:val="20"/>
                <w:szCs w:val="20"/>
                <w:lang w:eastAsia="zh-CN"/>
              </w:rPr>
              <m:t>2p</m:t>
            </m:r>
            <m:ctrlPr>
              <w:rPr>
                <w:rFonts w:ascii="Cambria Math" w:hAnsi="Cambria Math" w:eastAsiaTheme="minorEastAsia"/>
                <w:i/>
                <w:sz w:val="20"/>
                <w:szCs w:val="20"/>
                <w:lang w:eastAsia="zh-CN"/>
              </w:rPr>
            </m:ctrlPr>
          </m:den>
        </m:f>
        <m:r>
          <m:rPr/>
          <w:rPr>
            <w:rFonts w:ascii="Cambria Math" w:hAnsi="Cambria Math" w:eastAsiaTheme="minorEastAsia"/>
            <w:sz w:val="20"/>
            <w:szCs w:val="20"/>
            <w:lang w:eastAsia="zh-CN"/>
          </w:rPr>
          <m:t>×(</m:t>
        </m:r>
        <m:f>
          <m:fPr>
            <m:ctrlPr>
              <w:rPr>
                <w:rFonts w:ascii="Cambria Math" w:hAnsi="Cambria Math" w:eastAsiaTheme="minorEastAsia"/>
                <w:i/>
                <w:sz w:val="20"/>
                <w:szCs w:val="20"/>
                <w:lang w:eastAsia="zh-CN"/>
              </w:rPr>
            </m:ctrlPr>
          </m:fPr>
          <m:num>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A</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ctrlPr>
              <w:rPr>
                <w:rFonts w:ascii="Cambria Math" w:hAnsi="Cambria Math" w:eastAsiaTheme="minorEastAsia"/>
                <w:i/>
                <w:sz w:val="20"/>
                <w:szCs w:val="20"/>
                <w:lang w:eastAsia="zh-CN"/>
              </w:rPr>
            </m:ctrlPr>
          </m:num>
          <m:den>
            <m:r>
              <m:rPr/>
              <w:rPr>
                <w:rFonts w:ascii="Cambria Math" w:hAnsi="Cambria Math" w:eastAsiaTheme="minorEastAsia"/>
                <w:sz w:val="20"/>
                <w:szCs w:val="20"/>
                <w:lang w:eastAsia="zh-CN"/>
              </w:rPr>
              <m:t>A</m:t>
            </m:r>
            <m:ctrlPr>
              <w:rPr>
                <w:rFonts w:ascii="Cambria Math" w:hAnsi="Cambria Math" w:eastAsiaTheme="minorEastAsia"/>
                <w:i/>
                <w:sz w:val="20"/>
                <w:szCs w:val="20"/>
                <w:lang w:eastAsia="zh-CN"/>
              </w:rPr>
            </m:ctrlPr>
          </m:den>
        </m:f>
        <m:r>
          <m:rPr/>
          <w:rPr>
            <w:rFonts w:ascii="Cambria Math" w:hAnsi="Cambria Math" w:eastAsiaTheme="minorEastAsia"/>
            <w:sz w:val="20"/>
            <w:szCs w:val="20"/>
            <w:lang w:eastAsia="zh-CN"/>
          </w:rPr>
          <m:t>×P−</m:t>
        </m:r>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P</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r>
          <m:rPr/>
          <w:rPr>
            <w:rFonts w:ascii="Cambria Math" w:hAnsi="Cambria Math" w:eastAsiaTheme="minorEastAsia"/>
            <w:sz w:val="20"/>
            <w:szCs w:val="20"/>
            <w:lang w:eastAsia="zh-CN"/>
          </w:rPr>
          <m:t>)</m:t>
        </m:r>
      </m:oMath>
      <w:r>
        <w:rPr>
          <w:sz w:val="20"/>
          <w:szCs w:val="20"/>
          <w:lang w:eastAsia="zh-CN"/>
        </w:rPr>
        <w:t xml:space="preserve">   </w:t>
      </w:r>
      <w:r>
        <w:rPr>
          <w:rFonts w:eastAsiaTheme="minorEastAsia"/>
          <w:sz w:val="20"/>
          <w:szCs w:val="20"/>
          <w:lang w:eastAsia="zh-CN"/>
        </w:rPr>
        <w:t xml:space="preserve">       </w:t>
      </w:r>
      <w:r>
        <w:rPr>
          <w:sz w:val="20"/>
          <w:szCs w:val="20"/>
          <w:lang w:eastAsia="zh-CN"/>
        </w:rPr>
        <w:t xml:space="preserve">     </w:t>
      </w:r>
      <w:r>
        <w:rPr>
          <w:rFonts w:hint="eastAsia" w:ascii="MS Mincho" w:hAnsi="MS Mincho" w:eastAsia="MS Mincho" w:cs="MS Mincho"/>
          <w:sz w:val="20"/>
          <w:szCs w:val="20"/>
          <w:lang w:eastAsia="zh-CN"/>
        </w:rPr>
        <w:t>（</w:t>
      </w:r>
      <w:r>
        <w:rPr>
          <w:sz w:val="20"/>
          <w:szCs w:val="20"/>
          <w:lang w:eastAsia="zh-CN"/>
        </w:rPr>
        <w:t>3</w:t>
      </w:r>
      <w:r>
        <w:rPr>
          <w:rFonts w:hint="eastAsia" w:ascii="MS Mincho" w:hAnsi="MS Mincho" w:eastAsia="MS Mincho" w:cs="MS Mincho"/>
          <w:sz w:val="20"/>
          <w:szCs w:val="20"/>
          <w:lang w:eastAsia="zh-CN"/>
        </w:rPr>
        <w:t>）</w:t>
      </w:r>
    </w:p>
    <w:p w14:paraId="535D788B">
      <w:pPr>
        <w:pStyle w:val="58"/>
        <w:spacing w:line="240" w:lineRule="auto"/>
        <w:ind w:hanging="2"/>
        <w:jc w:val="both"/>
        <w:rPr>
          <w:lang w:eastAsia="zh-CN"/>
        </w:rPr>
      </w:pPr>
      <w:r>
        <w:rPr>
          <w:lang w:eastAsia="zh-CN"/>
        </w:rPr>
        <w:t xml:space="preserve">where </w:t>
      </w:r>
      <m:oMath>
        <m:sSub>
          <m:sSubPr>
            <m:ctrlPr>
              <w:rPr>
                <w:rFonts w:ascii="Cambria Math" w:hAnsi="Cambria Math"/>
                <w:i/>
                <w:sz w:val="20"/>
                <w:szCs w:val="20"/>
                <w:lang w:eastAsia="zh-CN"/>
              </w:rPr>
            </m:ctrlPr>
          </m:sSubPr>
          <m:e>
            <m:r>
              <m:rPr/>
              <w:rPr>
                <w:rFonts w:ascii="Cambria Math" w:hAnsi="Cambria Math"/>
                <w:sz w:val="20"/>
                <w:szCs w:val="20"/>
                <w:lang w:eastAsia="zh-CN"/>
              </w:rPr>
              <m:t>S</m:t>
            </m:r>
            <m:r>
              <m:rPr/>
              <w:rPr>
                <w:rFonts w:ascii="Cambria Math" w:hAnsi="Cambria Math" w:eastAsiaTheme="minorEastAsia"/>
                <w:sz w:val="20"/>
                <w:szCs w:val="20"/>
                <w:lang w:eastAsia="zh-CN"/>
              </w:rPr>
              <m:t>MI</m:t>
            </m:r>
            <m:ctrlPr>
              <w:rPr>
                <w:rFonts w:ascii="Cambria Math" w:hAnsi="Cambria Math"/>
                <w:i/>
                <w:sz w:val="20"/>
                <w:szCs w:val="20"/>
                <w:lang w:eastAsia="zh-CN"/>
              </w:rPr>
            </m:ctrlPr>
          </m:e>
          <m:sub>
            <m:r>
              <m:rPr/>
              <w:rPr>
                <w:rFonts w:ascii="Cambria Math" w:hAnsi="Cambria Math"/>
                <w:sz w:val="20"/>
                <w:szCs w:val="20"/>
                <w:lang w:eastAsia="zh-CN"/>
              </w:rPr>
              <m:t>i</m:t>
            </m:r>
            <m:ctrlPr>
              <w:rPr>
                <w:rFonts w:ascii="Cambria Math" w:hAnsi="Cambria Math"/>
                <w:i/>
                <w:sz w:val="20"/>
                <w:szCs w:val="20"/>
                <w:lang w:eastAsia="zh-CN"/>
              </w:rPr>
            </m:ctrlPr>
          </m:sub>
        </m:sSub>
      </m:oMath>
      <w:r>
        <w:rPr>
          <w:rFonts w:eastAsia="Calibri"/>
          <w:lang w:eastAsia="zh-CN"/>
        </w:rPr>
        <w:t>​</w:t>
      </w:r>
      <w:r>
        <w:rPr>
          <w:lang w:eastAsia="zh-CN"/>
        </w:rPr>
        <w:t xml:space="preserve"> measures the degree of spatial dislocation for city </w:t>
      </w:r>
      <w:r>
        <w:rPr>
          <w:i/>
          <w:iCs/>
          <w:lang w:eastAsia="zh-CN"/>
        </w:rPr>
        <w:t>i</w:t>
      </w:r>
      <w:r>
        <w:rPr>
          <w:lang w:eastAsia="zh-CN"/>
        </w:rPr>
        <w:t xml:space="preserve">. Here, </w:t>
      </w:r>
      <m:oMath>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A</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oMath>
      <w:r>
        <w:rPr>
          <w:rFonts w:eastAsia="Calibri"/>
          <w:lang w:eastAsia="zh-CN"/>
        </w:rPr>
        <w:t>​</w:t>
      </w:r>
      <w:r>
        <w:rPr>
          <w:lang w:eastAsia="zh-CN"/>
        </w:rPr>
        <w:t xml:space="preserve"> is the comprehensive tourism output score for city </w:t>
      </w:r>
      <w:r>
        <w:rPr>
          <w:i/>
          <w:iCs/>
          <w:lang w:eastAsia="zh-CN"/>
        </w:rPr>
        <w:t>i</w:t>
      </w:r>
      <w:r>
        <w:rPr>
          <w:lang w:eastAsia="zh-CN"/>
        </w:rPr>
        <w:t xml:space="preserve">, </w:t>
      </w:r>
      <w:r>
        <w:rPr>
          <w:i/>
          <w:iCs/>
          <w:lang w:eastAsia="zh-CN"/>
        </w:rPr>
        <w:t>A</w:t>
      </w:r>
      <w:r>
        <w:rPr>
          <w:lang w:eastAsia="zh-CN"/>
        </w:rPr>
        <w:t xml:space="preserve"> is the aggregate output score for Shanxi, </w:t>
      </w:r>
      <m:oMath>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P</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oMath>
      <w:r>
        <w:rPr>
          <w:rFonts w:eastAsia="Calibri"/>
          <w:lang w:eastAsia="zh-CN"/>
        </w:rPr>
        <w:t>​</w:t>
      </w:r>
      <w:r>
        <w:rPr>
          <w:lang w:eastAsia="zh-CN"/>
        </w:rPr>
        <w:t xml:space="preserve"> is the tourism input score for city </w:t>
      </w:r>
      <w:r>
        <w:rPr>
          <w:i/>
          <w:iCs/>
          <w:lang w:eastAsia="zh-CN"/>
        </w:rPr>
        <w:t>i</w:t>
      </w:r>
      <w:r>
        <w:rPr>
          <w:lang w:eastAsia="zh-CN"/>
        </w:rPr>
        <w:t xml:space="preserve"> (or for a specific input dimension), and </w:t>
      </w:r>
      <m:oMath>
        <m:sSub>
          <m:sSubPr>
            <m:ctrlPr>
              <w:rPr>
                <w:rFonts w:ascii="Cambria Math" w:hAnsi="Cambria Math" w:eastAsiaTheme="minorEastAsia"/>
                <w:i/>
                <w:sz w:val="20"/>
                <w:szCs w:val="20"/>
                <w:lang w:eastAsia="zh-CN"/>
              </w:rPr>
            </m:ctrlPr>
          </m:sSubPr>
          <m:e>
            <m:r>
              <m:rPr/>
              <w:rPr>
                <w:rFonts w:ascii="Cambria Math" w:hAnsi="Cambria Math" w:eastAsiaTheme="minorEastAsia"/>
                <w:sz w:val="20"/>
                <w:szCs w:val="20"/>
                <w:lang w:eastAsia="zh-CN"/>
              </w:rPr>
              <m:t>P</m:t>
            </m:r>
            <m:ctrlPr>
              <w:rPr>
                <w:rFonts w:ascii="Cambria Math" w:hAnsi="Cambria Math" w:eastAsiaTheme="minorEastAsia"/>
                <w:i/>
                <w:sz w:val="20"/>
                <w:szCs w:val="20"/>
                <w:lang w:eastAsia="zh-CN"/>
              </w:rPr>
            </m:ctrlPr>
          </m:e>
          <m:sub>
            <m:r>
              <m:rPr/>
              <w:rPr>
                <w:rFonts w:ascii="Cambria Math" w:hAnsi="Cambria Math" w:eastAsiaTheme="minorEastAsia"/>
                <w:sz w:val="20"/>
                <w:szCs w:val="20"/>
                <w:lang w:eastAsia="zh-CN"/>
              </w:rPr>
              <m:t>i</m:t>
            </m:r>
            <m:ctrlPr>
              <w:rPr>
                <w:rFonts w:ascii="Cambria Math" w:hAnsi="Cambria Math" w:eastAsiaTheme="minorEastAsia"/>
                <w:i/>
                <w:sz w:val="20"/>
                <w:szCs w:val="20"/>
                <w:lang w:eastAsia="zh-CN"/>
              </w:rPr>
            </m:ctrlPr>
          </m:sub>
        </m:sSub>
      </m:oMath>
      <w:r>
        <w:rPr>
          <w:lang w:eastAsia="zh-CN"/>
        </w:rPr>
        <w:t xml:space="preserve"> denotes the corresponding provincial total.</w:t>
      </w:r>
    </w:p>
    <w:p w14:paraId="43E63E9E">
      <w:pPr>
        <w:pStyle w:val="58"/>
        <w:spacing w:line="240" w:lineRule="auto"/>
        <w:ind w:firstLine="851"/>
        <w:jc w:val="both"/>
        <w:rPr>
          <w:lang w:eastAsia="zh-CN"/>
        </w:rPr>
      </w:pPr>
      <w:r>
        <w:rPr>
          <w:lang w:eastAsia="zh-CN"/>
        </w:rPr>
        <w:t xml:space="preserve">A higher SMI or </w:t>
      </w:r>
      <m:oMath>
        <m:sSub>
          <m:sSubPr>
            <m:ctrlPr>
              <w:rPr>
                <w:rFonts w:ascii="Cambria Math" w:hAnsi="Cambria Math"/>
                <w:i/>
                <w:sz w:val="20"/>
                <w:szCs w:val="20"/>
                <w:lang w:eastAsia="zh-CN"/>
              </w:rPr>
            </m:ctrlPr>
          </m:sSubPr>
          <m:e>
            <m:r>
              <m:rPr/>
              <w:rPr>
                <w:rFonts w:ascii="Cambria Math" w:hAnsi="Cambria Math"/>
                <w:sz w:val="20"/>
                <w:szCs w:val="20"/>
                <w:lang w:eastAsia="zh-CN"/>
              </w:rPr>
              <m:t>S</m:t>
            </m:r>
            <m:r>
              <m:rPr/>
              <w:rPr>
                <w:rFonts w:ascii="Cambria Math" w:hAnsi="Cambria Math" w:eastAsiaTheme="minorEastAsia"/>
                <w:sz w:val="20"/>
                <w:szCs w:val="20"/>
                <w:lang w:eastAsia="zh-CN"/>
              </w:rPr>
              <m:t>MI</m:t>
            </m:r>
            <m:ctrlPr>
              <w:rPr>
                <w:rFonts w:ascii="Cambria Math" w:hAnsi="Cambria Math"/>
                <w:i/>
                <w:sz w:val="20"/>
                <w:szCs w:val="20"/>
                <w:lang w:eastAsia="zh-CN"/>
              </w:rPr>
            </m:ctrlPr>
          </m:e>
          <m:sub>
            <m:r>
              <m:rPr/>
              <w:rPr>
                <w:rFonts w:ascii="Cambria Math" w:hAnsi="Cambria Math"/>
                <w:sz w:val="20"/>
                <w:szCs w:val="20"/>
                <w:lang w:eastAsia="zh-CN"/>
              </w:rPr>
              <m:t>i</m:t>
            </m:r>
            <m:ctrlPr>
              <w:rPr>
                <w:rFonts w:ascii="Cambria Math" w:hAnsi="Cambria Math"/>
                <w:i/>
                <w:sz w:val="20"/>
                <w:szCs w:val="20"/>
                <w:lang w:eastAsia="zh-CN"/>
              </w:rPr>
            </m:ctrlPr>
          </m:sub>
        </m:sSub>
      </m:oMath>
      <w:r>
        <w:rPr>
          <w:lang w:eastAsia="zh-CN"/>
        </w:rPr>
        <w:t xml:space="preserve"> value indicates a greater misalignment between tourism inputs and outputs, signaling inefficiencies in spatial distribution that warrant policy intervention. Conversely, lower values imply more balanced development. A positive SMI suggests outputs exceed input levels pointing to advanced output performance while a negative value signals that tourism outputs lag behind the level of investment.</w:t>
      </w:r>
    </w:p>
    <w:p w14:paraId="72FD103B">
      <w:pPr>
        <w:pStyle w:val="58"/>
        <w:spacing w:line="240" w:lineRule="auto"/>
        <w:ind w:hanging="2"/>
        <w:rPr>
          <w:lang w:eastAsia="zh-CN"/>
        </w:rPr>
      </w:pPr>
    </w:p>
    <w:p w14:paraId="7164A9A8">
      <w:pPr>
        <w:pStyle w:val="58"/>
        <w:numPr>
          <w:ilvl w:val="0"/>
          <w:numId w:val="3"/>
        </w:numPr>
        <w:spacing w:line="240" w:lineRule="auto"/>
        <w:jc w:val="both"/>
        <w:rPr>
          <w:rFonts w:eastAsia="Trebuchet MS"/>
          <w:lang w:eastAsia="en-US"/>
        </w:rPr>
      </w:pPr>
      <w:r>
        <w:rPr>
          <w:rFonts w:eastAsia="Trebuchet MS"/>
          <w:b/>
          <w:bCs/>
          <w:lang w:eastAsia="en-US"/>
        </w:rPr>
        <w:t>Spatial Econometric Model</w:t>
      </w:r>
    </w:p>
    <w:p w14:paraId="3DCD868C">
      <w:pPr>
        <w:pStyle w:val="58"/>
        <w:spacing w:line="240" w:lineRule="auto"/>
        <w:ind w:hanging="2"/>
        <w:jc w:val="both"/>
        <w:rPr>
          <w:rFonts w:eastAsia="Trebuchet MS"/>
          <w:lang w:eastAsia="en-US"/>
        </w:rPr>
      </w:pPr>
      <w:r>
        <w:rPr>
          <w:rFonts w:eastAsia="Trebuchet MS"/>
          <w:lang w:eastAsia="en-US"/>
        </w:rPr>
        <w:t>Given the inherent spatial interdependence within tourism systems, spatial econometric models are well suited to examine the determinants of rationality in tourism spatial structures. Spatial dependencies and spillover effects often shape how tourism investments translate into outcomes, making these models particularly valuable. Widely used formulations including the Spatial Lag Model (SLM), Spatial Error Model (SEM), and Spatial Autoregressive Model (SAR) allow for robust estimation that accounts for these spatial interactions (Shazhad and Aruga, 2024; Gyódi and Nawaro, 2021).</w:t>
      </w:r>
    </w:p>
    <w:p w14:paraId="10AF6DB9">
      <w:pPr>
        <w:pStyle w:val="58"/>
        <w:spacing w:line="240" w:lineRule="auto"/>
        <w:ind w:firstLine="851"/>
        <w:jc w:val="both"/>
        <w:rPr>
          <w:rFonts w:eastAsia="Trebuchet MS"/>
          <w:lang w:eastAsia="en-US"/>
        </w:rPr>
      </w:pPr>
      <w:r>
        <w:rPr>
          <w:rFonts w:eastAsia="Trebuchet MS"/>
          <w:lang w:eastAsia="en-US"/>
        </w:rPr>
        <w:t>Through this integrated use of input-output analysis, mismatch diagnostics, and spatial econometric modeling, the study provides a rigorous basis for understanding the strengths and weaknesses of Shanxi’s tourism-driven economic development and offers empirical insights to inform more balanced policy interventions.</w:t>
      </w:r>
    </w:p>
    <w:p w14:paraId="351102E9">
      <w:pPr>
        <w:pStyle w:val="58"/>
        <w:spacing w:line="240" w:lineRule="auto"/>
        <w:ind w:hanging="2"/>
        <w:jc w:val="both"/>
      </w:pPr>
    </w:p>
    <w:p w14:paraId="15287885">
      <w:pPr>
        <w:pStyle w:val="11"/>
        <w:ind w:hanging="2"/>
        <w:jc w:val="both"/>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Results and discussion</w:t>
      </w:r>
    </w:p>
    <w:p w14:paraId="32644ECE">
      <w:pPr>
        <w:pStyle w:val="11"/>
        <w:ind w:hanging="2"/>
        <w:jc w:val="both"/>
        <w:rPr>
          <w:rFonts w:ascii="Times New Roman" w:hAnsi="Times New Roman" w:cs="Times New Roman"/>
          <w:sz w:val="24"/>
          <w:szCs w:val="24"/>
          <w:lang w:val="en-GB"/>
        </w:rPr>
      </w:pPr>
    </w:p>
    <w:p w14:paraId="4CA43AEA">
      <w:pPr>
        <w:pStyle w:val="11"/>
        <w:jc w:val="both"/>
        <w:rPr>
          <w:rFonts w:ascii="Times New Roman" w:hAnsi="Times New Roman" w:cs="Times New Roman"/>
          <w:sz w:val="24"/>
          <w:szCs w:val="24"/>
          <w:lang w:val="en-GB"/>
        </w:rPr>
      </w:pPr>
      <w:r>
        <w:rPr>
          <w:rFonts w:ascii="Times New Roman" w:hAnsi="Times New Roman" w:cs="Times New Roman"/>
          <w:sz w:val="24"/>
          <w:szCs w:val="24"/>
          <w:lang w:val="en-GB"/>
        </w:rPr>
        <w:t>As detailed in Table 2, Taiyuan emerges in Group A, contributing 34.3% of Shanxi’s total comprehensive input score. As the provincial capital, Taiyuan benefits from its robust foundation in technology, education, culture, healthcare, and an extensive transportation network, which collectively position it as the primary locus of tourism-related inputs within the province.</w:t>
      </w:r>
    </w:p>
    <w:p w14:paraId="7A52A79A">
      <w:pPr>
        <w:pStyle w:val="11"/>
        <w:ind w:firstLine="851"/>
        <w:jc w:val="both"/>
        <w:rPr>
          <w:rFonts w:ascii="Times New Roman" w:hAnsi="Times New Roman" w:cs="Times New Roman"/>
          <w:sz w:val="24"/>
          <w:szCs w:val="24"/>
          <w:lang w:val="en-GB"/>
        </w:rPr>
      </w:pPr>
      <w:r>
        <w:rPr>
          <w:rFonts w:ascii="Times New Roman" w:hAnsi="Times New Roman" w:cs="Times New Roman"/>
          <w:sz w:val="24"/>
          <w:szCs w:val="24"/>
          <w:lang w:val="en-GB"/>
        </w:rPr>
        <w:t>Jinzhong, classified in Group B, ranks second overall. Its advantageous proximity to Taiyuan and the capital’s pronounced diffusion effects have strengthened Jinzhong’s regional integration, spurring closer intercity collaboration that further boosts its tourism investment capacity. Group C comprises Datong, Changzhi, Yuncheng, and Linfen, cities that display mixed performance across key input dimensions. For example, Datong ranks second provincially for transportation accessibility, yet its moderate scores in other input factors constrain its overall standing. In Group D, Jincheng, Xinzhou, and Lvliang record comparatively lower levels of tourism industry input, reflecting gaps in infrastructure or supporting resources that limit their competitive position. Finally, Yangquan and Shuozhou fall into Group E, registering the lowest input scores in the province. Although these cities maintain moderate performance in aspects such as economic foundations and environmental stewardship, deficits in other critical input areas dampen their overall potential for tourism-driven growth.</w:t>
      </w:r>
    </w:p>
    <w:p w14:paraId="4FF4C8F6">
      <w:pPr>
        <w:pStyle w:val="11"/>
        <w:ind w:hanging="2"/>
        <w:jc w:val="both"/>
        <w:rPr>
          <w:rFonts w:ascii="Times New Roman" w:hAnsi="Times New Roman" w:cs="Times New Roman"/>
          <w:b/>
          <w:w w:val="85"/>
          <w:lang w:val="en-GB"/>
        </w:rPr>
      </w:pPr>
    </w:p>
    <w:p w14:paraId="7CCE75AE">
      <w:pPr>
        <w:ind w:left="0" w:hanging="2"/>
        <w:jc w:val="center"/>
        <w:rPr>
          <w:rFonts w:ascii="Times New Roman" w:hAnsi="Times New Roman" w:cs="Times New Roman"/>
          <w:sz w:val="24"/>
          <w:szCs w:val="24"/>
        </w:rPr>
      </w:pPr>
      <w:r>
        <w:rPr>
          <w:rFonts w:ascii="Times New Roman" w:hAnsi="Times New Roman" w:cs="Times New Roman"/>
          <w:b/>
          <w:bCs/>
          <w:sz w:val="24"/>
          <w:szCs w:val="24"/>
        </w:rPr>
        <w:t>Table 2.</w:t>
      </w:r>
      <w:r>
        <w:rPr>
          <w:rFonts w:ascii="Times New Roman" w:hAnsi="Times New Roman" w:cs="Times New Roman"/>
          <w:sz w:val="24"/>
          <w:szCs w:val="24"/>
        </w:rPr>
        <w:t xml:space="preserve"> Descriptive statistics of Tourism industry input and comprehensive scores of each dimension in cities in Shanxi</w:t>
      </w:r>
    </w:p>
    <w:tbl>
      <w:tblPr>
        <w:tblStyle w:val="9"/>
        <w:tblW w:w="4745" w:type="pct"/>
        <w:jc w:val="center"/>
        <w:tblBorders>
          <w:top w:val="single" w:color="auto" w:sz="8" w:space="0"/>
          <w:left w:val="none" w:color="auto" w:sz="6" w:space="0"/>
          <w:bottom w:val="single" w:color="auto" w:sz="8" w:space="0"/>
          <w:right w:val="none"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1308"/>
        <w:gridCol w:w="829"/>
        <w:gridCol w:w="865"/>
        <w:gridCol w:w="866"/>
        <w:gridCol w:w="874"/>
        <w:gridCol w:w="798"/>
        <w:gridCol w:w="961"/>
        <w:gridCol w:w="874"/>
        <w:gridCol w:w="896"/>
      </w:tblGrid>
      <w:tr w14:paraId="0E3731BB">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vMerge w:val="restart"/>
            <w:tcBorders>
              <w:top w:val="single" w:color="auto" w:sz="8" w:space="0"/>
              <w:left w:val="nil"/>
              <w:bottom w:val="nil"/>
              <w:right w:val="nil"/>
            </w:tcBorders>
            <w:shd w:val="clear" w:color="auto" w:fill="B8CCE4" w:themeFill="accent1" w:themeFillTint="66"/>
            <w:vAlign w:val="center"/>
          </w:tcPr>
          <w:p w14:paraId="17859F2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City</w:t>
            </w:r>
          </w:p>
        </w:tc>
        <w:tc>
          <w:tcPr>
            <w:tcW w:w="1024" w:type="pct"/>
            <w:gridSpan w:val="2"/>
            <w:tcBorders>
              <w:top w:val="single" w:color="auto" w:sz="4" w:space="0"/>
              <w:left w:val="nil"/>
              <w:bottom w:val="nil"/>
              <w:right w:val="nil"/>
            </w:tcBorders>
            <w:shd w:val="clear" w:color="auto" w:fill="B8CCE4" w:themeFill="accent1" w:themeFillTint="66"/>
            <w:vAlign w:val="center"/>
          </w:tcPr>
          <w:p w14:paraId="7C3685D5">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Input</w:t>
            </w:r>
          </w:p>
        </w:tc>
        <w:tc>
          <w:tcPr>
            <w:tcW w:w="524" w:type="pct"/>
            <w:tcBorders>
              <w:top w:val="single" w:color="auto" w:sz="4" w:space="0"/>
              <w:left w:val="nil"/>
              <w:bottom w:val="nil"/>
              <w:right w:val="nil"/>
            </w:tcBorders>
            <w:shd w:val="clear" w:color="auto" w:fill="B8CCE4" w:themeFill="accent1" w:themeFillTint="66"/>
            <w:vAlign w:val="center"/>
          </w:tcPr>
          <w:p w14:paraId="52B93C35">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B1</w:t>
            </w:r>
          </w:p>
        </w:tc>
        <w:tc>
          <w:tcPr>
            <w:tcW w:w="528" w:type="pct"/>
            <w:tcBorders>
              <w:top w:val="single" w:color="auto" w:sz="4" w:space="0"/>
              <w:left w:val="nil"/>
              <w:bottom w:val="nil"/>
              <w:right w:val="nil"/>
            </w:tcBorders>
            <w:shd w:val="clear" w:color="auto" w:fill="B8CCE4" w:themeFill="accent1" w:themeFillTint="66"/>
            <w:vAlign w:val="center"/>
          </w:tcPr>
          <w:p w14:paraId="27479299">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B2</w:t>
            </w:r>
          </w:p>
        </w:tc>
        <w:tc>
          <w:tcPr>
            <w:tcW w:w="482" w:type="pct"/>
            <w:tcBorders>
              <w:top w:val="single" w:color="auto" w:sz="4" w:space="0"/>
              <w:left w:val="nil"/>
              <w:bottom w:val="nil"/>
              <w:right w:val="nil"/>
            </w:tcBorders>
            <w:shd w:val="clear" w:color="auto" w:fill="B8CCE4" w:themeFill="accent1" w:themeFillTint="66"/>
            <w:vAlign w:val="center"/>
          </w:tcPr>
          <w:p w14:paraId="7FCFCD26">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B3</w:t>
            </w:r>
          </w:p>
        </w:tc>
        <w:tc>
          <w:tcPr>
            <w:tcW w:w="581" w:type="pct"/>
            <w:tcBorders>
              <w:top w:val="single" w:color="auto" w:sz="4" w:space="0"/>
              <w:left w:val="nil"/>
              <w:bottom w:val="nil"/>
              <w:right w:val="nil"/>
            </w:tcBorders>
            <w:shd w:val="clear" w:color="auto" w:fill="B8CCE4" w:themeFill="accent1" w:themeFillTint="66"/>
            <w:vAlign w:val="center"/>
          </w:tcPr>
          <w:p w14:paraId="61FE1547">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B4</w:t>
            </w:r>
          </w:p>
        </w:tc>
        <w:tc>
          <w:tcPr>
            <w:tcW w:w="528" w:type="pct"/>
            <w:tcBorders>
              <w:top w:val="single" w:color="auto" w:sz="4" w:space="0"/>
              <w:left w:val="nil"/>
              <w:bottom w:val="nil"/>
              <w:right w:val="nil"/>
            </w:tcBorders>
            <w:shd w:val="clear" w:color="auto" w:fill="B8CCE4" w:themeFill="accent1" w:themeFillTint="66"/>
            <w:vAlign w:val="center"/>
          </w:tcPr>
          <w:p w14:paraId="6B8322F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B5</w:t>
            </w:r>
          </w:p>
        </w:tc>
        <w:tc>
          <w:tcPr>
            <w:tcW w:w="543" w:type="pct"/>
            <w:tcBorders>
              <w:top w:val="single" w:color="auto" w:sz="4" w:space="0"/>
              <w:left w:val="nil"/>
              <w:bottom w:val="nil"/>
              <w:right w:val="nil"/>
            </w:tcBorders>
            <w:shd w:val="clear" w:color="auto" w:fill="B8CCE4" w:themeFill="accent1" w:themeFillTint="66"/>
            <w:vAlign w:val="center"/>
          </w:tcPr>
          <w:p w14:paraId="20E1B706">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B6</w:t>
            </w:r>
          </w:p>
        </w:tc>
      </w:tr>
      <w:tr w14:paraId="058D8F35">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vMerge w:val="continue"/>
            <w:tcBorders>
              <w:top w:val="single" w:color="auto" w:sz="8" w:space="0"/>
              <w:left w:val="nil"/>
              <w:bottom w:val="nil"/>
              <w:right w:val="nil"/>
            </w:tcBorders>
            <w:shd w:val="clear" w:color="auto" w:fill="B8CCE4" w:themeFill="accent1" w:themeFillTint="66"/>
            <w:vAlign w:val="center"/>
          </w:tcPr>
          <w:p w14:paraId="767B9086">
            <w:pPr>
              <w:spacing w:after="0" w:line="240" w:lineRule="auto"/>
              <w:ind w:left="0" w:hanging="2"/>
              <w:rPr>
                <w:rFonts w:ascii="Times New Roman" w:hAnsi="Times New Roman" w:cs="Times New Roman"/>
                <w:sz w:val="24"/>
                <w:szCs w:val="24"/>
              </w:rPr>
            </w:pPr>
          </w:p>
        </w:tc>
        <w:tc>
          <w:tcPr>
            <w:tcW w:w="501" w:type="pct"/>
            <w:tcBorders>
              <w:top w:val="single" w:color="auto" w:sz="4" w:space="0"/>
              <w:left w:val="nil"/>
              <w:bottom w:val="nil"/>
              <w:right w:val="nil"/>
            </w:tcBorders>
            <w:shd w:val="clear" w:color="auto" w:fill="B8CCE4" w:themeFill="accent1" w:themeFillTint="66"/>
            <w:vAlign w:val="center"/>
          </w:tcPr>
          <w:p w14:paraId="7D644A5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Score</w:t>
            </w:r>
          </w:p>
        </w:tc>
        <w:tc>
          <w:tcPr>
            <w:tcW w:w="523" w:type="pct"/>
            <w:tcBorders>
              <w:top w:val="single" w:color="auto" w:sz="4" w:space="0"/>
              <w:left w:val="nil"/>
              <w:bottom w:val="nil"/>
              <w:right w:val="nil"/>
            </w:tcBorders>
            <w:shd w:val="clear" w:color="auto" w:fill="B8CCE4" w:themeFill="accent1" w:themeFillTint="66"/>
            <w:vAlign w:val="center"/>
          </w:tcPr>
          <w:p w14:paraId="0B8571A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Grade</w:t>
            </w:r>
          </w:p>
        </w:tc>
        <w:tc>
          <w:tcPr>
            <w:tcW w:w="524" w:type="pct"/>
            <w:tcBorders>
              <w:top w:val="single" w:color="auto" w:sz="4" w:space="0"/>
              <w:left w:val="nil"/>
              <w:bottom w:val="nil"/>
              <w:right w:val="nil"/>
            </w:tcBorders>
            <w:shd w:val="clear" w:color="auto" w:fill="B8CCE4" w:themeFill="accent1" w:themeFillTint="66"/>
            <w:vAlign w:val="center"/>
          </w:tcPr>
          <w:p w14:paraId="19650EF9">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Score</w:t>
            </w:r>
          </w:p>
        </w:tc>
        <w:tc>
          <w:tcPr>
            <w:tcW w:w="528" w:type="pct"/>
            <w:tcBorders>
              <w:top w:val="single" w:color="auto" w:sz="4" w:space="0"/>
              <w:left w:val="nil"/>
              <w:bottom w:val="nil"/>
              <w:right w:val="nil"/>
            </w:tcBorders>
            <w:shd w:val="clear" w:color="auto" w:fill="B8CCE4" w:themeFill="accent1" w:themeFillTint="66"/>
            <w:vAlign w:val="center"/>
          </w:tcPr>
          <w:p w14:paraId="54FC25F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Score</w:t>
            </w:r>
          </w:p>
        </w:tc>
        <w:tc>
          <w:tcPr>
            <w:tcW w:w="482" w:type="pct"/>
            <w:tcBorders>
              <w:top w:val="single" w:color="auto" w:sz="4" w:space="0"/>
              <w:left w:val="nil"/>
              <w:bottom w:val="nil"/>
              <w:right w:val="nil"/>
            </w:tcBorders>
            <w:shd w:val="clear" w:color="auto" w:fill="B8CCE4" w:themeFill="accent1" w:themeFillTint="66"/>
            <w:vAlign w:val="center"/>
          </w:tcPr>
          <w:p w14:paraId="684A82AC">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Score</w:t>
            </w:r>
          </w:p>
        </w:tc>
        <w:tc>
          <w:tcPr>
            <w:tcW w:w="581" w:type="pct"/>
            <w:tcBorders>
              <w:top w:val="single" w:color="auto" w:sz="4" w:space="0"/>
              <w:left w:val="nil"/>
              <w:bottom w:val="nil"/>
              <w:right w:val="nil"/>
            </w:tcBorders>
            <w:shd w:val="clear" w:color="auto" w:fill="B8CCE4" w:themeFill="accent1" w:themeFillTint="66"/>
            <w:vAlign w:val="center"/>
          </w:tcPr>
          <w:p w14:paraId="0D83F4ED">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Score</w:t>
            </w:r>
          </w:p>
        </w:tc>
        <w:tc>
          <w:tcPr>
            <w:tcW w:w="528" w:type="pct"/>
            <w:tcBorders>
              <w:top w:val="single" w:color="auto" w:sz="4" w:space="0"/>
              <w:left w:val="nil"/>
              <w:bottom w:val="nil"/>
              <w:right w:val="nil"/>
            </w:tcBorders>
            <w:shd w:val="clear" w:color="auto" w:fill="B8CCE4" w:themeFill="accent1" w:themeFillTint="66"/>
            <w:vAlign w:val="center"/>
          </w:tcPr>
          <w:p w14:paraId="1A57E5E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Score</w:t>
            </w:r>
          </w:p>
        </w:tc>
        <w:tc>
          <w:tcPr>
            <w:tcW w:w="543" w:type="pct"/>
            <w:tcBorders>
              <w:top w:val="single" w:color="auto" w:sz="4" w:space="0"/>
              <w:left w:val="nil"/>
              <w:bottom w:val="nil"/>
              <w:right w:val="nil"/>
            </w:tcBorders>
            <w:shd w:val="clear" w:color="auto" w:fill="B8CCE4" w:themeFill="accent1" w:themeFillTint="66"/>
            <w:vAlign w:val="center"/>
          </w:tcPr>
          <w:p w14:paraId="391C163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Score</w:t>
            </w:r>
          </w:p>
        </w:tc>
      </w:tr>
      <w:tr w14:paraId="3623221F">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22BB9975">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Taiyuan</w:t>
            </w:r>
          </w:p>
        </w:tc>
        <w:tc>
          <w:tcPr>
            <w:tcW w:w="501" w:type="pct"/>
            <w:tcBorders>
              <w:top w:val="single" w:color="auto" w:sz="4" w:space="0"/>
              <w:left w:val="nil"/>
              <w:bottom w:val="nil"/>
              <w:right w:val="nil"/>
            </w:tcBorders>
            <w:shd w:val="clear" w:color="auto" w:fill="auto"/>
            <w:vAlign w:val="center"/>
          </w:tcPr>
          <w:p w14:paraId="11FACFA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93.95</w:t>
            </w:r>
          </w:p>
        </w:tc>
        <w:tc>
          <w:tcPr>
            <w:tcW w:w="523" w:type="pct"/>
            <w:tcBorders>
              <w:top w:val="single" w:color="auto" w:sz="4" w:space="0"/>
              <w:left w:val="nil"/>
              <w:bottom w:val="nil"/>
              <w:right w:val="nil"/>
            </w:tcBorders>
            <w:shd w:val="clear" w:color="auto" w:fill="auto"/>
            <w:vAlign w:val="center"/>
          </w:tcPr>
          <w:p w14:paraId="5DFC412F">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A</w:t>
            </w:r>
          </w:p>
        </w:tc>
        <w:tc>
          <w:tcPr>
            <w:tcW w:w="524" w:type="pct"/>
            <w:tcBorders>
              <w:top w:val="single" w:color="auto" w:sz="4" w:space="0"/>
              <w:left w:val="nil"/>
              <w:bottom w:val="nil"/>
              <w:right w:val="nil"/>
            </w:tcBorders>
            <w:shd w:val="clear" w:color="auto" w:fill="auto"/>
            <w:vAlign w:val="center"/>
          </w:tcPr>
          <w:p w14:paraId="315D7EE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83.60</w:t>
            </w:r>
          </w:p>
        </w:tc>
        <w:tc>
          <w:tcPr>
            <w:tcW w:w="528" w:type="pct"/>
            <w:tcBorders>
              <w:top w:val="single" w:color="auto" w:sz="4" w:space="0"/>
              <w:left w:val="nil"/>
              <w:bottom w:val="nil"/>
              <w:right w:val="nil"/>
            </w:tcBorders>
            <w:shd w:val="clear" w:color="auto" w:fill="auto"/>
            <w:vAlign w:val="center"/>
          </w:tcPr>
          <w:p w14:paraId="6ADAC4D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98.41</w:t>
            </w:r>
          </w:p>
        </w:tc>
        <w:tc>
          <w:tcPr>
            <w:tcW w:w="482" w:type="pct"/>
            <w:tcBorders>
              <w:top w:val="single" w:color="auto" w:sz="4" w:space="0"/>
              <w:left w:val="nil"/>
              <w:bottom w:val="nil"/>
              <w:right w:val="nil"/>
            </w:tcBorders>
            <w:shd w:val="clear" w:color="auto" w:fill="auto"/>
            <w:vAlign w:val="center"/>
          </w:tcPr>
          <w:p w14:paraId="65BEC3F9">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98.90</w:t>
            </w:r>
          </w:p>
        </w:tc>
        <w:tc>
          <w:tcPr>
            <w:tcW w:w="581" w:type="pct"/>
            <w:tcBorders>
              <w:top w:val="single" w:color="auto" w:sz="4" w:space="0"/>
              <w:left w:val="nil"/>
              <w:bottom w:val="nil"/>
              <w:right w:val="nil"/>
            </w:tcBorders>
            <w:shd w:val="clear" w:color="auto" w:fill="auto"/>
            <w:vAlign w:val="center"/>
          </w:tcPr>
          <w:p w14:paraId="62710D2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86.62</w:t>
            </w:r>
          </w:p>
        </w:tc>
        <w:tc>
          <w:tcPr>
            <w:tcW w:w="528" w:type="pct"/>
            <w:tcBorders>
              <w:top w:val="single" w:color="auto" w:sz="4" w:space="0"/>
              <w:left w:val="nil"/>
              <w:bottom w:val="nil"/>
              <w:right w:val="nil"/>
            </w:tcBorders>
            <w:shd w:val="clear" w:color="auto" w:fill="auto"/>
            <w:vAlign w:val="center"/>
          </w:tcPr>
          <w:p w14:paraId="2611BDD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98.97</w:t>
            </w:r>
          </w:p>
        </w:tc>
        <w:tc>
          <w:tcPr>
            <w:tcW w:w="543" w:type="pct"/>
            <w:tcBorders>
              <w:top w:val="single" w:color="auto" w:sz="4" w:space="0"/>
              <w:left w:val="nil"/>
              <w:bottom w:val="nil"/>
              <w:right w:val="nil"/>
            </w:tcBorders>
            <w:shd w:val="clear" w:color="auto" w:fill="auto"/>
            <w:vAlign w:val="center"/>
          </w:tcPr>
          <w:p w14:paraId="11AD0846">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89.12</w:t>
            </w:r>
          </w:p>
        </w:tc>
      </w:tr>
      <w:tr w14:paraId="5FB95544">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7CE0DE0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Datang</w:t>
            </w:r>
          </w:p>
        </w:tc>
        <w:tc>
          <w:tcPr>
            <w:tcW w:w="501" w:type="pct"/>
            <w:tcBorders>
              <w:top w:val="nil"/>
              <w:left w:val="nil"/>
              <w:bottom w:val="nil"/>
              <w:right w:val="nil"/>
            </w:tcBorders>
            <w:shd w:val="clear" w:color="auto" w:fill="auto"/>
            <w:vAlign w:val="center"/>
          </w:tcPr>
          <w:p w14:paraId="59B34395">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20.63</w:t>
            </w:r>
          </w:p>
        </w:tc>
        <w:tc>
          <w:tcPr>
            <w:tcW w:w="523" w:type="pct"/>
            <w:tcBorders>
              <w:top w:val="nil"/>
              <w:left w:val="nil"/>
              <w:bottom w:val="nil"/>
              <w:right w:val="nil"/>
            </w:tcBorders>
            <w:shd w:val="clear" w:color="auto" w:fill="auto"/>
            <w:vAlign w:val="center"/>
          </w:tcPr>
          <w:p w14:paraId="4D348112">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C</w:t>
            </w:r>
          </w:p>
        </w:tc>
        <w:tc>
          <w:tcPr>
            <w:tcW w:w="524" w:type="pct"/>
            <w:tcBorders>
              <w:top w:val="nil"/>
              <w:left w:val="nil"/>
              <w:bottom w:val="nil"/>
              <w:right w:val="nil"/>
            </w:tcBorders>
            <w:shd w:val="clear" w:color="auto" w:fill="auto"/>
            <w:vAlign w:val="center"/>
          </w:tcPr>
          <w:p w14:paraId="7248767D">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47.25</w:t>
            </w:r>
          </w:p>
        </w:tc>
        <w:tc>
          <w:tcPr>
            <w:tcW w:w="528" w:type="pct"/>
            <w:tcBorders>
              <w:top w:val="nil"/>
              <w:left w:val="nil"/>
              <w:bottom w:val="nil"/>
              <w:right w:val="nil"/>
            </w:tcBorders>
            <w:shd w:val="clear" w:color="auto" w:fill="auto"/>
            <w:vAlign w:val="center"/>
          </w:tcPr>
          <w:p w14:paraId="60F68947">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28.78</w:t>
            </w:r>
          </w:p>
        </w:tc>
        <w:tc>
          <w:tcPr>
            <w:tcW w:w="482" w:type="pct"/>
            <w:tcBorders>
              <w:top w:val="nil"/>
              <w:left w:val="nil"/>
              <w:bottom w:val="nil"/>
              <w:right w:val="nil"/>
            </w:tcBorders>
            <w:shd w:val="clear" w:color="auto" w:fill="auto"/>
            <w:vAlign w:val="center"/>
          </w:tcPr>
          <w:p w14:paraId="6CFD49F9">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15.30</w:t>
            </w:r>
          </w:p>
        </w:tc>
        <w:tc>
          <w:tcPr>
            <w:tcW w:w="581" w:type="pct"/>
            <w:tcBorders>
              <w:top w:val="nil"/>
              <w:left w:val="nil"/>
              <w:bottom w:val="nil"/>
              <w:right w:val="nil"/>
            </w:tcBorders>
            <w:shd w:val="clear" w:color="auto" w:fill="auto"/>
            <w:vAlign w:val="center"/>
          </w:tcPr>
          <w:p w14:paraId="4C0BC5D9">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38.67</w:t>
            </w:r>
          </w:p>
        </w:tc>
        <w:tc>
          <w:tcPr>
            <w:tcW w:w="528" w:type="pct"/>
            <w:tcBorders>
              <w:top w:val="nil"/>
              <w:left w:val="nil"/>
              <w:bottom w:val="nil"/>
              <w:right w:val="nil"/>
            </w:tcBorders>
            <w:shd w:val="clear" w:color="auto" w:fill="auto"/>
            <w:vAlign w:val="center"/>
          </w:tcPr>
          <w:p w14:paraId="7AB2015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4.19</w:t>
            </w:r>
          </w:p>
        </w:tc>
        <w:tc>
          <w:tcPr>
            <w:tcW w:w="543" w:type="pct"/>
            <w:tcBorders>
              <w:top w:val="nil"/>
              <w:left w:val="nil"/>
              <w:bottom w:val="nil"/>
              <w:right w:val="nil"/>
            </w:tcBorders>
            <w:shd w:val="clear" w:color="auto" w:fill="auto"/>
            <w:vAlign w:val="center"/>
          </w:tcPr>
          <w:p w14:paraId="19EACCA3">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24.17</w:t>
            </w:r>
          </w:p>
        </w:tc>
      </w:tr>
      <w:tr w14:paraId="0D1A1FC4">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6408F98D">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Yangquan</w:t>
            </w:r>
          </w:p>
        </w:tc>
        <w:tc>
          <w:tcPr>
            <w:tcW w:w="501" w:type="pct"/>
            <w:tcBorders>
              <w:top w:val="nil"/>
              <w:left w:val="nil"/>
              <w:bottom w:val="nil"/>
              <w:right w:val="nil"/>
            </w:tcBorders>
            <w:shd w:val="clear" w:color="auto" w:fill="auto"/>
            <w:vAlign w:val="center"/>
          </w:tcPr>
          <w:p w14:paraId="475A8CFC">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9.17</w:t>
            </w:r>
          </w:p>
        </w:tc>
        <w:tc>
          <w:tcPr>
            <w:tcW w:w="523" w:type="pct"/>
            <w:tcBorders>
              <w:top w:val="nil"/>
              <w:left w:val="nil"/>
              <w:bottom w:val="nil"/>
              <w:right w:val="nil"/>
            </w:tcBorders>
            <w:shd w:val="clear" w:color="auto" w:fill="auto"/>
            <w:vAlign w:val="center"/>
          </w:tcPr>
          <w:p w14:paraId="77DF7590">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E</w:t>
            </w:r>
          </w:p>
        </w:tc>
        <w:tc>
          <w:tcPr>
            <w:tcW w:w="524" w:type="pct"/>
            <w:tcBorders>
              <w:top w:val="nil"/>
              <w:left w:val="nil"/>
              <w:bottom w:val="nil"/>
              <w:right w:val="nil"/>
            </w:tcBorders>
            <w:shd w:val="clear" w:color="auto" w:fill="auto"/>
            <w:vAlign w:val="center"/>
          </w:tcPr>
          <w:p w14:paraId="52AE033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13.33</w:t>
            </w:r>
          </w:p>
        </w:tc>
        <w:tc>
          <w:tcPr>
            <w:tcW w:w="528" w:type="pct"/>
            <w:tcBorders>
              <w:top w:val="nil"/>
              <w:left w:val="nil"/>
              <w:bottom w:val="nil"/>
              <w:right w:val="nil"/>
            </w:tcBorders>
            <w:shd w:val="clear" w:color="auto" w:fill="auto"/>
            <w:vAlign w:val="center"/>
          </w:tcPr>
          <w:p w14:paraId="78BEDA4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30.66</w:t>
            </w:r>
          </w:p>
        </w:tc>
        <w:tc>
          <w:tcPr>
            <w:tcW w:w="482" w:type="pct"/>
            <w:tcBorders>
              <w:top w:val="nil"/>
              <w:left w:val="nil"/>
              <w:bottom w:val="nil"/>
              <w:right w:val="nil"/>
            </w:tcBorders>
            <w:shd w:val="clear" w:color="auto" w:fill="auto"/>
            <w:vAlign w:val="center"/>
          </w:tcPr>
          <w:p w14:paraId="4CC7D810">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1.61</w:t>
            </w:r>
          </w:p>
        </w:tc>
        <w:tc>
          <w:tcPr>
            <w:tcW w:w="581" w:type="pct"/>
            <w:tcBorders>
              <w:top w:val="nil"/>
              <w:left w:val="nil"/>
              <w:bottom w:val="nil"/>
              <w:right w:val="nil"/>
            </w:tcBorders>
            <w:shd w:val="clear" w:color="auto" w:fill="auto"/>
            <w:vAlign w:val="center"/>
          </w:tcPr>
          <w:p w14:paraId="29B8BFB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28.88</w:t>
            </w:r>
          </w:p>
        </w:tc>
        <w:tc>
          <w:tcPr>
            <w:tcW w:w="528" w:type="pct"/>
            <w:tcBorders>
              <w:top w:val="nil"/>
              <w:left w:val="nil"/>
              <w:bottom w:val="nil"/>
              <w:right w:val="nil"/>
            </w:tcBorders>
            <w:shd w:val="clear" w:color="auto" w:fill="auto"/>
            <w:vAlign w:val="center"/>
          </w:tcPr>
          <w:p w14:paraId="2FA0C560">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1.83</w:t>
            </w:r>
          </w:p>
        </w:tc>
        <w:tc>
          <w:tcPr>
            <w:tcW w:w="543" w:type="pct"/>
            <w:tcBorders>
              <w:top w:val="nil"/>
              <w:left w:val="nil"/>
              <w:bottom w:val="nil"/>
              <w:right w:val="nil"/>
            </w:tcBorders>
            <w:shd w:val="clear" w:color="auto" w:fill="auto"/>
            <w:vAlign w:val="center"/>
          </w:tcPr>
          <w:p w14:paraId="45C0B630">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3.66</w:t>
            </w:r>
          </w:p>
        </w:tc>
      </w:tr>
      <w:tr w14:paraId="623B762D">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3E414AE4">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Changzhi</w:t>
            </w:r>
          </w:p>
        </w:tc>
        <w:tc>
          <w:tcPr>
            <w:tcW w:w="501" w:type="pct"/>
            <w:tcBorders>
              <w:top w:val="nil"/>
              <w:left w:val="nil"/>
              <w:bottom w:val="nil"/>
              <w:right w:val="nil"/>
            </w:tcBorders>
            <w:shd w:val="clear" w:color="auto" w:fill="auto"/>
            <w:vAlign w:val="center"/>
          </w:tcPr>
          <w:p w14:paraId="69E2D88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22.86</w:t>
            </w:r>
          </w:p>
        </w:tc>
        <w:tc>
          <w:tcPr>
            <w:tcW w:w="523" w:type="pct"/>
            <w:tcBorders>
              <w:top w:val="nil"/>
              <w:left w:val="nil"/>
              <w:bottom w:val="nil"/>
              <w:right w:val="nil"/>
            </w:tcBorders>
            <w:shd w:val="clear" w:color="auto" w:fill="auto"/>
            <w:vAlign w:val="center"/>
          </w:tcPr>
          <w:p w14:paraId="3E98B83C">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C</w:t>
            </w:r>
          </w:p>
        </w:tc>
        <w:tc>
          <w:tcPr>
            <w:tcW w:w="524" w:type="pct"/>
            <w:tcBorders>
              <w:top w:val="nil"/>
              <w:left w:val="nil"/>
              <w:bottom w:val="nil"/>
              <w:right w:val="nil"/>
            </w:tcBorders>
            <w:shd w:val="clear" w:color="auto" w:fill="auto"/>
            <w:vAlign w:val="center"/>
          </w:tcPr>
          <w:p w14:paraId="03E0BACE">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28.44</w:t>
            </w:r>
          </w:p>
        </w:tc>
        <w:tc>
          <w:tcPr>
            <w:tcW w:w="528" w:type="pct"/>
            <w:tcBorders>
              <w:top w:val="nil"/>
              <w:left w:val="nil"/>
              <w:bottom w:val="nil"/>
              <w:right w:val="nil"/>
            </w:tcBorders>
            <w:shd w:val="clear" w:color="auto" w:fill="auto"/>
            <w:vAlign w:val="center"/>
          </w:tcPr>
          <w:p w14:paraId="5F6B1E9E">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40.26</w:t>
            </w:r>
          </w:p>
        </w:tc>
        <w:tc>
          <w:tcPr>
            <w:tcW w:w="482" w:type="pct"/>
            <w:tcBorders>
              <w:top w:val="nil"/>
              <w:left w:val="nil"/>
              <w:bottom w:val="nil"/>
              <w:right w:val="nil"/>
            </w:tcBorders>
            <w:shd w:val="clear" w:color="auto" w:fill="auto"/>
            <w:vAlign w:val="center"/>
          </w:tcPr>
          <w:p w14:paraId="2B826C9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18.32</w:t>
            </w:r>
          </w:p>
        </w:tc>
        <w:tc>
          <w:tcPr>
            <w:tcW w:w="581" w:type="pct"/>
            <w:tcBorders>
              <w:top w:val="nil"/>
              <w:left w:val="nil"/>
              <w:bottom w:val="nil"/>
              <w:right w:val="nil"/>
            </w:tcBorders>
            <w:shd w:val="clear" w:color="auto" w:fill="auto"/>
            <w:vAlign w:val="center"/>
          </w:tcPr>
          <w:p w14:paraId="458BAFF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44.06</w:t>
            </w:r>
          </w:p>
        </w:tc>
        <w:tc>
          <w:tcPr>
            <w:tcW w:w="528" w:type="pct"/>
            <w:tcBorders>
              <w:top w:val="nil"/>
              <w:left w:val="nil"/>
              <w:bottom w:val="nil"/>
              <w:right w:val="nil"/>
            </w:tcBorders>
            <w:shd w:val="clear" w:color="auto" w:fill="auto"/>
            <w:vAlign w:val="center"/>
          </w:tcPr>
          <w:p w14:paraId="1AEBA1C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9.75</w:t>
            </w:r>
          </w:p>
        </w:tc>
        <w:tc>
          <w:tcPr>
            <w:tcW w:w="543" w:type="pct"/>
            <w:tcBorders>
              <w:top w:val="nil"/>
              <w:left w:val="nil"/>
              <w:bottom w:val="nil"/>
              <w:right w:val="nil"/>
            </w:tcBorders>
            <w:shd w:val="clear" w:color="auto" w:fill="auto"/>
            <w:vAlign w:val="center"/>
          </w:tcPr>
          <w:p w14:paraId="5CA933F7">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26.67</w:t>
            </w:r>
          </w:p>
        </w:tc>
      </w:tr>
      <w:tr w14:paraId="5BC3D839">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1E31885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Jincheng</w:t>
            </w:r>
          </w:p>
        </w:tc>
        <w:tc>
          <w:tcPr>
            <w:tcW w:w="501" w:type="pct"/>
            <w:tcBorders>
              <w:top w:val="nil"/>
              <w:left w:val="nil"/>
              <w:bottom w:val="nil"/>
              <w:right w:val="nil"/>
            </w:tcBorders>
            <w:shd w:val="clear" w:color="auto" w:fill="auto"/>
            <w:vAlign w:val="center"/>
          </w:tcPr>
          <w:p w14:paraId="6D4781C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15.13</w:t>
            </w:r>
          </w:p>
        </w:tc>
        <w:tc>
          <w:tcPr>
            <w:tcW w:w="523" w:type="pct"/>
            <w:tcBorders>
              <w:top w:val="nil"/>
              <w:left w:val="nil"/>
              <w:bottom w:val="nil"/>
              <w:right w:val="nil"/>
            </w:tcBorders>
            <w:shd w:val="clear" w:color="auto" w:fill="auto"/>
            <w:vAlign w:val="center"/>
          </w:tcPr>
          <w:p w14:paraId="6B4BE219">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D</w:t>
            </w:r>
          </w:p>
        </w:tc>
        <w:tc>
          <w:tcPr>
            <w:tcW w:w="524" w:type="pct"/>
            <w:tcBorders>
              <w:top w:val="nil"/>
              <w:left w:val="nil"/>
              <w:bottom w:val="nil"/>
              <w:right w:val="nil"/>
            </w:tcBorders>
            <w:shd w:val="clear" w:color="auto" w:fill="auto"/>
            <w:vAlign w:val="center"/>
          </w:tcPr>
          <w:p w14:paraId="592DDBAE">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20.58</w:t>
            </w:r>
          </w:p>
        </w:tc>
        <w:tc>
          <w:tcPr>
            <w:tcW w:w="528" w:type="pct"/>
            <w:tcBorders>
              <w:top w:val="nil"/>
              <w:left w:val="nil"/>
              <w:bottom w:val="nil"/>
              <w:right w:val="nil"/>
            </w:tcBorders>
            <w:shd w:val="clear" w:color="auto" w:fill="auto"/>
            <w:vAlign w:val="center"/>
          </w:tcPr>
          <w:p w14:paraId="4F51932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46.74</w:t>
            </w:r>
          </w:p>
        </w:tc>
        <w:tc>
          <w:tcPr>
            <w:tcW w:w="482" w:type="pct"/>
            <w:tcBorders>
              <w:top w:val="nil"/>
              <w:left w:val="nil"/>
              <w:bottom w:val="nil"/>
              <w:right w:val="nil"/>
            </w:tcBorders>
            <w:shd w:val="clear" w:color="auto" w:fill="auto"/>
            <w:vAlign w:val="center"/>
          </w:tcPr>
          <w:p w14:paraId="0786289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7.37</w:t>
            </w:r>
          </w:p>
        </w:tc>
        <w:tc>
          <w:tcPr>
            <w:tcW w:w="581" w:type="pct"/>
            <w:tcBorders>
              <w:top w:val="nil"/>
              <w:left w:val="nil"/>
              <w:bottom w:val="nil"/>
              <w:right w:val="nil"/>
            </w:tcBorders>
            <w:shd w:val="clear" w:color="auto" w:fill="auto"/>
            <w:vAlign w:val="center"/>
          </w:tcPr>
          <w:p w14:paraId="40CEF268">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30.51</w:t>
            </w:r>
          </w:p>
        </w:tc>
        <w:tc>
          <w:tcPr>
            <w:tcW w:w="528" w:type="pct"/>
            <w:tcBorders>
              <w:top w:val="nil"/>
              <w:left w:val="nil"/>
              <w:bottom w:val="nil"/>
              <w:right w:val="nil"/>
            </w:tcBorders>
            <w:shd w:val="clear" w:color="auto" w:fill="auto"/>
            <w:vAlign w:val="center"/>
          </w:tcPr>
          <w:p w14:paraId="5E364E4E">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2.62</w:t>
            </w:r>
          </w:p>
        </w:tc>
        <w:tc>
          <w:tcPr>
            <w:tcW w:w="543" w:type="pct"/>
            <w:tcBorders>
              <w:top w:val="nil"/>
              <w:left w:val="nil"/>
              <w:bottom w:val="nil"/>
              <w:right w:val="nil"/>
            </w:tcBorders>
            <w:shd w:val="clear" w:color="auto" w:fill="auto"/>
            <w:vAlign w:val="center"/>
          </w:tcPr>
          <w:p w14:paraId="6466EDF6">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16.59</w:t>
            </w:r>
          </w:p>
        </w:tc>
      </w:tr>
      <w:tr w14:paraId="5D66A2A6">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034AE518">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Shuozhou</w:t>
            </w:r>
          </w:p>
        </w:tc>
        <w:tc>
          <w:tcPr>
            <w:tcW w:w="501" w:type="pct"/>
            <w:tcBorders>
              <w:top w:val="nil"/>
              <w:left w:val="nil"/>
              <w:bottom w:val="nil"/>
              <w:right w:val="nil"/>
            </w:tcBorders>
            <w:shd w:val="clear" w:color="auto" w:fill="auto"/>
            <w:vAlign w:val="center"/>
          </w:tcPr>
          <w:p w14:paraId="6B4369C9">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9.32</w:t>
            </w:r>
          </w:p>
        </w:tc>
        <w:tc>
          <w:tcPr>
            <w:tcW w:w="523" w:type="pct"/>
            <w:tcBorders>
              <w:top w:val="nil"/>
              <w:left w:val="nil"/>
              <w:bottom w:val="nil"/>
              <w:right w:val="nil"/>
            </w:tcBorders>
            <w:shd w:val="clear" w:color="auto" w:fill="auto"/>
            <w:vAlign w:val="center"/>
          </w:tcPr>
          <w:p w14:paraId="143E3A56">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E</w:t>
            </w:r>
          </w:p>
        </w:tc>
        <w:tc>
          <w:tcPr>
            <w:tcW w:w="524" w:type="pct"/>
            <w:tcBorders>
              <w:top w:val="nil"/>
              <w:left w:val="nil"/>
              <w:bottom w:val="nil"/>
              <w:right w:val="nil"/>
            </w:tcBorders>
            <w:shd w:val="clear" w:color="auto" w:fill="auto"/>
            <w:vAlign w:val="center"/>
          </w:tcPr>
          <w:p w14:paraId="3250B874">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9.41</w:t>
            </w:r>
          </w:p>
        </w:tc>
        <w:tc>
          <w:tcPr>
            <w:tcW w:w="528" w:type="pct"/>
            <w:tcBorders>
              <w:top w:val="nil"/>
              <w:left w:val="nil"/>
              <w:bottom w:val="nil"/>
              <w:right w:val="nil"/>
            </w:tcBorders>
            <w:shd w:val="clear" w:color="auto" w:fill="auto"/>
            <w:vAlign w:val="center"/>
          </w:tcPr>
          <w:p w14:paraId="5DC1115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37.50</w:t>
            </w:r>
          </w:p>
        </w:tc>
        <w:tc>
          <w:tcPr>
            <w:tcW w:w="482" w:type="pct"/>
            <w:tcBorders>
              <w:top w:val="nil"/>
              <w:left w:val="nil"/>
              <w:bottom w:val="nil"/>
              <w:right w:val="nil"/>
            </w:tcBorders>
            <w:shd w:val="clear" w:color="auto" w:fill="auto"/>
            <w:vAlign w:val="center"/>
          </w:tcPr>
          <w:p w14:paraId="52C3BA6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2.59</w:t>
            </w:r>
          </w:p>
        </w:tc>
        <w:tc>
          <w:tcPr>
            <w:tcW w:w="581" w:type="pct"/>
            <w:tcBorders>
              <w:top w:val="nil"/>
              <w:left w:val="nil"/>
              <w:bottom w:val="nil"/>
              <w:right w:val="nil"/>
            </w:tcBorders>
            <w:shd w:val="clear" w:color="auto" w:fill="auto"/>
            <w:vAlign w:val="center"/>
          </w:tcPr>
          <w:p w14:paraId="39D211C7">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23.57</w:t>
            </w:r>
          </w:p>
        </w:tc>
        <w:tc>
          <w:tcPr>
            <w:tcW w:w="528" w:type="pct"/>
            <w:tcBorders>
              <w:top w:val="nil"/>
              <w:left w:val="nil"/>
              <w:bottom w:val="nil"/>
              <w:right w:val="nil"/>
            </w:tcBorders>
            <w:shd w:val="clear" w:color="auto" w:fill="auto"/>
            <w:vAlign w:val="center"/>
          </w:tcPr>
          <w:p w14:paraId="4B00C068">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2.81</w:t>
            </w:r>
          </w:p>
        </w:tc>
        <w:tc>
          <w:tcPr>
            <w:tcW w:w="543" w:type="pct"/>
            <w:tcBorders>
              <w:top w:val="nil"/>
              <w:left w:val="nil"/>
              <w:bottom w:val="nil"/>
              <w:right w:val="nil"/>
            </w:tcBorders>
            <w:shd w:val="clear" w:color="auto" w:fill="auto"/>
            <w:vAlign w:val="center"/>
          </w:tcPr>
          <w:p w14:paraId="76E229B3">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4.12</w:t>
            </w:r>
          </w:p>
        </w:tc>
      </w:tr>
      <w:tr w14:paraId="4D655E1C">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457AA66D">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Jinzhong</w:t>
            </w:r>
          </w:p>
        </w:tc>
        <w:tc>
          <w:tcPr>
            <w:tcW w:w="501" w:type="pct"/>
            <w:tcBorders>
              <w:top w:val="nil"/>
              <w:left w:val="nil"/>
              <w:bottom w:val="nil"/>
              <w:right w:val="nil"/>
            </w:tcBorders>
            <w:shd w:val="clear" w:color="auto" w:fill="auto"/>
            <w:vAlign w:val="center"/>
          </w:tcPr>
          <w:p w14:paraId="0D4F8190">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34.28</w:t>
            </w:r>
          </w:p>
        </w:tc>
        <w:tc>
          <w:tcPr>
            <w:tcW w:w="523" w:type="pct"/>
            <w:tcBorders>
              <w:top w:val="nil"/>
              <w:left w:val="nil"/>
              <w:bottom w:val="nil"/>
              <w:right w:val="nil"/>
            </w:tcBorders>
            <w:shd w:val="clear" w:color="auto" w:fill="auto"/>
            <w:vAlign w:val="center"/>
          </w:tcPr>
          <w:p w14:paraId="3E2A1C3F">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B</w:t>
            </w:r>
          </w:p>
        </w:tc>
        <w:tc>
          <w:tcPr>
            <w:tcW w:w="524" w:type="pct"/>
            <w:tcBorders>
              <w:top w:val="nil"/>
              <w:left w:val="nil"/>
              <w:bottom w:val="nil"/>
              <w:right w:val="nil"/>
            </w:tcBorders>
            <w:shd w:val="clear" w:color="auto" w:fill="auto"/>
            <w:vAlign w:val="center"/>
          </w:tcPr>
          <w:p w14:paraId="708A79CC">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21.55</w:t>
            </w:r>
          </w:p>
        </w:tc>
        <w:tc>
          <w:tcPr>
            <w:tcW w:w="528" w:type="pct"/>
            <w:tcBorders>
              <w:top w:val="nil"/>
              <w:left w:val="nil"/>
              <w:bottom w:val="nil"/>
              <w:right w:val="nil"/>
            </w:tcBorders>
            <w:shd w:val="clear" w:color="auto" w:fill="auto"/>
            <w:vAlign w:val="center"/>
          </w:tcPr>
          <w:p w14:paraId="0B6F69F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31.67</w:t>
            </w:r>
          </w:p>
        </w:tc>
        <w:tc>
          <w:tcPr>
            <w:tcW w:w="482" w:type="pct"/>
            <w:tcBorders>
              <w:top w:val="nil"/>
              <w:left w:val="nil"/>
              <w:bottom w:val="nil"/>
              <w:right w:val="nil"/>
            </w:tcBorders>
            <w:shd w:val="clear" w:color="auto" w:fill="auto"/>
            <w:vAlign w:val="center"/>
          </w:tcPr>
          <w:p w14:paraId="4C400C8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49.88</w:t>
            </w:r>
          </w:p>
        </w:tc>
        <w:tc>
          <w:tcPr>
            <w:tcW w:w="581" w:type="pct"/>
            <w:tcBorders>
              <w:top w:val="nil"/>
              <w:left w:val="nil"/>
              <w:bottom w:val="nil"/>
              <w:right w:val="nil"/>
            </w:tcBorders>
            <w:shd w:val="clear" w:color="auto" w:fill="auto"/>
            <w:vAlign w:val="center"/>
          </w:tcPr>
          <w:p w14:paraId="502C956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49.20</w:t>
            </w:r>
          </w:p>
        </w:tc>
        <w:tc>
          <w:tcPr>
            <w:tcW w:w="528" w:type="pct"/>
            <w:tcBorders>
              <w:top w:val="nil"/>
              <w:left w:val="nil"/>
              <w:bottom w:val="nil"/>
              <w:right w:val="nil"/>
            </w:tcBorders>
            <w:shd w:val="clear" w:color="auto" w:fill="auto"/>
            <w:vAlign w:val="center"/>
          </w:tcPr>
          <w:p w14:paraId="596CFA9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27.67</w:t>
            </w:r>
          </w:p>
        </w:tc>
        <w:tc>
          <w:tcPr>
            <w:tcW w:w="543" w:type="pct"/>
            <w:tcBorders>
              <w:top w:val="nil"/>
              <w:left w:val="nil"/>
              <w:bottom w:val="nil"/>
              <w:right w:val="nil"/>
            </w:tcBorders>
            <w:shd w:val="clear" w:color="auto" w:fill="auto"/>
            <w:vAlign w:val="center"/>
          </w:tcPr>
          <w:p w14:paraId="44D57E9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35.54</w:t>
            </w:r>
          </w:p>
        </w:tc>
      </w:tr>
      <w:tr w14:paraId="0C87AA2F">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299" w:hRule="atLeast"/>
          <w:jc w:val="center"/>
        </w:trPr>
        <w:tc>
          <w:tcPr>
            <w:tcW w:w="791" w:type="pct"/>
            <w:tcBorders>
              <w:top w:val="nil"/>
              <w:left w:val="nil"/>
              <w:bottom w:val="nil"/>
              <w:right w:val="nil"/>
            </w:tcBorders>
            <w:shd w:val="clear" w:color="auto" w:fill="auto"/>
            <w:vAlign w:val="center"/>
          </w:tcPr>
          <w:p w14:paraId="44D8456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Yuncheng</w:t>
            </w:r>
          </w:p>
        </w:tc>
        <w:tc>
          <w:tcPr>
            <w:tcW w:w="501" w:type="pct"/>
            <w:tcBorders>
              <w:top w:val="nil"/>
              <w:left w:val="nil"/>
              <w:bottom w:val="nil"/>
              <w:right w:val="nil"/>
            </w:tcBorders>
            <w:shd w:val="clear" w:color="auto" w:fill="auto"/>
            <w:vAlign w:val="center"/>
          </w:tcPr>
          <w:p w14:paraId="37EBED44">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24.49</w:t>
            </w:r>
          </w:p>
        </w:tc>
        <w:tc>
          <w:tcPr>
            <w:tcW w:w="523" w:type="pct"/>
            <w:tcBorders>
              <w:top w:val="nil"/>
              <w:left w:val="nil"/>
              <w:bottom w:val="nil"/>
              <w:right w:val="nil"/>
            </w:tcBorders>
            <w:shd w:val="clear" w:color="auto" w:fill="auto"/>
            <w:vAlign w:val="center"/>
          </w:tcPr>
          <w:p w14:paraId="70FA29E9">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C</w:t>
            </w:r>
          </w:p>
        </w:tc>
        <w:tc>
          <w:tcPr>
            <w:tcW w:w="524" w:type="pct"/>
            <w:tcBorders>
              <w:top w:val="nil"/>
              <w:left w:val="nil"/>
              <w:bottom w:val="nil"/>
              <w:right w:val="nil"/>
            </w:tcBorders>
            <w:shd w:val="clear" w:color="auto" w:fill="auto"/>
            <w:vAlign w:val="center"/>
          </w:tcPr>
          <w:p w14:paraId="4826B22D">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26.30</w:t>
            </w:r>
          </w:p>
        </w:tc>
        <w:tc>
          <w:tcPr>
            <w:tcW w:w="528" w:type="pct"/>
            <w:tcBorders>
              <w:top w:val="nil"/>
              <w:left w:val="nil"/>
              <w:bottom w:val="nil"/>
              <w:right w:val="nil"/>
            </w:tcBorders>
            <w:shd w:val="clear" w:color="auto" w:fill="auto"/>
            <w:vAlign w:val="center"/>
          </w:tcPr>
          <w:p w14:paraId="0F8E3CCC">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12.62</w:t>
            </w:r>
          </w:p>
        </w:tc>
        <w:tc>
          <w:tcPr>
            <w:tcW w:w="482" w:type="pct"/>
            <w:tcBorders>
              <w:top w:val="nil"/>
              <w:left w:val="nil"/>
              <w:bottom w:val="nil"/>
              <w:right w:val="nil"/>
            </w:tcBorders>
            <w:shd w:val="clear" w:color="auto" w:fill="auto"/>
            <w:vAlign w:val="center"/>
          </w:tcPr>
          <w:p w14:paraId="5EBF066B">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33.13</w:t>
            </w:r>
          </w:p>
        </w:tc>
        <w:tc>
          <w:tcPr>
            <w:tcW w:w="581" w:type="pct"/>
            <w:tcBorders>
              <w:top w:val="nil"/>
              <w:left w:val="nil"/>
              <w:bottom w:val="nil"/>
              <w:right w:val="nil"/>
            </w:tcBorders>
            <w:shd w:val="clear" w:color="auto" w:fill="auto"/>
            <w:vAlign w:val="center"/>
          </w:tcPr>
          <w:p w14:paraId="61662C6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28.75</w:t>
            </w:r>
          </w:p>
        </w:tc>
        <w:tc>
          <w:tcPr>
            <w:tcW w:w="528" w:type="pct"/>
            <w:tcBorders>
              <w:top w:val="nil"/>
              <w:left w:val="nil"/>
              <w:bottom w:val="nil"/>
              <w:right w:val="nil"/>
            </w:tcBorders>
            <w:shd w:val="clear" w:color="auto" w:fill="auto"/>
            <w:vAlign w:val="center"/>
          </w:tcPr>
          <w:p w14:paraId="27C377F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16.10</w:t>
            </w:r>
          </w:p>
        </w:tc>
        <w:tc>
          <w:tcPr>
            <w:tcW w:w="543" w:type="pct"/>
            <w:tcBorders>
              <w:top w:val="nil"/>
              <w:left w:val="nil"/>
              <w:bottom w:val="nil"/>
              <w:right w:val="nil"/>
            </w:tcBorders>
            <w:shd w:val="clear" w:color="auto" w:fill="auto"/>
            <w:vAlign w:val="center"/>
          </w:tcPr>
          <w:p w14:paraId="10DD155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36.54</w:t>
            </w:r>
          </w:p>
        </w:tc>
      </w:tr>
      <w:tr w14:paraId="17087299">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4B9873D0">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Xinzhou</w:t>
            </w:r>
          </w:p>
        </w:tc>
        <w:tc>
          <w:tcPr>
            <w:tcW w:w="501" w:type="pct"/>
            <w:tcBorders>
              <w:top w:val="nil"/>
              <w:left w:val="nil"/>
              <w:bottom w:val="nil"/>
              <w:right w:val="nil"/>
            </w:tcBorders>
            <w:shd w:val="clear" w:color="auto" w:fill="auto"/>
            <w:vAlign w:val="center"/>
          </w:tcPr>
          <w:p w14:paraId="329FC8E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12.55</w:t>
            </w:r>
          </w:p>
        </w:tc>
        <w:tc>
          <w:tcPr>
            <w:tcW w:w="523" w:type="pct"/>
            <w:tcBorders>
              <w:top w:val="nil"/>
              <w:left w:val="nil"/>
              <w:bottom w:val="nil"/>
              <w:right w:val="nil"/>
            </w:tcBorders>
            <w:shd w:val="clear" w:color="auto" w:fill="auto"/>
            <w:vAlign w:val="center"/>
          </w:tcPr>
          <w:p w14:paraId="36EA432B">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D</w:t>
            </w:r>
          </w:p>
        </w:tc>
        <w:tc>
          <w:tcPr>
            <w:tcW w:w="524" w:type="pct"/>
            <w:tcBorders>
              <w:top w:val="nil"/>
              <w:left w:val="nil"/>
              <w:bottom w:val="nil"/>
              <w:right w:val="nil"/>
            </w:tcBorders>
            <w:shd w:val="clear" w:color="auto" w:fill="auto"/>
            <w:vAlign w:val="center"/>
          </w:tcPr>
          <w:p w14:paraId="541FA3E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15.78</w:t>
            </w:r>
          </w:p>
        </w:tc>
        <w:tc>
          <w:tcPr>
            <w:tcW w:w="528" w:type="pct"/>
            <w:tcBorders>
              <w:top w:val="nil"/>
              <w:left w:val="nil"/>
              <w:bottom w:val="nil"/>
              <w:right w:val="nil"/>
            </w:tcBorders>
            <w:shd w:val="clear" w:color="auto" w:fill="auto"/>
            <w:vAlign w:val="center"/>
          </w:tcPr>
          <w:p w14:paraId="5CDEF815">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8.43</w:t>
            </w:r>
          </w:p>
        </w:tc>
        <w:tc>
          <w:tcPr>
            <w:tcW w:w="482" w:type="pct"/>
            <w:tcBorders>
              <w:top w:val="nil"/>
              <w:left w:val="nil"/>
              <w:bottom w:val="nil"/>
              <w:right w:val="nil"/>
            </w:tcBorders>
            <w:shd w:val="clear" w:color="auto" w:fill="auto"/>
            <w:vAlign w:val="center"/>
          </w:tcPr>
          <w:p w14:paraId="70E0157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11.96</w:t>
            </w:r>
          </w:p>
        </w:tc>
        <w:tc>
          <w:tcPr>
            <w:tcW w:w="581" w:type="pct"/>
            <w:tcBorders>
              <w:top w:val="nil"/>
              <w:left w:val="nil"/>
              <w:bottom w:val="nil"/>
              <w:right w:val="nil"/>
            </w:tcBorders>
            <w:shd w:val="clear" w:color="auto" w:fill="auto"/>
            <w:vAlign w:val="center"/>
          </w:tcPr>
          <w:p w14:paraId="5FA38BC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23.10</w:t>
            </w:r>
          </w:p>
        </w:tc>
        <w:tc>
          <w:tcPr>
            <w:tcW w:w="528" w:type="pct"/>
            <w:tcBorders>
              <w:top w:val="nil"/>
              <w:left w:val="nil"/>
              <w:bottom w:val="nil"/>
              <w:right w:val="nil"/>
            </w:tcBorders>
            <w:shd w:val="clear" w:color="auto" w:fill="auto"/>
            <w:vAlign w:val="center"/>
          </w:tcPr>
          <w:p w14:paraId="2035671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2.45</w:t>
            </w:r>
          </w:p>
        </w:tc>
        <w:tc>
          <w:tcPr>
            <w:tcW w:w="543" w:type="pct"/>
            <w:tcBorders>
              <w:top w:val="nil"/>
              <w:left w:val="nil"/>
              <w:bottom w:val="nil"/>
              <w:right w:val="nil"/>
            </w:tcBorders>
            <w:shd w:val="clear" w:color="auto" w:fill="auto"/>
            <w:vAlign w:val="center"/>
          </w:tcPr>
          <w:p w14:paraId="3BC1DB57">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26.70</w:t>
            </w:r>
          </w:p>
        </w:tc>
      </w:tr>
      <w:tr w14:paraId="13D3239C">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nil"/>
              <w:right w:val="nil"/>
            </w:tcBorders>
            <w:shd w:val="clear" w:color="auto" w:fill="auto"/>
            <w:vAlign w:val="center"/>
          </w:tcPr>
          <w:p w14:paraId="3A2110D4">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Linfen</w:t>
            </w:r>
          </w:p>
        </w:tc>
        <w:tc>
          <w:tcPr>
            <w:tcW w:w="501" w:type="pct"/>
            <w:tcBorders>
              <w:top w:val="nil"/>
              <w:left w:val="nil"/>
              <w:bottom w:val="nil"/>
              <w:right w:val="nil"/>
            </w:tcBorders>
            <w:shd w:val="clear" w:color="auto" w:fill="auto"/>
            <w:vAlign w:val="center"/>
          </w:tcPr>
          <w:p w14:paraId="218F662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18.64</w:t>
            </w:r>
          </w:p>
        </w:tc>
        <w:tc>
          <w:tcPr>
            <w:tcW w:w="523" w:type="pct"/>
            <w:tcBorders>
              <w:top w:val="nil"/>
              <w:left w:val="nil"/>
              <w:bottom w:val="nil"/>
              <w:right w:val="nil"/>
            </w:tcBorders>
            <w:shd w:val="clear" w:color="auto" w:fill="auto"/>
            <w:vAlign w:val="center"/>
          </w:tcPr>
          <w:p w14:paraId="154F283C">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C</w:t>
            </w:r>
          </w:p>
        </w:tc>
        <w:tc>
          <w:tcPr>
            <w:tcW w:w="524" w:type="pct"/>
            <w:tcBorders>
              <w:top w:val="nil"/>
              <w:left w:val="nil"/>
              <w:bottom w:val="nil"/>
              <w:right w:val="nil"/>
            </w:tcBorders>
            <w:shd w:val="clear" w:color="auto" w:fill="auto"/>
            <w:vAlign w:val="center"/>
          </w:tcPr>
          <w:p w14:paraId="18C74A8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26.40</w:t>
            </w:r>
          </w:p>
        </w:tc>
        <w:tc>
          <w:tcPr>
            <w:tcW w:w="528" w:type="pct"/>
            <w:tcBorders>
              <w:top w:val="nil"/>
              <w:left w:val="nil"/>
              <w:bottom w:val="nil"/>
              <w:right w:val="nil"/>
            </w:tcBorders>
            <w:shd w:val="clear" w:color="auto" w:fill="auto"/>
            <w:vAlign w:val="center"/>
          </w:tcPr>
          <w:p w14:paraId="3082265C">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17.12</w:t>
            </w:r>
          </w:p>
        </w:tc>
        <w:tc>
          <w:tcPr>
            <w:tcW w:w="482" w:type="pct"/>
            <w:tcBorders>
              <w:top w:val="nil"/>
              <w:left w:val="nil"/>
              <w:bottom w:val="nil"/>
              <w:right w:val="nil"/>
            </w:tcBorders>
            <w:shd w:val="clear" w:color="auto" w:fill="auto"/>
            <w:vAlign w:val="center"/>
          </w:tcPr>
          <w:p w14:paraId="0C0655B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20.81</w:t>
            </w:r>
          </w:p>
        </w:tc>
        <w:tc>
          <w:tcPr>
            <w:tcW w:w="581" w:type="pct"/>
            <w:tcBorders>
              <w:top w:val="nil"/>
              <w:left w:val="nil"/>
              <w:bottom w:val="nil"/>
              <w:right w:val="nil"/>
            </w:tcBorders>
            <w:shd w:val="clear" w:color="auto" w:fill="auto"/>
            <w:vAlign w:val="center"/>
          </w:tcPr>
          <w:p w14:paraId="6A12189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19.17</w:t>
            </w:r>
          </w:p>
        </w:tc>
        <w:tc>
          <w:tcPr>
            <w:tcW w:w="528" w:type="pct"/>
            <w:tcBorders>
              <w:top w:val="nil"/>
              <w:left w:val="nil"/>
              <w:bottom w:val="nil"/>
              <w:right w:val="nil"/>
            </w:tcBorders>
            <w:shd w:val="clear" w:color="auto" w:fill="auto"/>
            <w:vAlign w:val="center"/>
          </w:tcPr>
          <w:p w14:paraId="5346B9B7">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6.45</w:t>
            </w:r>
          </w:p>
        </w:tc>
        <w:tc>
          <w:tcPr>
            <w:tcW w:w="543" w:type="pct"/>
            <w:tcBorders>
              <w:top w:val="nil"/>
              <w:left w:val="nil"/>
              <w:bottom w:val="nil"/>
              <w:right w:val="nil"/>
            </w:tcBorders>
            <w:shd w:val="clear" w:color="auto" w:fill="auto"/>
            <w:vAlign w:val="center"/>
          </w:tcPr>
          <w:p w14:paraId="5B4F7F4A">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36.42</w:t>
            </w:r>
          </w:p>
        </w:tc>
      </w:tr>
      <w:tr w14:paraId="454CB22B">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rPr>
          <w:jc w:val="center"/>
        </w:trPr>
        <w:tc>
          <w:tcPr>
            <w:tcW w:w="791" w:type="pct"/>
            <w:tcBorders>
              <w:top w:val="nil"/>
              <w:left w:val="nil"/>
              <w:bottom w:val="single" w:color="auto" w:sz="8" w:space="0"/>
              <w:right w:val="nil"/>
            </w:tcBorders>
            <w:shd w:val="clear" w:color="auto" w:fill="auto"/>
            <w:vAlign w:val="center"/>
          </w:tcPr>
          <w:p w14:paraId="2609D677">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Lvliang</w:t>
            </w:r>
          </w:p>
        </w:tc>
        <w:tc>
          <w:tcPr>
            <w:tcW w:w="501" w:type="pct"/>
            <w:tcBorders>
              <w:top w:val="nil"/>
              <w:left w:val="nil"/>
              <w:bottom w:val="single" w:color="auto" w:sz="8" w:space="0"/>
              <w:right w:val="nil"/>
            </w:tcBorders>
            <w:shd w:val="clear" w:color="auto" w:fill="auto"/>
            <w:vAlign w:val="center"/>
          </w:tcPr>
          <w:p w14:paraId="62754EF2">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13.19</w:t>
            </w:r>
          </w:p>
        </w:tc>
        <w:tc>
          <w:tcPr>
            <w:tcW w:w="523" w:type="pct"/>
            <w:tcBorders>
              <w:top w:val="nil"/>
              <w:left w:val="nil"/>
              <w:bottom w:val="single" w:color="auto" w:sz="8" w:space="0"/>
              <w:right w:val="nil"/>
            </w:tcBorders>
            <w:shd w:val="clear" w:color="auto" w:fill="auto"/>
            <w:vAlign w:val="center"/>
          </w:tcPr>
          <w:p w14:paraId="49629133">
            <w:pPr>
              <w:spacing w:after="0" w:line="240" w:lineRule="auto"/>
              <w:ind w:left="0" w:hanging="2"/>
              <w:jc w:val="center"/>
              <w:rPr>
                <w:rFonts w:ascii="Times New Roman" w:hAnsi="Times New Roman" w:cs="Times New Roman"/>
                <w:sz w:val="24"/>
                <w:szCs w:val="24"/>
              </w:rPr>
            </w:pPr>
            <w:r>
              <w:rPr>
                <w:rFonts w:ascii="Times New Roman" w:hAnsi="Times New Roman" w:cs="Times New Roman"/>
                <w:sz w:val="24"/>
                <w:szCs w:val="24"/>
              </w:rPr>
              <w:t>D</w:t>
            </w:r>
          </w:p>
        </w:tc>
        <w:tc>
          <w:tcPr>
            <w:tcW w:w="524" w:type="pct"/>
            <w:tcBorders>
              <w:top w:val="nil"/>
              <w:left w:val="nil"/>
              <w:bottom w:val="single" w:color="auto" w:sz="8" w:space="0"/>
              <w:right w:val="nil"/>
            </w:tcBorders>
            <w:shd w:val="clear" w:color="auto" w:fill="auto"/>
            <w:vAlign w:val="center"/>
          </w:tcPr>
          <w:p w14:paraId="656931F5">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17.86</w:t>
            </w:r>
          </w:p>
        </w:tc>
        <w:tc>
          <w:tcPr>
            <w:tcW w:w="528" w:type="pct"/>
            <w:tcBorders>
              <w:top w:val="nil"/>
              <w:left w:val="nil"/>
              <w:bottom w:val="single" w:color="auto" w:sz="8" w:space="0"/>
              <w:right w:val="nil"/>
            </w:tcBorders>
            <w:shd w:val="clear" w:color="auto" w:fill="auto"/>
            <w:vAlign w:val="center"/>
          </w:tcPr>
          <w:p w14:paraId="0FAE7B71">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16.31</w:t>
            </w:r>
          </w:p>
        </w:tc>
        <w:tc>
          <w:tcPr>
            <w:tcW w:w="482" w:type="pct"/>
            <w:tcBorders>
              <w:top w:val="nil"/>
              <w:left w:val="nil"/>
              <w:bottom w:val="single" w:color="auto" w:sz="8" w:space="0"/>
              <w:right w:val="nil"/>
            </w:tcBorders>
            <w:shd w:val="clear" w:color="auto" w:fill="auto"/>
            <w:vAlign w:val="center"/>
          </w:tcPr>
          <w:p w14:paraId="33C2660F">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13.47</w:t>
            </w:r>
          </w:p>
        </w:tc>
        <w:tc>
          <w:tcPr>
            <w:tcW w:w="581" w:type="pct"/>
            <w:tcBorders>
              <w:top w:val="nil"/>
              <w:left w:val="nil"/>
              <w:bottom w:val="single" w:color="auto" w:sz="8" w:space="0"/>
              <w:right w:val="nil"/>
            </w:tcBorders>
            <w:shd w:val="clear" w:color="auto" w:fill="auto"/>
            <w:vAlign w:val="center"/>
          </w:tcPr>
          <w:p w14:paraId="43D21648">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19.83</w:t>
            </w:r>
          </w:p>
        </w:tc>
        <w:tc>
          <w:tcPr>
            <w:tcW w:w="528" w:type="pct"/>
            <w:tcBorders>
              <w:top w:val="nil"/>
              <w:left w:val="nil"/>
              <w:bottom w:val="single" w:color="auto" w:sz="8" w:space="0"/>
              <w:right w:val="nil"/>
            </w:tcBorders>
            <w:shd w:val="clear" w:color="auto" w:fill="auto"/>
            <w:vAlign w:val="center"/>
          </w:tcPr>
          <w:p w14:paraId="6DAD90E9">
            <w:pPr>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3.37</w:t>
            </w:r>
          </w:p>
        </w:tc>
        <w:tc>
          <w:tcPr>
            <w:tcW w:w="543" w:type="pct"/>
            <w:tcBorders>
              <w:top w:val="nil"/>
              <w:left w:val="nil"/>
              <w:bottom w:val="single" w:color="auto" w:sz="8" w:space="0"/>
              <w:right w:val="nil"/>
            </w:tcBorders>
            <w:shd w:val="clear" w:color="auto" w:fill="auto"/>
            <w:vAlign w:val="center"/>
          </w:tcPr>
          <w:p w14:paraId="369D22CC">
            <w:pPr>
              <w:spacing w:after="0" w:line="240" w:lineRule="auto"/>
              <w:ind w:left="0" w:hanging="2"/>
              <w:rPr>
                <w:rFonts w:ascii="Times New Roman" w:hAnsi="Times New Roman" w:cs="Times New Roman" w:eastAsiaTheme="minorEastAsia"/>
                <w:sz w:val="24"/>
                <w:szCs w:val="24"/>
                <w:lang w:eastAsia="zh-CN"/>
              </w:rPr>
            </w:pPr>
            <w:r>
              <w:rPr>
                <w:rFonts w:ascii="Times New Roman" w:hAnsi="Times New Roman" w:cs="Times New Roman"/>
                <w:sz w:val="24"/>
                <w:szCs w:val="24"/>
              </w:rPr>
              <w:t>23.67</w:t>
            </w:r>
          </w:p>
        </w:tc>
      </w:tr>
    </w:tbl>
    <w:p w14:paraId="2A5BEF18">
      <w:pPr>
        <w:spacing w:after="23" w:line="240" w:lineRule="auto"/>
        <w:ind w:left="0" w:hanging="2"/>
        <w:rPr>
          <w:rFonts w:ascii="Times New Roman" w:hAnsi="Times New Roman" w:cs="Times New Roman"/>
          <w:sz w:val="24"/>
          <w:szCs w:val="24"/>
        </w:rPr>
      </w:pPr>
    </w:p>
    <w:p w14:paraId="23F02C89">
      <w:pPr>
        <w:pStyle w:val="3"/>
        <w:spacing w:before="0" w:line="240" w:lineRule="auto"/>
        <w:ind w:left="0" w:hanging="2"/>
        <w:rPr>
          <w:rFonts w:ascii="Times New Roman" w:hAnsi="Times New Roman" w:cs="Times New Roman"/>
          <w:sz w:val="24"/>
          <w:szCs w:val="24"/>
        </w:rPr>
      </w:pPr>
      <w:r>
        <w:rPr>
          <w:rFonts w:ascii="Times New Roman" w:hAnsi="Times New Roman" w:cs="Times New Roman"/>
          <w:sz w:val="24"/>
          <w:szCs w:val="24"/>
        </w:rPr>
        <w:t>Descriptive Statistics of Tourism Industry Output in Shanxi Province</w:t>
      </w:r>
    </w:p>
    <w:p w14:paraId="41A895AB">
      <w:pPr>
        <w:pStyle w:val="67"/>
        <w:tabs>
          <w:tab w:val="clear" w:pos="1077"/>
          <w:tab w:val="clear" w:pos="1440"/>
          <w:tab w:val="clear" w:pos="1797"/>
          <w:tab w:val="clear" w:pos="2155"/>
          <w:tab w:val="clear" w:pos="2512"/>
        </w:tabs>
        <w:spacing w:before="0" w:after="0" w:line="240" w:lineRule="auto"/>
        <w:ind w:left="0" w:right="-6" w:hanging="2"/>
        <w:jc w:val="both"/>
      </w:pPr>
      <w:r>
        <w:t>Using the same methodological framework, the comprehensive tourism output scores for each city were calculated, with the results summarized in Figure 4. Taiyuan records the highest output score, affirming its leading position in both visitor arrivals and tourism-generated revenue within the province. Ranked just below Taiyuan are Jinzhong, Datong, Linfen, and Xinzhou, all of which benefit from rich tourism resources and a concentration of high-quality attractions. Significantly, these cities are home to Shanxi’s three designated World Heritage Sites, which play a pivotal role in driving tourist flows and boosting local revenue. Collectively, these cities fall into Category B, reflecting their relatively advanced stage of tourism industry development.</w:t>
      </w:r>
    </w:p>
    <w:p w14:paraId="7B82ABAA">
      <w:pPr>
        <w:pStyle w:val="67"/>
        <w:tabs>
          <w:tab w:val="clear" w:pos="1077"/>
          <w:tab w:val="clear" w:pos="1440"/>
          <w:tab w:val="clear" w:pos="1797"/>
          <w:tab w:val="clear" w:pos="2155"/>
          <w:tab w:val="clear" w:pos="2512"/>
        </w:tabs>
        <w:spacing w:before="0" w:after="0" w:line="240" w:lineRule="auto"/>
        <w:ind w:left="0" w:right="-6" w:hanging="2"/>
        <w:jc w:val="both"/>
      </w:pPr>
    </w:p>
    <w:p w14:paraId="5F00A433">
      <w:pPr>
        <w:pStyle w:val="67"/>
        <w:spacing w:before="0" w:after="0" w:line="240" w:lineRule="auto"/>
        <w:ind w:left="0" w:right="0" w:hanging="2"/>
        <w:jc w:val="center"/>
        <w:rPr>
          <w:b/>
          <w:bCs/>
          <w:sz w:val="20"/>
          <w:szCs w:val="20"/>
        </w:rPr>
      </w:pPr>
      <w:r>
        <w:rPr>
          <w:sz w:val="24"/>
        </w:rPr>
        <w:drawing>
          <wp:inline distT="0" distB="0" distL="0" distR="0">
            <wp:extent cx="4838700" cy="2758440"/>
            <wp:effectExtent l="0" t="0" r="0" b="3810"/>
            <wp:docPr id="1768652655" name="图片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52655" name="图片 1" descr="A graph with numbers and lin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838700" cy="2758440"/>
                    </a:xfrm>
                    <a:prstGeom prst="rect">
                      <a:avLst/>
                    </a:prstGeom>
                    <a:noFill/>
                    <a:ln>
                      <a:noFill/>
                    </a:ln>
                  </pic:spPr>
                </pic:pic>
              </a:graphicData>
            </a:graphic>
          </wp:inline>
        </w:drawing>
      </w:r>
      <w:bookmarkStart w:id="5" w:name="_Hlk192572493"/>
    </w:p>
    <w:p w14:paraId="36A813B7">
      <w:pPr>
        <w:pStyle w:val="67"/>
        <w:spacing w:before="0" w:line="240" w:lineRule="auto"/>
        <w:ind w:left="0" w:right="0" w:hanging="2"/>
        <w:jc w:val="center"/>
        <w:rPr>
          <w:sz w:val="24"/>
        </w:rPr>
      </w:pPr>
      <w:r>
        <w:rPr>
          <w:b/>
          <w:bCs/>
          <w:sz w:val="24"/>
        </w:rPr>
        <w:t>F</w:t>
      </w:r>
      <w:r>
        <w:rPr>
          <w:rFonts w:eastAsiaTheme="minorEastAsia"/>
          <w:b/>
          <w:bCs/>
          <w:sz w:val="24"/>
          <w:lang w:eastAsia="zh-CN"/>
        </w:rPr>
        <w:t>igure</w:t>
      </w:r>
      <w:r>
        <w:rPr>
          <w:b/>
          <w:bCs/>
          <w:sz w:val="24"/>
        </w:rPr>
        <w:t xml:space="preserve"> </w:t>
      </w:r>
      <w:r>
        <w:rPr>
          <w:rFonts w:eastAsiaTheme="minorEastAsia"/>
          <w:b/>
          <w:bCs/>
          <w:sz w:val="24"/>
          <w:lang w:eastAsia="zh-CN"/>
        </w:rPr>
        <w:t>4</w:t>
      </w:r>
      <w:r>
        <w:rPr>
          <w:sz w:val="24"/>
        </w:rPr>
        <w:t xml:space="preserve"> Radar chart of tourism output of cities in Shanxi Province</w:t>
      </w:r>
      <w:bookmarkEnd w:id="5"/>
    </w:p>
    <w:p w14:paraId="69092F7D">
      <w:pPr>
        <w:spacing w:line="240" w:lineRule="auto"/>
        <w:ind w:left="0" w:hanging="2"/>
        <w:jc w:val="both"/>
        <w:rPr>
          <w:rFonts w:ascii="Times New Roman" w:hAnsi="Times New Roman" w:eastAsia="Trebuchet MS" w:cs="Times New Roman"/>
          <w:sz w:val="24"/>
          <w:szCs w:val="24"/>
        </w:rPr>
      </w:pPr>
      <w:r>
        <w:rPr>
          <w:rFonts w:ascii="Times New Roman" w:hAnsi="Times New Roman" w:eastAsia="Trebuchet MS" w:cs="Times New Roman"/>
          <w:sz w:val="24"/>
          <w:szCs w:val="24"/>
        </w:rPr>
        <w:t>Jincheng, Yuncheng, and Changzhi are categorized as C-level, while Yangquan and Lvliang fall under D-level. Shuozhou has the lowest tourism output, classified as E-level, with a comprehensive score representing only 0.12% of Taiyuan's total score, the lowest in the province. This is primarily attributed to the scarcity of A-level tourist attractions in Shuozhou, which account for just 1.5% of the province’s total A-level attractions, coupled with the absence of 5A-level attractions, resulting in limited appeal to tourists.</w:t>
      </w:r>
    </w:p>
    <w:p w14:paraId="7CA6AB15">
      <w:pPr>
        <w:pStyle w:val="3"/>
        <w:spacing w:before="0" w:line="240" w:lineRule="auto"/>
        <w:ind w:left="0" w:hanging="2"/>
        <w:rPr>
          <w:rFonts w:ascii="Times New Roman" w:hAnsi="Times New Roman" w:cs="Times New Roman"/>
          <w:sz w:val="24"/>
          <w:szCs w:val="24"/>
        </w:rPr>
      </w:pPr>
      <w:r>
        <w:rPr>
          <w:rFonts w:ascii="Times New Roman" w:hAnsi="Times New Roman" w:cs="Times New Roman"/>
          <w:sz w:val="24"/>
          <w:szCs w:val="24"/>
        </w:rPr>
        <w:t>The rationality of tourism spatial structure in Shanxi Province</w:t>
      </w:r>
      <w:bookmarkStart w:id="6" w:name="4.2._Livelihood_asset_types_of_rural_hou"/>
      <w:bookmarkEnd w:id="6"/>
    </w:p>
    <w:p w14:paraId="5586B26B">
      <w:pPr>
        <w:pStyle w:val="11"/>
        <w:ind w:hanging="2"/>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To investigate the underlying factors constraining the development of tourism in Shanxi, the Spatial Mismatch Index (SMI) (formulas (2)-(3)) was employed to assess the relationship between tourism input and output. Based on the methodology proposed by Wang et al. (2020a) (refer to Table 3), the results of the SMI analysis for Shanxi Province were categorized into four distinct types: Tourism Output Ahead Type I, Tourism Output Slightly Ahead Type II, Tourism Output Slightly Lagging Type III, and Tourism Output Lagging Type IV. The detailed results are presented in Table 4.</w:t>
      </w:r>
    </w:p>
    <w:p w14:paraId="2B779614">
      <w:pPr>
        <w:pStyle w:val="11"/>
        <w:ind w:hanging="2"/>
        <w:rPr>
          <w:rFonts w:ascii="Times New Roman" w:hAnsi="Times New Roman" w:cs="Times New Roman"/>
          <w:b/>
          <w:bCs/>
          <w:lang w:val="en-GB"/>
        </w:rPr>
      </w:pPr>
    </w:p>
    <w:p w14:paraId="25C543A0">
      <w:pPr>
        <w:pStyle w:val="11"/>
        <w:ind w:hanging="2"/>
        <w:jc w:val="center"/>
        <w:rPr>
          <w:rFonts w:ascii="Times New Roman" w:hAnsi="Times New Roman" w:cs="Times New Roman"/>
          <w:sz w:val="24"/>
          <w:szCs w:val="24"/>
          <w:lang w:val="en-GB"/>
        </w:rPr>
      </w:pPr>
      <w:r>
        <w:rPr>
          <w:rFonts w:ascii="Times New Roman" w:hAnsi="Times New Roman" w:cs="Times New Roman"/>
          <w:b/>
          <w:bCs/>
          <w:sz w:val="24"/>
          <w:szCs w:val="24"/>
          <w:lang w:val="en-GB"/>
        </w:rPr>
        <w:t>Table 3</w:t>
      </w:r>
      <w:r>
        <w:rPr>
          <w:rFonts w:ascii="Times New Roman" w:hAnsi="Times New Roman" w:cs="Times New Roman"/>
          <w:sz w:val="24"/>
          <w:szCs w:val="24"/>
          <w:lang w:val="en-GB"/>
        </w:rPr>
        <w:t xml:space="preserve"> Types and significance of spatial dislocation of tourism output</w:t>
      </w:r>
    </w:p>
    <w:tbl>
      <w:tblPr>
        <w:tblStyle w:val="9"/>
        <w:tblW w:w="5051" w:type="pct"/>
        <w:tblInd w:w="0" w:type="dxa"/>
        <w:tblBorders>
          <w:top w:val="single" w:color="auto" w:sz="8" w:space="0"/>
          <w:left w:val="none" w:color="auto" w:sz="6" w:space="0"/>
          <w:bottom w:val="single" w:color="auto" w:sz="8" w:space="0"/>
          <w:right w:val="none"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2271"/>
        <w:gridCol w:w="1653"/>
        <w:gridCol w:w="4880"/>
      </w:tblGrid>
      <w:tr w14:paraId="1A018CCE">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1290" w:type="pct"/>
            <w:tcBorders>
              <w:top w:val="single" w:color="auto" w:sz="8" w:space="0"/>
              <w:left w:val="nil"/>
              <w:bottom w:val="single" w:color="auto" w:sz="4" w:space="0"/>
              <w:right w:val="nil"/>
            </w:tcBorders>
            <w:shd w:val="clear" w:color="auto" w:fill="B8CCE4" w:themeFill="accent1" w:themeFillTint="66"/>
            <w:vAlign w:val="center"/>
          </w:tcPr>
          <w:p w14:paraId="1BC01A1C">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Dislocation type</w:t>
            </w:r>
          </w:p>
        </w:tc>
        <w:tc>
          <w:tcPr>
            <w:tcW w:w="939" w:type="pct"/>
            <w:tcBorders>
              <w:top w:val="single" w:color="auto" w:sz="8" w:space="0"/>
              <w:left w:val="nil"/>
              <w:bottom w:val="single" w:color="auto" w:sz="4" w:space="0"/>
              <w:right w:val="nil"/>
            </w:tcBorders>
            <w:shd w:val="clear" w:color="auto" w:fill="B8CCE4" w:themeFill="accent1" w:themeFillTint="66"/>
            <w:vAlign w:val="center"/>
          </w:tcPr>
          <w:p w14:paraId="33B65480">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Division basis</w:t>
            </w:r>
          </w:p>
        </w:tc>
        <w:tc>
          <w:tcPr>
            <w:tcW w:w="2771" w:type="pct"/>
            <w:tcBorders>
              <w:top w:val="single" w:color="auto" w:sz="8" w:space="0"/>
              <w:left w:val="nil"/>
              <w:bottom w:val="single" w:color="auto" w:sz="4" w:space="0"/>
              <w:right w:val="nil"/>
            </w:tcBorders>
            <w:shd w:val="clear" w:color="auto" w:fill="B8CCE4" w:themeFill="accent1" w:themeFillTint="66"/>
            <w:vAlign w:val="center"/>
          </w:tcPr>
          <w:p w14:paraId="74D49268">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Representative meaning</w:t>
            </w:r>
          </w:p>
        </w:tc>
      </w:tr>
      <w:tr w14:paraId="02FB4140">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1290" w:type="pct"/>
            <w:tcBorders>
              <w:top w:val="single" w:color="auto" w:sz="4" w:space="0"/>
              <w:left w:val="nil"/>
              <w:bottom w:val="nil"/>
              <w:right w:val="nil"/>
            </w:tcBorders>
            <w:shd w:val="clear" w:color="auto" w:fill="auto"/>
            <w:vAlign w:val="center"/>
          </w:tcPr>
          <w:p w14:paraId="48837967">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 xml:space="preserve">Tourism output ahead </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I</w:t>
            </w:r>
            <w:r>
              <w:rPr>
                <w:rFonts w:ascii="Times New Roman" w:hAnsi="Times New Roman" w:eastAsia="MS Gothic" w:cs="Times New Roman"/>
                <w:sz w:val="24"/>
                <w:szCs w:val="24"/>
                <w:lang w:val="en-GB"/>
              </w:rPr>
              <w:t>）</w:t>
            </w:r>
          </w:p>
        </w:tc>
        <w:tc>
          <w:tcPr>
            <w:tcW w:w="939" w:type="pct"/>
            <w:tcBorders>
              <w:top w:val="single" w:color="auto" w:sz="4" w:space="0"/>
              <w:left w:val="nil"/>
              <w:bottom w:val="nil"/>
              <w:right w:val="nil"/>
            </w:tcBorders>
            <w:shd w:val="clear" w:color="auto" w:fill="auto"/>
            <w:vAlign w:val="center"/>
          </w:tcPr>
          <w:p w14:paraId="76D53197">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SMIi&gt;0</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and SMIi&gt;SMI</w:t>
            </w:r>
          </w:p>
        </w:tc>
        <w:tc>
          <w:tcPr>
            <w:tcW w:w="2771" w:type="pct"/>
            <w:tcBorders>
              <w:top w:val="single" w:color="auto" w:sz="4" w:space="0"/>
              <w:left w:val="nil"/>
              <w:bottom w:val="nil"/>
              <w:right w:val="nil"/>
            </w:tcBorders>
            <w:shd w:val="clear" w:color="auto" w:fill="auto"/>
            <w:vAlign w:val="center"/>
          </w:tcPr>
          <w:p w14:paraId="6BDC7181">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Tourism output has significantly advanced, weakening the rationality of the tourism spatial structure.</w:t>
            </w:r>
          </w:p>
        </w:tc>
      </w:tr>
      <w:tr w14:paraId="46356254">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1290" w:type="pct"/>
            <w:tcBorders>
              <w:top w:val="nil"/>
              <w:left w:val="nil"/>
              <w:bottom w:val="nil"/>
              <w:right w:val="nil"/>
            </w:tcBorders>
            <w:shd w:val="clear" w:color="auto" w:fill="auto"/>
            <w:vAlign w:val="center"/>
          </w:tcPr>
          <w:p w14:paraId="7C02F090">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 xml:space="preserve">Tourism output slightly ahead </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II</w:t>
            </w:r>
            <w:r>
              <w:rPr>
                <w:rFonts w:ascii="Times New Roman" w:hAnsi="Times New Roman" w:eastAsia="MS Gothic" w:cs="Times New Roman"/>
                <w:sz w:val="24"/>
                <w:szCs w:val="24"/>
                <w:lang w:val="en-GB"/>
              </w:rPr>
              <w:t>）</w:t>
            </w:r>
          </w:p>
        </w:tc>
        <w:tc>
          <w:tcPr>
            <w:tcW w:w="939" w:type="pct"/>
            <w:tcBorders>
              <w:top w:val="nil"/>
              <w:left w:val="nil"/>
              <w:bottom w:val="nil"/>
              <w:right w:val="nil"/>
            </w:tcBorders>
            <w:shd w:val="clear" w:color="auto" w:fill="auto"/>
            <w:vAlign w:val="center"/>
          </w:tcPr>
          <w:p w14:paraId="17D3CCFD">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SMIi&gt;0</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and SMIi&lt;SMI</w:t>
            </w:r>
          </w:p>
        </w:tc>
        <w:tc>
          <w:tcPr>
            <w:tcW w:w="2771" w:type="pct"/>
            <w:tcBorders>
              <w:top w:val="nil"/>
              <w:left w:val="nil"/>
              <w:bottom w:val="nil"/>
              <w:right w:val="nil"/>
            </w:tcBorders>
            <w:shd w:val="clear" w:color="auto" w:fill="auto"/>
            <w:vAlign w:val="center"/>
          </w:tcPr>
          <w:p w14:paraId="336BB617">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Tourism output has slightly advanced, strengthening the rationality of the tourism spatial structure</w:t>
            </w:r>
          </w:p>
        </w:tc>
      </w:tr>
      <w:tr w14:paraId="46F1C9C6">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1290" w:type="pct"/>
            <w:tcBorders>
              <w:top w:val="nil"/>
              <w:left w:val="nil"/>
              <w:bottom w:val="nil"/>
              <w:right w:val="nil"/>
            </w:tcBorders>
            <w:shd w:val="clear" w:color="auto" w:fill="auto"/>
            <w:vAlign w:val="center"/>
          </w:tcPr>
          <w:p w14:paraId="0909FF6B">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 xml:space="preserve">Tourism output slightly Lagging </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III</w:t>
            </w:r>
            <w:r>
              <w:rPr>
                <w:rFonts w:ascii="Times New Roman" w:hAnsi="Times New Roman" w:eastAsia="MS Gothic" w:cs="Times New Roman"/>
                <w:sz w:val="24"/>
                <w:szCs w:val="24"/>
                <w:lang w:val="en-GB"/>
              </w:rPr>
              <w:t>）</w:t>
            </w:r>
          </w:p>
        </w:tc>
        <w:tc>
          <w:tcPr>
            <w:tcW w:w="939" w:type="pct"/>
            <w:tcBorders>
              <w:top w:val="nil"/>
              <w:left w:val="nil"/>
              <w:bottom w:val="nil"/>
              <w:right w:val="nil"/>
            </w:tcBorders>
            <w:shd w:val="clear" w:color="auto" w:fill="auto"/>
            <w:vAlign w:val="center"/>
          </w:tcPr>
          <w:p w14:paraId="5F98699C">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SMIi&lt;0</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and |SMIi|&lt;SMI</w:t>
            </w:r>
          </w:p>
        </w:tc>
        <w:tc>
          <w:tcPr>
            <w:tcW w:w="2771" w:type="pct"/>
            <w:tcBorders>
              <w:top w:val="nil"/>
              <w:left w:val="nil"/>
              <w:bottom w:val="nil"/>
              <w:right w:val="nil"/>
            </w:tcBorders>
            <w:shd w:val="clear" w:color="auto" w:fill="auto"/>
            <w:vAlign w:val="center"/>
          </w:tcPr>
          <w:p w14:paraId="75187949">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Tourism output lags slightly, strengthening the rationality of the tourism spatial structure</w:t>
            </w:r>
          </w:p>
        </w:tc>
      </w:tr>
      <w:tr w14:paraId="291D1D94">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1290" w:type="pct"/>
            <w:tcBorders>
              <w:top w:val="nil"/>
              <w:left w:val="nil"/>
              <w:bottom w:val="single" w:color="auto" w:sz="8" w:space="0"/>
              <w:right w:val="nil"/>
            </w:tcBorders>
            <w:shd w:val="clear" w:color="auto" w:fill="auto"/>
            <w:vAlign w:val="center"/>
          </w:tcPr>
          <w:p w14:paraId="44D68C44">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 xml:space="preserve">Tourism output lagging </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IV</w:t>
            </w:r>
            <w:r>
              <w:rPr>
                <w:rFonts w:ascii="Times New Roman" w:hAnsi="Times New Roman" w:eastAsia="MS Gothic" w:cs="Times New Roman"/>
                <w:sz w:val="24"/>
                <w:szCs w:val="24"/>
                <w:lang w:val="en-GB"/>
              </w:rPr>
              <w:t>）</w:t>
            </w:r>
          </w:p>
        </w:tc>
        <w:tc>
          <w:tcPr>
            <w:tcW w:w="939" w:type="pct"/>
            <w:tcBorders>
              <w:top w:val="nil"/>
              <w:left w:val="nil"/>
              <w:bottom w:val="single" w:color="auto" w:sz="8" w:space="0"/>
              <w:right w:val="nil"/>
            </w:tcBorders>
            <w:shd w:val="clear" w:color="auto" w:fill="auto"/>
            <w:vAlign w:val="center"/>
          </w:tcPr>
          <w:p w14:paraId="75CFF6A6">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SMIi&lt;0</w:t>
            </w:r>
            <w:r>
              <w:rPr>
                <w:rFonts w:ascii="Times New Roman" w:hAnsi="Times New Roman" w:eastAsia="MS Gothic" w:cs="Times New Roman"/>
                <w:sz w:val="24"/>
                <w:szCs w:val="24"/>
                <w:lang w:val="en-GB"/>
              </w:rPr>
              <w:t>，</w:t>
            </w:r>
            <w:r>
              <w:rPr>
                <w:rFonts w:ascii="Times New Roman" w:hAnsi="Times New Roman" w:cs="Times New Roman"/>
                <w:sz w:val="24"/>
                <w:szCs w:val="24"/>
                <w:lang w:val="en-GB"/>
              </w:rPr>
              <w:t>and |SMIi|&gt;SMI</w:t>
            </w:r>
          </w:p>
        </w:tc>
        <w:tc>
          <w:tcPr>
            <w:tcW w:w="2771" w:type="pct"/>
            <w:tcBorders>
              <w:top w:val="nil"/>
              <w:left w:val="nil"/>
              <w:bottom w:val="single" w:color="auto" w:sz="8" w:space="0"/>
              <w:right w:val="nil"/>
            </w:tcBorders>
            <w:shd w:val="clear" w:color="auto" w:fill="auto"/>
            <w:vAlign w:val="center"/>
          </w:tcPr>
          <w:p w14:paraId="4636385D">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Tourism output lags significantly, weakening the rationality of the tourism spatial structure</w:t>
            </w:r>
          </w:p>
        </w:tc>
      </w:tr>
    </w:tbl>
    <w:p w14:paraId="5D048FC7">
      <w:pPr>
        <w:pStyle w:val="11"/>
        <w:ind w:hanging="2"/>
        <w:rPr>
          <w:rFonts w:ascii="Times New Roman" w:hAnsi="Times New Roman" w:cs="Times New Roman"/>
          <w:sz w:val="24"/>
          <w:szCs w:val="24"/>
          <w:lang w:val="en-GB"/>
        </w:rPr>
      </w:pPr>
      <w:r>
        <w:rPr>
          <w:rFonts w:ascii="Times New Roman" w:hAnsi="Times New Roman" w:cs="Times New Roman"/>
          <w:sz w:val="24"/>
          <w:szCs w:val="24"/>
          <w:lang w:val="en-GB"/>
        </w:rPr>
        <w:t>Source: Wang et al. (2020a)</w:t>
      </w:r>
    </w:p>
    <w:p w14:paraId="130CBD68">
      <w:pPr>
        <w:pStyle w:val="58"/>
        <w:spacing w:line="240" w:lineRule="auto"/>
        <w:ind w:hanging="2"/>
      </w:pPr>
    </w:p>
    <w:p w14:paraId="6ACAF8C6">
      <w:pPr>
        <w:spacing w:after="0" w:line="240" w:lineRule="auto"/>
        <w:ind w:left="-2" w:firstLine="849" w:firstLineChars="354"/>
        <w:jc w:val="both"/>
        <w:rPr>
          <w:rFonts w:ascii="Times New Roman" w:hAnsi="Times New Roman" w:eastAsia="Trebuchet MS" w:cs="Times New Roman"/>
          <w:sz w:val="24"/>
          <w:szCs w:val="24"/>
        </w:rPr>
      </w:pPr>
      <w:r>
        <w:rPr>
          <w:rFonts w:ascii="Times New Roman" w:hAnsi="Times New Roman" w:eastAsia="Trebuchet MS" w:cs="Times New Roman"/>
          <w:sz w:val="24"/>
          <w:szCs w:val="24"/>
        </w:rPr>
        <w:t>The computed SMI value for Shanxi Province is 0.0146, indicating a moderate level of irrationality in the province's tourism spatial structure. Further examination of the relationship between tourism output and six key input dimensions reveals varying degrees of spatial mismatch, ranked in terms of rationality from highest to lowest as follows: tourism industry organization (0.0108), ecological environment protection (0.0137), transportation accessibility (0.0142), labour force assurance (0.0207), economic development foundation (0.0245), and technological support assurance (0.0334).</w:t>
      </w:r>
    </w:p>
    <w:p w14:paraId="07B6B467">
      <w:pPr>
        <w:spacing w:after="0" w:line="240" w:lineRule="auto"/>
        <w:ind w:left="-2" w:firstLine="849" w:firstLineChars="354"/>
        <w:jc w:val="both"/>
        <w:rPr>
          <w:rFonts w:ascii="Times New Roman" w:hAnsi="Times New Roman" w:cs="Times New Roman" w:eastAsiaTheme="minorEastAsia"/>
          <w:sz w:val="24"/>
          <w:szCs w:val="24"/>
          <w:lang w:eastAsia="zh-CN"/>
        </w:rPr>
      </w:pPr>
      <w:r>
        <w:rPr>
          <w:rFonts w:ascii="Times New Roman" w:hAnsi="Times New Roman" w:eastAsia="Trebuchet MS" w:cs="Times New Roman"/>
          <w:sz w:val="24"/>
          <w:szCs w:val="24"/>
        </w:rPr>
        <w:t>These results suggest that certain input factors are more effectively aligned with tourism output, while others exhibit a significant mismatch. In response, it is recommended that the Shanxi Provincial Government implement region-specific regulatory policies aimed at enhancing the rationality of the tourism spatial structure.</w:t>
      </w:r>
    </w:p>
    <w:p w14:paraId="07337943">
      <w:pPr>
        <w:spacing w:line="240" w:lineRule="auto"/>
        <w:ind w:left="0" w:hanging="2"/>
        <w:rPr>
          <w:rFonts w:ascii="Times New Roman" w:hAnsi="Times New Roman" w:cs="Times New Roman"/>
          <w:b/>
          <w:bCs/>
          <w:sz w:val="20"/>
          <w:szCs w:val="20"/>
        </w:rPr>
        <w:sectPr>
          <w:pgSz w:w="11901" w:h="16840"/>
          <w:pgMar w:top="1418" w:right="1701" w:bottom="1418" w:left="1701" w:header="709" w:footer="709" w:gutter="0"/>
          <w:cols w:space="708" w:num="1"/>
          <w:docGrid w:linePitch="360" w:charSpace="0"/>
        </w:sectPr>
      </w:pPr>
    </w:p>
    <w:p w14:paraId="5CBFA866">
      <w:pPr>
        <w:spacing w:line="240" w:lineRule="auto"/>
        <w:ind w:left="0" w:hanging="2"/>
        <w:jc w:val="center"/>
        <w:rPr>
          <w:rFonts w:ascii="Times New Roman" w:hAnsi="Times New Roman" w:cs="Times New Roman" w:eastAsiaTheme="minorEastAsia"/>
          <w:sz w:val="24"/>
          <w:szCs w:val="24"/>
          <w:lang w:eastAsia="zh-CN"/>
        </w:rPr>
      </w:pPr>
      <w:r>
        <w:rPr>
          <w:rFonts w:ascii="Times New Roman" w:hAnsi="Times New Roman" w:cs="Times New Roman"/>
          <w:b/>
          <w:bCs/>
          <w:sz w:val="24"/>
          <w:szCs w:val="24"/>
        </w:rPr>
        <w:t>Tab</w:t>
      </w:r>
      <w:r>
        <w:rPr>
          <w:rFonts w:ascii="Times New Roman" w:hAnsi="Times New Roman" w:eastAsia="SimSun" w:cs="Times New Roman"/>
          <w:b/>
          <w:bCs/>
          <w:sz w:val="24"/>
          <w:szCs w:val="24"/>
          <w:lang w:eastAsia="zh-CN"/>
        </w:rPr>
        <w:t xml:space="preserve">le </w:t>
      </w:r>
      <w:r>
        <w:rPr>
          <w:rFonts w:ascii="Times New Roman" w:hAnsi="Times New Roman" w:cs="Times New Roman"/>
          <w:b/>
          <w:bCs/>
          <w:sz w:val="24"/>
          <w:szCs w:val="24"/>
        </w:rPr>
        <w:t>4</w:t>
      </w:r>
      <w:r>
        <w:rPr>
          <w:rFonts w:ascii="Times New Roman" w:hAnsi="Times New Roman" w:cs="Times New Roman"/>
          <w:sz w:val="24"/>
          <w:szCs w:val="24"/>
        </w:rPr>
        <w:t xml:space="preserve"> SMI and type between tourism output and input in Shanxi Province</w:t>
      </w:r>
    </w:p>
    <w:p w14:paraId="3FAC3F93">
      <w:pPr>
        <w:pStyle w:val="11"/>
        <w:ind w:hanging="1"/>
        <w:rPr>
          <w:rFonts w:ascii="Times New Roman" w:hAnsi="Times New Roman" w:cs="Times New Roman"/>
          <w:sz w:val="8"/>
        </w:rPr>
      </w:pPr>
    </w:p>
    <w:tbl>
      <w:tblPr>
        <w:tblStyle w:val="9"/>
        <w:tblpPr w:leftFromText="180" w:rightFromText="180" w:vertAnchor="text" w:horzAnchor="margin" w:tblpXSpec="center" w:tblpY="13"/>
        <w:tblOverlap w:val="never"/>
        <w:tblW w:w="0" w:type="auto"/>
        <w:tblInd w:w="0" w:type="dxa"/>
        <w:tblBorders>
          <w:top w:val="single" w:color="auto" w:sz="8" w:space="0"/>
          <w:left w:val="none" w:color="auto" w:sz="6" w:space="0"/>
          <w:bottom w:val="single" w:color="auto" w:sz="8" w:space="0"/>
          <w:right w:val="none"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177"/>
        <w:gridCol w:w="954"/>
        <w:gridCol w:w="468"/>
        <w:gridCol w:w="954"/>
        <w:gridCol w:w="468"/>
        <w:gridCol w:w="954"/>
        <w:gridCol w:w="468"/>
        <w:gridCol w:w="954"/>
        <w:gridCol w:w="468"/>
        <w:gridCol w:w="954"/>
        <w:gridCol w:w="468"/>
        <w:gridCol w:w="954"/>
        <w:gridCol w:w="468"/>
        <w:gridCol w:w="954"/>
        <w:gridCol w:w="468"/>
      </w:tblGrid>
      <w:tr w14:paraId="2836B1B5">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single" w:color="auto" w:sz="4" w:space="0"/>
              <w:left w:val="nil"/>
              <w:bottom w:val="single" w:color="auto" w:sz="4" w:space="0"/>
              <w:right w:val="nil"/>
            </w:tcBorders>
            <w:shd w:val="clear" w:color="auto" w:fill="B8CCE4" w:themeFill="accent1" w:themeFillTint="66"/>
            <w:vAlign w:val="center"/>
          </w:tcPr>
          <w:p w14:paraId="4E0FC12B">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City</w:t>
            </w:r>
          </w:p>
        </w:tc>
        <w:tc>
          <w:tcPr>
            <w:tcW w:w="0" w:type="auto"/>
            <w:gridSpan w:val="2"/>
            <w:tcBorders>
              <w:top w:val="single" w:color="auto" w:sz="4" w:space="0"/>
              <w:left w:val="nil"/>
              <w:bottom w:val="single" w:color="auto" w:sz="4" w:space="0"/>
              <w:right w:val="nil"/>
            </w:tcBorders>
            <w:shd w:val="clear" w:color="auto" w:fill="B8CCE4" w:themeFill="accent1" w:themeFillTint="66"/>
            <w:vAlign w:val="center"/>
          </w:tcPr>
          <w:p w14:paraId="4D72757F">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B1</w:t>
            </w:r>
          </w:p>
        </w:tc>
        <w:tc>
          <w:tcPr>
            <w:tcW w:w="0" w:type="auto"/>
            <w:gridSpan w:val="2"/>
            <w:tcBorders>
              <w:top w:val="single" w:color="auto" w:sz="4" w:space="0"/>
              <w:left w:val="nil"/>
              <w:bottom w:val="single" w:color="auto" w:sz="4" w:space="0"/>
              <w:right w:val="nil"/>
            </w:tcBorders>
            <w:shd w:val="clear" w:color="auto" w:fill="B8CCE4" w:themeFill="accent1" w:themeFillTint="66"/>
            <w:vAlign w:val="center"/>
          </w:tcPr>
          <w:p w14:paraId="3B127209">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B2</w:t>
            </w:r>
          </w:p>
        </w:tc>
        <w:tc>
          <w:tcPr>
            <w:tcW w:w="0" w:type="auto"/>
            <w:gridSpan w:val="2"/>
            <w:tcBorders>
              <w:top w:val="single" w:color="auto" w:sz="4" w:space="0"/>
              <w:left w:val="nil"/>
              <w:bottom w:val="single" w:color="auto" w:sz="4" w:space="0"/>
              <w:right w:val="nil"/>
            </w:tcBorders>
            <w:shd w:val="clear" w:color="auto" w:fill="B8CCE4" w:themeFill="accent1" w:themeFillTint="66"/>
            <w:vAlign w:val="center"/>
          </w:tcPr>
          <w:p w14:paraId="4DADA87F">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B3</w:t>
            </w:r>
          </w:p>
        </w:tc>
        <w:tc>
          <w:tcPr>
            <w:tcW w:w="0" w:type="auto"/>
            <w:gridSpan w:val="2"/>
            <w:tcBorders>
              <w:top w:val="single" w:color="auto" w:sz="4" w:space="0"/>
              <w:left w:val="nil"/>
              <w:bottom w:val="single" w:color="auto" w:sz="4" w:space="0"/>
              <w:right w:val="nil"/>
            </w:tcBorders>
            <w:shd w:val="clear" w:color="auto" w:fill="B8CCE4" w:themeFill="accent1" w:themeFillTint="66"/>
            <w:vAlign w:val="center"/>
          </w:tcPr>
          <w:p w14:paraId="1A25F930">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B4</w:t>
            </w:r>
          </w:p>
        </w:tc>
        <w:tc>
          <w:tcPr>
            <w:tcW w:w="0" w:type="auto"/>
            <w:gridSpan w:val="2"/>
            <w:tcBorders>
              <w:top w:val="single" w:color="auto" w:sz="4" w:space="0"/>
              <w:left w:val="nil"/>
              <w:bottom w:val="single" w:color="auto" w:sz="4" w:space="0"/>
              <w:right w:val="nil"/>
            </w:tcBorders>
            <w:shd w:val="clear" w:color="auto" w:fill="B8CCE4" w:themeFill="accent1" w:themeFillTint="66"/>
            <w:vAlign w:val="center"/>
          </w:tcPr>
          <w:p w14:paraId="3DD5733D">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B5</w:t>
            </w:r>
          </w:p>
        </w:tc>
        <w:tc>
          <w:tcPr>
            <w:tcW w:w="0" w:type="auto"/>
            <w:gridSpan w:val="2"/>
            <w:tcBorders>
              <w:top w:val="single" w:color="auto" w:sz="4" w:space="0"/>
              <w:left w:val="nil"/>
              <w:bottom w:val="single" w:color="auto" w:sz="4" w:space="0"/>
              <w:right w:val="nil"/>
            </w:tcBorders>
            <w:shd w:val="clear" w:color="auto" w:fill="B8CCE4" w:themeFill="accent1" w:themeFillTint="66"/>
            <w:vAlign w:val="center"/>
          </w:tcPr>
          <w:p w14:paraId="40B2CBF8">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B6</w:t>
            </w:r>
          </w:p>
        </w:tc>
        <w:tc>
          <w:tcPr>
            <w:tcW w:w="0" w:type="auto"/>
            <w:gridSpan w:val="2"/>
            <w:tcBorders>
              <w:top w:val="single" w:color="auto" w:sz="4" w:space="0"/>
              <w:left w:val="nil"/>
              <w:bottom w:val="single" w:color="auto" w:sz="4" w:space="0"/>
              <w:right w:val="nil"/>
            </w:tcBorders>
            <w:shd w:val="clear" w:color="auto" w:fill="B8CCE4" w:themeFill="accent1" w:themeFillTint="66"/>
            <w:vAlign w:val="center"/>
          </w:tcPr>
          <w:p w14:paraId="2647B6A5">
            <w:pPr>
              <w:spacing w:after="0" w:line="240" w:lineRule="auto"/>
              <w:ind w:left="0" w:hanging="2"/>
              <w:jc w:val="center"/>
              <w:rPr>
                <w:rFonts w:ascii="Times New Roman" w:hAnsi="Times New Roman" w:cs="Times New Roman"/>
                <w:sz w:val="24"/>
                <w:szCs w:val="24"/>
                <w:shd w:val="clear" w:color="auto" w:fill="FFFFFF"/>
              </w:rPr>
            </w:pPr>
            <w:r>
              <w:rPr>
                <w:rFonts w:ascii="Times New Roman" w:hAnsi="Times New Roman" w:eastAsia="SimSun" w:cs="Times New Roman"/>
                <w:kern w:val="2"/>
                <w:position w:val="-12"/>
                <w:sz w:val="24"/>
                <w:szCs w:val="24"/>
                <w:shd w:val="clear" w:color="auto" w:fill="FFFFFF"/>
                <w:lang w:bidi="ar"/>
              </w:rPr>
              <w:t>SMIi</w:t>
            </w:r>
          </w:p>
        </w:tc>
      </w:tr>
      <w:tr w14:paraId="65324AD6">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single" w:color="auto" w:sz="4" w:space="0"/>
              <w:left w:val="nil"/>
              <w:bottom w:val="nil"/>
              <w:right w:val="nil"/>
            </w:tcBorders>
            <w:shd w:val="clear" w:color="auto" w:fill="auto"/>
            <w:vAlign w:val="center"/>
          </w:tcPr>
          <w:p w14:paraId="554C3775">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Taiyuan</w:t>
            </w:r>
          </w:p>
        </w:tc>
        <w:tc>
          <w:tcPr>
            <w:tcW w:w="0" w:type="auto"/>
            <w:tcBorders>
              <w:top w:val="single" w:color="auto" w:sz="4" w:space="0"/>
              <w:left w:val="nil"/>
              <w:bottom w:val="nil"/>
              <w:right w:val="nil"/>
            </w:tcBorders>
            <w:shd w:val="clear" w:color="auto" w:fill="auto"/>
            <w:vAlign w:val="center"/>
          </w:tcPr>
          <w:p w14:paraId="67F86103">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-0.0162 </w:t>
            </w:r>
          </w:p>
        </w:tc>
        <w:tc>
          <w:tcPr>
            <w:tcW w:w="0" w:type="auto"/>
            <w:tcBorders>
              <w:top w:val="single" w:color="auto" w:sz="4" w:space="0"/>
              <w:left w:val="nil"/>
              <w:bottom w:val="nil"/>
              <w:right w:val="nil"/>
            </w:tcBorders>
            <w:shd w:val="clear" w:color="auto" w:fill="auto"/>
            <w:vAlign w:val="center"/>
          </w:tcPr>
          <w:p w14:paraId="3EAEA44E">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single" w:color="auto" w:sz="4" w:space="0"/>
              <w:left w:val="nil"/>
              <w:bottom w:val="nil"/>
              <w:right w:val="nil"/>
            </w:tcBorders>
            <w:shd w:val="clear" w:color="auto" w:fill="auto"/>
            <w:vAlign w:val="center"/>
          </w:tcPr>
          <w:p w14:paraId="4CE2139C">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-0.0151 </w:t>
            </w:r>
          </w:p>
        </w:tc>
        <w:tc>
          <w:tcPr>
            <w:tcW w:w="0" w:type="auto"/>
            <w:tcBorders>
              <w:top w:val="single" w:color="auto" w:sz="4" w:space="0"/>
              <w:left w:val="nil"/>
              <w:bottom w:val="nil"/>
              <w:right w:val="nil"/>
            </w:tcBorders>
            <w:shd w:val="clear" w:color="auto" w:fill="auto"/>
            <w:vAlign w:val="center"/>
          </w:tcPr>
          <w:p w14:paraId="18172842">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single" w:color="auto" w:sz="4" w:space="0"/>
              <w:left w:val="nil"/>
              <w:bottom w:val="nil"/>
              <w:right w:val="nil"/>
            </w:tcBorders>
            <w:shd w:val="clear" w:color="auto" w:fill="auto"/>
            <w:vAlign w:val="center"/>
          </w:tcPr>
          <w:p w14:paraId="4B70249F">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-0.0625 </w:t>
            </w:r>
          </w:p>
        </w:tc>
        <w:tc>
          <w:tcPr>
            <w:tcW w:w="0" w:type="auto"/>
            <w:tcBorders>
              <w:top w:val="single" w:color="auto" w:sz="4" w:space="0"/>
              <w:left w:val="nil"/>
              <w:bottom w:val="nil"/>
              <w:right w:val="nil"/>
            </w:tcBorders>
            <w:shd w:val="clear" w:color="auto" w:fill="auto"/>
            <w:vAlign w:val="center"/>
          </w:tcPr>
          <w:p w14:paraId="2839CDE4">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single" w:color="auto" w:sz="4" w:space="0"/>
              <w:left w:val="nil"/>
              <w:bottom w:val="nil"/>
              <w:right w:val="nil"/>
            </w:tcBorders>
            <w:shd w:val="clear" w:color="auto" w:fill="auto"/>
            <w:vAlign w:val="center"/>
          </w:tcPr>
          <w:p w14:paraId="4C9C6D68">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0.0081 </w:t>
            </w:r>
          </w:p>
        </w:tc>
        <w:tc>
          <w:tcPr>
            <w:tcW w:w="0" w:type="auto"/>
            <w:tcBorders>
              <w:top w:val="single" w:color="auto" w:sz="4" w:space="0"/>
              <w:left w:val="nil"/>
              <w:bottom w:val="nil"/>
              <w:right w:val="nil"/>
            </w:tcBorders>
            <w:shd w:val="clear" w:color="auto" w:fill="auto"/>
            <w:vAlign w:val="center"/>
          </w:tcPr>
          <w:p w14:paraId="281E16D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single" w:color="auto" w:sz="4" w:space="0"/>
              <w:left w:val="nil"/>
              <w:bottom w:val="nil"/>
              <w:right w:val="nil"/>
            </w:tcBorders>
            <w:shd w:val="clear" w:color="auto" w:fill="auto"/>
            <w:vAlign w:val="center"/>
          </w:tcPr>
          <w:p w14:paraId="255FB4DD">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-0.1624 </w:t>
            </w:r>
          </w:p>
        </w:tc>
        <w:tc>
          <w:tcPr>
            <w:tcW w:w="0" w:type="auto"/>
            <w:tcBorders>
              <w:top w:val="single" w:color="auto" w:sz="4" w:space="0"/>
              <w:left w:val="nil"/>
              <w:bottom w:val="nil"/>
              <w:right w:val="nil"/>
            </w:tcBorders>
            <w:shd w:val="clear" w:color="auto" w:fill="auto"/>
            <w:vAlign w:val="center"/>
          </w:tcPr>
          <w:p w14:paraId="63AA4BF0">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single" w:color="auto" w:sz="4" w:space="0"/>
              <w:left w:val="nil"/>
              <w:bottom w:val="nil"/>
              <w:right w:val="nil"/>
            </w:tcBorders>
            <w:shd w:val="clear" w:color="auto" w:fill="auto"/>
            <w:vAlign w:val="center"/>
          </w:tcPr>
          <w:p w14:paraId="1730253C">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-0.0194 </w:t>
            </w:r>
          </w:p>
        </w:tc>
        <w:tc>
          <w:tcPr>
            <w:tcW w:w="0" w:type="auto"/>
            <w:tcBorders>
              <w:top w:val="single" w:color="auto" w:sz="4" w:space="0"/>
              <w:left w:val="nil"/>
              <w:bottom w:val="nil"/>
              <w:right w:val="nil"/>
            </w:tcBorders>
            <w:shd w:val="clear" w:color="auto" w:fill="auto"/>
            <w:vAlign w:val="center"/>
          </w:tcPr>
          <w:p w14:paraId="2D11299E">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single" w:color="auto" w:sz="4" w:space="0"/>
              <w:left w:val="nil"/>
              <w:bottom w:val="nil"/>
              <w:right w:val="nil"/>
            </w:tcBorders>
            <w:shd w:val="clear" w:color="auto" w:fill="auto"/>
            <w:vAlign w:val="center"/>
          </w:tcPr>
          <w:p w14:paraId="06765C6E">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-0.0529 </w:t>
            </w:r>
          </w:p>
        </w:tc>
        <w:tc>
          <w:tcPr>
            <w:tcW w:w="0" w:type="auto"/>
            <w:tcBorders>
              <w:top w:val="single" w:color="auto" w:sz="4" w:space="0"/>
              <w:left w:val="nil"/>
              <w:bottom w:val="nil"/>
              <w:right w:val="nil"/>
            </w:tcBorders>
            <w:shd w:val="clear" w:color="auto" w:fill="auto"/>
            <w:vAlign w:val="center"/>
          </w:tcPr>
          <w:p w14:paraId="05C4AD20">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r>
      <w:tr w14:paraId="6DAD6517">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556DE602">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Datang</w:t>
            </w:r>
          </w:p>
        </w:tc>
        <w:tc>
          <w:tcPr>
            <w:tcW w:w="0" w:type="auto"/>
            <w:tcBorders>
              <w:top w:val="nil"/>
              <w:left w:val="nil"/>
              <w:bottom w:val="nil"/>
              <w:right w:val="nil"/>
            </w:tcBorders>
            <w:shd w:val="clear" w:color="auto" w:fill="auto"/>
            <w:vAlign w:val="center"/>
          </w:tcPr>
          <w:p w14:paraId="741DB4A3">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-0.0240 </w:t>
            </w:r>
          </w:p>
        </w:tc>
        <w:tc>
          <w:tcPr>
            <w:tcW w:w="0" w:type="auto"/>
            <w:tcBorders>
              <w:top w:val="nil"/>
              <w:left w:val="nil"/>
              <w:bottom w:val="nil"/>
              <w:right w:val="nil"/>
            </w:tcBorders>
            <w:shd w:val="clear" w:color="auto" w:fill="auto"/>
            <w:vAlign w:val="center"/>
          </w:tcPr>
          <w:p w14:paraId="32A7D038">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6AEBC9AF">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0.0130 </w:t>
            </w:r>
          </w:p>
        </w:tc>
        <w:tc>
          <w:tcPr>
            <w:tcW w:w="0" w:type="auto"/>
            <w:tcBorders>
              <w:top w:val="nil"/>
              <w:left w:val="nil"/>
              <w:bottom w:val="nil"/>
              <w:right w:val="nil"/>
            </w:tcBorders>
            <w:shd w:val="clear" w:color="auto" w:fill="auto"/>
            <w:vAlign w:val="center"/>
          </w:tcPr>
          <w:p w14:paraId="72A53A81">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47C2517C">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0.0241 </w:t>
            </w:r>
          </w:p>
        </w:tc>
        <w:tc>
          <w:tcPr>
            <w:tcW w:w="0" w:type="auto"/>
            <w:tcBorders>
              <w:top w:val="nil"/>
              <w:left w:val="nil"/>
              <w:bottom w:val="nil"/>
              <w:right w:val="nil"/>
            </w:tcBorders>
            <w:shd w:val="clear" w:color="auto" w:fill="auto"/>
            <w:vAlign w:val="center"/>
          </w:tcPr>
          <w:p w14:paraId="04BCEE2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5F09C594">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0.0028 </w:t>
            </w:r>
          </w:p>
        </w:tc>
        <w:tc>
          <w:tcPr>
            <w:tcW w:w="0" w:type="auto"/>
            <w:tcBorders>
              <w:top w:val="nil"/>
              <w:left w:val="nil"/>
              <w:bottom w:val="nil"/>
              <w:right w:val="nil"/>
            </w:tcBorders>
            <w:shd w:val="clear" w:color="auto" w:fill="auto"/>
            <w:vAlign w:val="center"/>
          </w:tcPr>
          <w:p w14:paraId="14EDB66E">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7E7C5081">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0.0402 </w:t>
            </w:r>
          </w:p>
        </w:tc>
        <w:tc>
          <w:tcPr>
            <w:tcW w:w="0" w:type="auto"/>
            <w:tcBorders>
              <w:top w:val="nil"/>
              <w:left w:val="nil"/>
              <w:bottom w:val="nil"/>
              <w:right w:val="nil"/>
            </w:tcBorders>
            <w:shd w:val="clear" w:color="auto" w:fill="auto"/>
            <w:vAlign w:val="center"/>
          </w:tcPr>
          <w:p w14:paraId="02296E10">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0A6FFF68">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0.0147 </w:t>
            </w:r>
          </w:p>
        </w:tc>
        <w:tc>
          <w:tcPr>
            <w:tcW w:w="0" w:type="auto"/>
            <w:tcBorders>
              <w:top w:val="nil"/>
              <w:left w:val="nil"/>
              <w:bottom w:val="nil"/>
              <w:right w:val="nil"/>
            </w:tcBorders>
            <w:shd w:val="clear" w:color="auto" w:fill="auto"/>
            <w:vAlign w:val="center"/>
          </w:tcPr>
          <w:p w14:paraId="05A5F6FA">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4B009626">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0.0145 </w:t>
            </w:r>
          </w:p>
        </w:tc>
        <w:tc>
          <w:tcPr>
            <w:tcW w:w="0" w:type="auto"/>
            <w:tcBorders>
              <w:top w:val="nil"/>
              <w:left w:val="nil"/>
              <w:bottom w:val="nil"/>
              <w:right w:val="nil"/>
            </w:tcBorders>
            <w:shd w:val="clear" w:color="auto" w:fill="auto"/>
            <w:vAlign w:val="center"/>
          </w:tcPr>
          <w:p w14:paraId="708D095F">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r>
      <w:tr w14:paraId="5DE4F2AA">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300C0CA2">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Yangquan</w:t>
            </w:r>
          </w:p>
        </w:tc>
        <w:tc>
          <w:tcPr>
            <w:tcW w:w="0" w:type="auto"/>
            <w:tcBorders>
              <w:top w:val="nil"/>
              <w:left w:val="nil"/>
              <w:bottom w:val="nil"/>
              <w:right w:val="nil"/>
            </w:tcBorders>
            <w:shd w:val="clear" w:color="auto" w:fill="auto"/>
            <w:vAlign w:val="center"/>
          </w:tcPr>
          <w:p w14:paraId="594D5E45">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-0.0093 </w:t>
            </w:r>
          </w:p>
        </w:tc>
        <w:tc>
          <w:tcPr>
            <w:tcW w:w="0" w:type="auto"/>
            <w:tcBorders>
              <w:top w:val="nil"/>
              <w:left w:val="nil"/>
              <w:bottom w:val="nil"/>
              <w:right w:val="nil"/>
            </w:tcBorders>
            <w:shd w:val="clear" w:color="auto" w:fill="auto"/>
            <w:vAlign w:val="center"/>
          </w:tcPr>
          <w:p w14:paraId="0826587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421D313D">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-0.0294 </w:t>
            </w:r>
          </w:p>
        </w:tc>
        <w:tc>
          <w:tcPr>
            <w:tcW w:w="0" w:type="auto"/>
            <w:tcBorders>
              <w:top w:val="nil"/>
              <w:left w:val="nil"/>
              <w:bottom w:val="nil"/>
              <w:right w:val="nil"/>
            </w:tcBorders>
            <w:shd w:val="clear" w:color="auto" w:fill="auto"/>
            <w:vAlign w:val="center"/>
          </w:tcPr>
          <w:p w14:paraId="74F6C0BB">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394CC264">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0.0092 </w:t>
            </w:r>
          </w:p>
        </w:tc>
        <w:tc>
          <w:tcPr>
            <w:tcW w:w="0" w:type="auto"/>
            <w:tcBorders>
              <w:top w:val="nil"/>
              <w:left w:val="nil"/>
              <w:bottom w:val="nil"/>
              <w:right w:val="nil"/>
            </w:tcBorders>
            <w:shd w:val="clear" w:color="auto" w:fill="auto"/>
            <w:vAlign w:val="center"/>
          </w:tcPr>
          <w:p w14:paraId="50CA44ED">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7AC326B0">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-0.0246 </w:t>
            </w:r>
          </w:p>
        </w:tc>
        <w:tc>
          <w:tcPr>
            <w:tcW w:w="0" w:type="auto"/>
            <w:tcBorders>
              <w:top w:val="nil"/>
              <w:left w:val="nil"/>
              <w:bottom w:val="nil"/>
              <w:right w:val="nil"/>
            </w:tcBorders>
            <w:shd w:val="clear" w:color="auto" w:fill="auto"/>
            <w:vAlign w:val="center"/>
          </w:tcPr>
          <w:p w14:paraId="2BB0320A">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217C661A">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0.0070 </w:t>
            </w:r>
          </w:p>
        </w:tc>
        <w:tc>
          <w:tcPr>
            <w:tcW w:w="0" w:type="auto"/>
            <w:tcBorders>
              <w:top w:val="nil"/>
              <w:left w:val="nil"/>
              <w:bottom w:val="nil"/>
              <w:right w:val="nil"/>
            </w:tcBorders>
            <w:shd w:val="clear" w:color="auto" w:fill="auto"/>
            <w:vAlign w:val="center"/>
          </w:tcPr>
          <w:p w14:paraId="3C65BD53">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261CF6BD">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0.0065 </w:t>
            </w:r>
          </w:p>
        </w:tc>
        <w:tc>
          <w:tcPr>
            <w:tcW w:w="0" w:type="auto"/>
            <w:tcBorders>
              <w:top w:val="nil"/>
              <w:left w:val="nil"/>
              <w:bottom w:val="nil"/>
              <w:right w:val="nil"/>
            </w:tcBorders>
            <w:shd w:val="clear" w:color="auto" w:fill="auto"/>
            <w:vAlign w:val="center"/>
          </w:tcPr>
          <w:p w14:paraId="4032857B">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6D378AD6">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-0.0046 </w:t>
            </w:r>
          </w:p>
        </w:tc>
        <w:tc>
          <w:tcPr>
            <w:tcW w:w="0" w:type="auto"/>
            <w:tcBorders>
              <w:top w:val="nil"/>
              <w:left w:val="nil"/>
              <w:bottom w:val="nil"/>
              <w:right w:val="nil"/>
            </w:tcBorders>
            <w:shd w:val="clear" w:color="auto" w:fill="auto"/>
            <w:vAlign w:val="center"/>
          </w:tcPr>
          <w:p w14:paraId="06D614B4">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r>
      <w:tr w14:paraId="1B92026B">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333E4338">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Changzhi</w:t>
            </w:r>
          </w:p>
        </w:tc>
        <w:tc>
          <w:tcPr>
            <w:tcW w:w="0" w:type="auto"/>
            <w:tcBorders>
              <w:top w:val="nil"/>
              <w:left w:val="nil"/>
              <w:bottom w:val="nil"/>
              <w:right w:val="nil"/>
            </w:tcBorders>
            <w:shd w:val="clear" w:color="auto" w:fill="auto"/>
            <w:vAlign w:val="center"/>
          </w:tcPr>
          <w:p w14:paraId="76A57E8D">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-0.0042 </w:t>
            </w:r>
          </w:p>
        </w:tc>
        <w:tc>
          <w:tcPr>
            <w:tcW w:w="0" w:type="auto"/>
            <w:tcBorders>
              <w:top w:val="nil"/>
              <w:left w:val="nil"/>
              <w:bottom w:val="nil"/>
              <w:right w:val="nil"/>
            </w:tcBorders>
            <w:shd w:val="clear" w:color="auto" w:fill="auto"/>
            <w:vAlign w:val="center"/>
          </w:tcPr>
          <w:p w14:paraId="45F4E4CD">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5EFA76CB">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-0.0131 </w:t>
            </w:r>
          </w:p>
        </w:tc>
        <w:tc>
          <w:tcPr>
            <w:tcW w:w="0" w:type="auto"/>
            <w:tcBorders>
              <w:top w:val="nil"/>
              <w:left w:val="nil"/>
              <w:bottom w:val="nil"/>
              <w:right w:val="nil"/>
            </w:tcBorders>
            <w:shd w:val="clear" w:color="auto" w:fill="auto"/>
            <w:vAlign w:val="center"/>
          </w:tcPr>
          <w:p w14:paraId="49AC4048">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702AF1A1">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0.0080 </w:t>
            </w:r>
          </w:p>
        </w:tc>
        <w:tc>
          <w:tcPr>
            <w:tcW w:w="0" w:type="auto"/>
            <w:tcBorders>
              <w:top w:val="nil"/>
              <w:left w:val="nil"/>
              <w:bottom w:val="nil"/>
              <w:right w:val="nil"/>
            </w:tcBorders>
            <w:shd w:val="clear" w:color="auto" w:fill="auto"/>
            <w:vAlign w:val="center"/>
          </w:tcPr>
          <w:p w14:paraId="3A84A7C6">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0E251B31">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-0.0146 </w:t>
            </w:r>
          </w:p>
        </w:tc>
        <w:tc>
          <w:tcPr>
            <w:tcW w:w="0" w:type="auto"/>
            <w:tcBorders>
              <w:top w:val="nil"/>
              <w:left w:val="nil"/>
              <w:bottom w:val="nil"/>
              <w:right w:val="nil"/>
            </w:tcBorders>
            <w:shd w:val="clear" w:color="auto" w:fill="auto"/>
            <w:vAlign w:val="center"/>
          </w:tcPr>
          <w:p w14:paraId="4090EC7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12CD280B">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0.0139 </w:t>
            </w:r>
          </w:p>
        </w:tc>
        <w:tc>
          <w:tcPr>
            <w:tcW w:w="0" w:type="auto"/>
            <w:tcBorders>
              <w:top w:val="nil"/>
              <w:left w:val="nil"/>
              <w:bottom w:val="nil"/>
              <w:right w:val="nil"/>
            </w:tcBorders>
            <w:shd w:val="clear" w:color="auto" w:fill="auto"/>
            <w:vAlign w:val="center"/>
          </w:tcPr>
          <w:p w14:paraId="6385DD0D">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217E1843">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0.0003 </w:t>
            </w:r>
          </w:p>
        </w:tc>
        <w:tc>
          <w:tcPr>
            <w:tcW w:w="0" w:type="auto"/>
            <w:tcBorders>
              <w:top w:val="nil"/>
              <w:left w:val="nil"/>
              <w:bottom w:val="nil"/>
              <w:right w:val="nil"/>
            </w:tcBorders>
            <w:shd w:val="clear" w:color="auto" w:fill="auto"/>
            <w:vAlign w:val="center"/>
          </w:tcPr>
          <w:p w14:paraId="7D758253">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2015AF01">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-0.0001 </w:t>
            </w:r>
          </w:p>
        </w:tc>
        <w:tc>
          <w:tcPr>
            <w:tcW w:w="0" w:type="auto"/>
            <w:tcBorders>
              <w:top w:val="nil"/>
              <w:left w:val="nil"/>
              <w:bottom w:val="nil"/>
              <w:right w:val="nil"/>
            </w:tcBorders>
            <w:shd w:val="clear" w:color="auto" w:fill="auto"/>
            <w:vAlign w:val="center"/>
          </w:tcPr>
          <w:p w14:paraId="7AE76EC9">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r>
      <w:tr w14:paraId="1F095C7D">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4B737DD7">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Jincheng</w:t>
            </w:r>
          </w:p>
        </w:tc>
        <w:tc>
          <w:tcPr>
            <w:tcW w:w="0" w:type="auto"/>
            <w:tcBorders>
              <w:top w:val="nil"/>
              <w:left w:val="nil"/>
              <w:bottom w:val="nil"/>
              <w:right w:val="nil"/>
            </w:tcBorders>
            <w:shd w:val="clear" w:color="auto" w:fill="auto"/>
            <w:vAlign w:val="center"/>
          </w:tcPr>
          <w:p w14:paraId="28AF7913">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0.0070 </w:t>
            </w:r>
          </w:p>
        </w:tc>
        <w:tc>
          <w:tcPr>
            <w:tcW w:w="0" w:type="auto"/>
            <w:tcBorders>
              <w:top w:val="nil"/>
              <w:left w:val="nil"/>
              <w:bottom w:val="nil"/>
              <w:right w:val="nil"/>
            </w:tcBorders>
            <w:shd w:val="clear" w:color="auto" w:fill="auto"/>
            <w:vAlign w:val="center"/>
          </w:tcPr>
          <w:p w14:paraId="6EC48AD1">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050E679E">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-0.0233 </w:t>
            </w:r>
          </w:p>
        </w:tc>
        <w:tc>
          <w:tcPr>
            <w:tcW w:w="0" w:type="auto"/>
            <w:tcBorders>
              <w:top w:val="nil"/>
              <w:left w:val="nil"/>
              <w:bottom w:val="nil"/>
              <w:right w:val="nil"/>
            </w:tcBorders>
            <w:shd w:val="clear" w:color="auto" w:fill="auto"/>
            <w:vAlign w:val="center"/>
          </w:tcPr>
          <w:p w14:paraId="14A9DD43">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539A040B">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0.0267 </w:t>
            </w:r>
          </w:p>
        </w:tc>
        <w:tc>
          <w:tcPr>
            <w:tcW w:w="0" w:type="auto"/>
            <w:tcBorders>
              <w:top w:val="nil"/>
              <w:left w:val="nil"/>
              <w:bottom w:val="nil"/>
              <w:right w:val="nil"/>
            </w:tcBorders>
            <w:shd w:val="clear" w:color="auto" w:fill="auto"/>
            <w:vAlign w:val="center"/>
          </w:tcPr>
          <w:p w14:paraId="5699F662">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6B8DE604">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0.0013 </w:t>
            </w:r>
          </w:p>
        </w:tc>
        <w:tc>
          <w:tcPr>
            <w:tcW w:w="0" w:type="auto"/>
            <w:tcBorders>
              <w:top w:val="nil"/>
              <w:left w:val="nil"/>
              <w:bottom w:val="nil"/>
              <w:right w:val="nil"/>
            </w:tcBorders>
            <w:shd w:val="clear" w:color="auto" w:fill="auto"/>
            <w:vAlign w:val="center"/>
          </w:tcPr>
          <w:p w14:paraId="3DBE0E2E">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3F32D5C0">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0.0327 </w:t>
            </w:r>
          </w:p>
        </w:tc>
        <w:tc>
          <w:tcPr>
            <w:tcW w:w="0" w:type="auto"/>
            <w:tcBorders>
              <w:top w:val="nil"/>
              <w:left w:val="nil"/>
              <w:bottom w:val="nil"/>
              <w:right w:val="nil"/>
            </w:tcBorders>
            <w:shd w:val="clear" w:color="auto" w:fill="auto"/>
            <w:vAlign w:val="center"/>
          </w:tcPr>
          <w:p w14:paraId="1C3EF4D4">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364326D5">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0.0145 </w:t>
            </w:r>
          </w:p>
        </w:tc>
        <w:tc>
          <w:tcPr>
            <w:tcW w:w="0" w:type="auto"/>
            <w:tcBorders>
              <w:top w:val="nil"/>
              <w:left w:val="nil"/>
              <w:bottom w:val="nil"/>
              <w:right w:val="nil"/>
            </w:tcBorders>
            <w:shd w:val="clear" w:color="auto" w:fill="auto"/>
            <w:vAlign w:val="center"/>
          </w:tcPr>
          <w:p w14:paraId="49358D99">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268606B8">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0.0126 </w:t>
            </w:r>
          </w:p>
        </w:tc>
        <w:tc>
          <w:tcPr>
            <w:tcW w:w="0" w:type="auto"/>
            <w:tcBorders>
              <w:top w:val="nil"/>
              <w:left w:val="nil"/>
              <w:bottom w:val="nil"/>
              <w:right w:val="nil"/>
            </w:tcBorders>
            <w:shd w:val="clear" w:color="auto" w:fill="auto"/>
            <w:vAlign w:val="center"/>
          </w:tcPr>
          <w:p w14:paraId="7EBC760A">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r>
      <w:tr w14:paraId="7492B74E">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452DEED1">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Shuozhou</w:t>
            </w:r>
          </w:p>
        </w:tc>
        <w:tc>
          <w:tcPr>
            <w:tcW w:w="0" w:type="auto"/>
            <w:tcBorders>
              <w:top w:val="nil"/>
              <w:left w:val="nil"/>
              <w:bottom w:val="nil"/>
              <w:right w:val="nil"/>
            </w:tcBorders>
            <w:shd w:val="clear" w:color="auto" w:fill="auto"/>
            <w:vAlign w:val="center"/>
          </w:tcPr>
          <w:p w14:paraId="0E2FA5BD">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-0.0150 </w:t>
            </w:r>
          </w:p>
        </w:tc>
        <w:tc>
          <w:tcPr>
            <w:tcW w:w="0" w:type="auto"/>
            <w:tcBorders>
              <w:top w:val="nil"/>
              <w:left w:val="nil"/>
              <w:bottom w:val="nil"/>
              <w:right w:val="nil"/>
            </w:tcBorders>
            <w:shd w:val="clear" w:color="auto" w:fill="auto"/>
            <w:vAlign w:val="center"/>
          </w:tcPr>
          <w:p w14:paraId="54F60705">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7D782FF7">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-0.0507 </w:t>
            </w:r>
          </w:p>
        </w:tc>
        <w:tc>
          <w:tcPr>
            <w:tcW w:w="0" w:type="auto"/>
            <w:tcBorders>
              <w:top w:val="nil"/>
              <w:left w:val="nil"/>
              <w:bottom w:val="nil"/>
              <w:right w:val="nil"/>
            </w:tcBorders>
            <w:shd w:val="clear" w:color="auto" w:fill="auto"/>
            <w:vAlign w:val="center"/>
          </w:tcPr>
          <w:p w14:paraId="06D51F2E">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3919D259">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-0.0046 </w:t>
            </w:r>
          </w:p>
        </w:tc>
        <w:tc>
          <w:tcPr>
            <w:tcW w:w="0" w:type="auto"/>
            <w:tcBorders>
              <w:top w:val="nil"/>
              <w:left w:val="nil"/>
              <w:bottom w:val="nil"/>
              <w:right w:val="nil"/>
            </w:tcBorders>
            <w:shd w:val="clear" w:color="auto" w:fill="auto"/>
            <w:vAlign w:val="center"/>
          </w:tcPr>
          <w:p w14:paraId="2EA7615F">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664F4676">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-0.0299 </w:t>
            </w:r>
          </w:p>
        </w:tc>
        <w:tc>
          <w:tcPr>
            <w:tcW w:w="0" w:type="auto"/>
            <w:tcBorders>
              <w:top w:val="nil"/>
              <w:left w:val="nil"/>
              <w:bottom w:val="nil"/>
              <w:right w:val="nil"/>
            </w:tcBorders>
            <w:shd w:val="clear" w:color="auto" w:fill="auto"/>
            <w:vAlign w:val="center"/>
          </w:tcPr>
          <w:p w14:paraId="0A4F0B9D">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157D4B59">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-0.0078 </w:t>
            </w:r>
          </w:p>
        </w:tc>
        <w:tc>
          <w:tcPr>
            <w:tcW w:w="0" w:type="auto"/>
            <w:tcBorders>
              <w:top w:val="nil"/>
              <w:left w:val="nil"/>
              <w:bottom w:val="nil"/>
              <w:right w:val="nil"/>
            </w:tcBorders>
            <w:shd w:val="clear" w:color="auto" w:fill="auto"/>
            <w:vAlign w:val="center"/>
          </w:tcPr>
          <w:p w14:paraId="02C0497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25CFDDB6">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-0.0062 </w:t>
            </w:r>
          </w:p>
        </w:tc>
        <w:tc>
          <w:tcPr>
            <w:tcW w:w="0" w:type="auto"/>
            <w:tcBorders>
              <w:top w:val="nil"/>
              <w:left w:val="nil"/>
              <w:bottom w:val="nil"/>
              <w:right w:val="nil"/>
            </w:tcBorders>
            <w:shd w:val="clear" w:color="auto" w:fill="auto"/>
            <w:vAlign w:val="center"/>
          </w:tcPr>
          <w:p w14:paraId="3279436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711C4878">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-0.0168 </w:t>
            </w:r>
          </w:p>
        </w:tc>
        <w:tc>
          <w:tcPr>
            <w:tcW w:w="0" w:type="auto"/>
            <w:tcBorders>
              <w:top w:val="nil"/>
              <w:left w:val="nil"/>
              <w:bottom w:val="nil"/>
              <w:right w:val="nil"/>
            </w:tcBorders>
            <w:shd w:val="clear" w:color="auto" w:fill="auto"/>
            <w:vAlign w:val="center"/>
          </w:tcPr>
          <w:p w14:paraId="6515134F">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r>
      <w:tr w14:paraId="236DDDB1">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3B8F23F9">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Jinzhong</w:t>
            </w:r>
          </w:p>
        </w:tc>
        <w:tc>
          <w:tcPr>
            <w:tcW w:w="0" w:type="auto"/>
            <w:tcBorders>
              <w:top w:val="nil"/>
              <w:left w:val="nil"/>
              <w:bottom w:val="nil"/>
              <w:right w:val="nil"/>
            </w:tcBorders>
            <w:shd w:val="clear" w:color="auto" w:fill="auto"/>
            <w:vAlign w:val="center"/>
          </w:tcPr>
          <w:p w14:paraId="7D63CC03">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0.0322 </w:t>
            </w:r>
          </w:p>
        </w:tc>
        <w:tc>
          <w:tcPr>
            <w:tcW w:w="0" w:type="auto"/>
            <w:tcBorders>
              <w:top w:val="nil"/>
              <w:left w:val="nil"/>
              <w:bottom w:val="nil"/>
              <w:right w:val="nil"/>
            </w:tcBorders>
            <w:shd w:val="clear" w:color="auto" w:fill="auto"/>
            <w:vAlign w:val="center"/>
          </w:tcPr>
          <w:p w14:paraId="78969702">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442C14BF">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0.0239 </w:t>
            </w:r>
          </w:p>
        </w:tc>
        <w:tc>
          <w:tcPr>
            <w:tcW w:w="0" w:type="auto"/>
            <w:tcBorders>
              <w:top w:val="nil"/>
              <w:left w:val="nil"/>
              <w:bottom w:val="nil"/>
              <w:right w:val="nil"/>
            </w:tcBorders>
            <w:shd w:val="clear" w:color="auto" w:fill="auto"/>
            <w:vAlign w:val="center"/>
          </w:tcPr>
          <w:p w14:paraId="6A24C850">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2025989B">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-0.0244 </w:t>
            </w:r>
          </w:p>
        </w:tc>
        <w:tc>
          <w:tcPr>
            <w:tcW w:w="0" w:type="auto"/>
            <w:tcBorders>
              <w:top w:val="nil"/>
              <w:left w:val="nil"/>
              <w:bottom w:val="nil"/>
              <w:right w:val="nil"/>
            </w:tcBorders>
            <w:shd w:val="clear" w:color="auto" w:fill="auto"/>
            <w:vAlign w:val="center"/>
          </w:tcPr>
          <w:p w14:paraId="5D5C293B">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33A69BBE">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0.0042 </w:t>
            </w:r>
          </w:p>
        </w:tc>
        <w:tc>
          <w:tcPr>
            <w:tcW w:w="0" w:type="auto"/>
            <w:tcBorders>
              <w:top w:val="nil"/>
              <w:left w:val="nil"/>
              <w:bottom w:val="nil"/>
              <w:right w:val="nil"/>
            </w:tcBorders>
            <w:shd w:val="clear" w:color="auto" w:fill="auto"/>
            <w:vAlign w:val="center"/>
          </w:tcPr>
          <w:p w14:paraId="19B1A3AA">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4EE069DA">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-0.0116 </w:t>
            </w:r>
          </w:p>
        </w:tc>
        <w:tc>
          <w:tcPr>
            <w:tcW w:w="0" w:type="auto"/>
            <w:tcBorders>
              <w:top w:val="nil"/>
              <w:left w:val="nil"/>
              <w:bottom w:val="nil"/>
              <w:right w:val="nil"/>
            </w:tcBorders>
            <w:shd w:val="clear" w:color="auto" w:fill="auto"/>
            <w:vAlign w:val="center"/>
          </w:tcPr>
          <w:p w14:paraId="1249B9C6">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316891C9">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0.0119 </w:t>
            </w:r>
          </w:p>
        </w:tc>
        <w:tc>
          <w:tcPr>
            <w:tcW w:w="0" w:type="auto"/>
            <w:tcBorders>
              <w:top w:val="nil"/>
              <w:left w:val="nil"/>
              <w:bottom w:val="nil"/>
              <w:right w:val="nil"/>
            </w:tcBorders>
            <w:shd w:val="clear" w:color="auto" w:fill="auto"/>
            <w:vAlign w:val="center"/>
          </w:tcPr>
          <w:p w14:paraId="13AD8FF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0479605C">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0.0044 </w:t>
            </w:r>
          </w:p>
        </w:tc>
        <w:tc>
          <w:tcPr>
            <w:tcW w:w="0" w:type="auto"/>
            <w:tcBorders>
              <w:top w:val="nil"/>
              <w:left w:val="nil"/>
              <w:bottom w:val="nil"/>
              <w:right w:val="nil"/>
            </w:tcBorders>
            <w:shd w:val="clear" w:color="auto" w:fill="auto"/>
            <w:vAlign w:val="center"/>
          </w:tcPr>
          <w:p w14:paraId="3F726A89">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r>
      <w:tr w14:paraId="08D2EE0E">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48DE938F">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Yuncheng</w:t>
            </w:r>
          </w:p>
        </w:tc>
        <w:tc>
          <w:tcPr>
            <w:tcW w:w="0" w:type="auto"/>
            <w:tcBorders>
              <w:top w:val="nil"/>
              <w:left w:val="nil"/>
              <w:bottom w:val="nil"/>
              <w:right w:val="nil"/>
            </w:tcBorders>
            <w:shd w:val="clear" w:color="auto" w:fill="auto"/>
            <w:vAlign w:val="center"/>
          </w:tcPr>
          <w:p w14:paraId="1DCFC100">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0.0012 </w:t>
            </w:r>
          </w:p>
        </w:tc>
        <w:tc>
          <w:tcPr>
            <w:tcW w:w="0" w:type="auto"/>
            <w:tcBorders>
              <w:top w:val="nil"/>
              <w:left w:val="nil"/>
              <w:bottom w:val="nil"/>
              <w:right w:val="nil"/>
            </w:tcBorders>
            <w:shd w:val="clear" w:color="auto" w:fill="auto"/>
            <w:vAlign w:val="center"/>
          </w:tcPr>
          <w:p w14:paraId="462BCDA1">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197C6EE9">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0.0265 </w:t>
            </w:r>
          </w:p>
        </w:tc>
        <w:tc>
          <w:tcPr>
            <w:tcW w:w="0" w:type="auto"/>
            <w:tcBorders>
              <w:top w:val="nil"/>
              <w:left w:val="nil"/>
              <w:bottom w:val="nil"/>
              <w:right w:val="nil"/>
            </w:tcBorders>
            <w:shd w:val="clear" w:color="auto" w:fill="auto"/>
            <w:vAlign w:val="center"/>
          </w:tcPr>
          <w:p w14:paraId="55B796D1">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7F21B646">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-0.0170 </w:t>
            </w:r>
          </w:p>
        </w:tc>
        <w:tc>
          <w:tcPr>
            <w:tcW w:w="0" w:type="auto"/>
            <w:tcBorders>
              <w:top w:val="nil"/>
              <w:left w:val="nil"/>
              <w:bottom w:val="nil"/>
              <w:right w:val="nil"/>
            </w:tcBorders>
            <w:shd w:val="clear" w:color="auto" w:fill="auto"/>
            <w:vAlign w:val="center"/>
          </w:tcPr>
          <w:p w14:paraId="4B5AA047">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6EC39F94">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0.0069 </w:t>
            </w:r>
          </w:p>
        </w:tc>
        <w:tc>
          <w:tcPr>
            <w:tcW w:w="0" w:type="auto"/>
            <w:tcBorders>
              <w:top w:val="nil"/>
              <w:left w:val="nil"/>
              <w:bottom w:val="nil"/>
              <w:right w:val="nil"/>
            </w:tcBorders>
            <w:shd w:val="clear" w:color="auto" w:fill="auto"/>
            <w:vAlign w:val="center"/>
          </w:tcPr>
          <w:p w14:paraId="61CDDE29">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31D0AC3A">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-0.0021 </w:t>
            </w:r>
          </w:p>
        </w:tc>
        <w:tc>
          <w:tcPr>
            <w:tcW w:w="0" w:type="auto"/>
            <w:tcBorders>
              <w:top w:val="nil"/>
              <w:left w:val="nil"/>
              <w:bottom w:val="nil"/>
              <w:right w:val="nil"/>
            </w:tcBorders>
            <w:shd w:val="clear" w:color="auto" w:fill="auto"/>
            <w:vAlign w:val="center"/>
          </w:tcPr>
          <w:p w14:paraId="2D6C050A">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240A0D8D">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-0.0130 </w:t>
            </w:r>
          </w:p>
        </w:tc>
        <w:tc>
          <w:tcPr>
            <w:tcW w:w="0" w:type="auto"/>
            <w:tcBorders>
              <w:top w:val="nil"/>
              <w:left w:val="nil"/>
              <w:bottom w:val="nil"/>
              <w:right w:val="nil"/>
            </w:tcBorders>
            <w:shd w:val="clear" w:color="auto" w:fill="auto"/>
            <w:vAlign w:val="center"/>
          </w:tcPr>
          <w:p w14:paraId="30B6A78D">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6A469114">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-0.0011 </w:t>
            </w:r>
          </w:p>
        </w:tc>
        <w:tc>
          <w:tcPr>
            <w:tcW w:w="0" w:type="auto"/>
            <w:tcBorders>
              <w:top w:val="nil"/>
              <w:left w:val="nil"/>
              <w:bottom w:val="nil"/>
              <w:right w:val="nil"/>
            </w:tcBorders>
            <w:shd w:val="clear" w:color="auto" w:fill="auto"/>
            <w:vAlign w:val="center"/>
          </w:tcPr>
          <w:p w14:paraId="3038A9B2">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r>
      <w:tr w14:paraId="1083EDEE">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1F034124">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Xinzhou</w:t>
            </w:r>
          </w:p>
        </w:tc>
        <w:tc>
          <w:tcPr>
            <w:tcW w:w="0" w:type="auto"/>
            <w:tcBorders>
              <w:top w:val="nil"/>
              <w:left w:val="nil"/>
              <w:bottom w:val="nil"/>
              <w:right w:val="nil"/>
            </w:tcBorders>
            <w:shd w:val="clear" w:color="auto" w:fill="auto"/>
            <w:vAlign w:val="center"/>
          </w:tcPr>
          <w:p w14:paraId="5AE6C271">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0.0272 </w:t>
            </w:r>
          </w:p>
        </w:tc>
        <w:tc>
          <w:tcPr>
            <w:tcW w:w="0" w:type="auto"/>
            <w:tcBorders>
              <w:top w:val="nil"/>
              <w:left w:val="nil"/>
              <w:bottom w:val="nil"/>
              <w:right w:val="nil"/>
            </w:tcBorders>
            <w:shd w:val="clear" w:color="auto" w:fill="auto"/>
            <w:vAlign w:val="center"/>
          </w:tcPr>
          <w:p w14:paraId="61BE4403">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5B44148F">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0.0412 </w:t>
            </w:r>
          </w:p>
        </w:tc>
        <w:tc>
          <w:tcPr>
            <w:tcW w:w="0" w:type="auto"/>
            <w:tcBorders>
              <w:top w:val="nil"/>
              <w:left w:val="nil"/>
              <w:bottom w:val="nil"/>
              <w:right w:val="nil"/>
            </w:tcBorders>
            <w:shd w:val="clear" w:color="auto" w:fill="auto"/>
            <w:vAlign w:val="center"/>
          </w:tcPr>
          <w:p w14:paraId="5DD59A3F">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668B5D18">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0.0307 </w:t>
            </w:r>
          </w:p>
        </w:tc>
        <w:tc>
          <w:tcPr>
            <w:tcW w:w="0" w:type="auto"/>
            <w:tcBorders>
              <w:top w:val="nil"/>
              <w:left w:val="nil"/>
              <w:bottom w:val="nil"/>
              <w:right w:val="nil"/>
            </w:tcBorders>
            <w:shd w:val="clear" w:color="auto" w:fill="auto"/>
            <w:vAlign w:val="center"/>
          </w:tcPr>
          <w:p w14:paraId="0B7F4560">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2C953DAE">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0.0232 </w:t>
            </w:r>
          </w:p>
        </w:tc>
        <w:tc>
          <w:tcPr>
            <w:tcW w:w="0" w:type="auto"/>
            <w:tcBorders>
              <w:top w:val="nil"/>
              <w:left w:val="nil"/>
              <w:bottom w:val="nil"/>
              <w:right w:val="nil"/>
            </w:tcBorders>
            <w:shd w:val="clear" w:color="auto" w:fill="auto"/>
            <w:vAlign w:val="center"/>
          </w:tcPr>
          <w:p w14:paraId="746C12D3">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711B27F4">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0.0457 </w:t>
            </w:r>
          </w:p>
        </w:tc>
        <w:tc>
          <w:tcPr>
            <w:tcW w:w="0" w:type="auto"/>
            <w:tcBorders>
              <w:top w:val="nil"/>
              <w:left w:val="nil"/>
              <w:bottom w:val="nil"/>
              <w:right w:val="nil"/>
            </w:tcBorders>
            <w:shd w:val="clear" w:color="auto" w:fill="auto"/>
            <w:vAlign w:val="center"/>
          </w:tcPr>
          <w:p w14:paraId="39D8ACDC">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486C3915">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0.0113 </w:t>
            </w:r>
          </w:p>
        </w:tc>
        <w:tc>
          <w:tcPr>
            <w:tcW w:w="0" w:type="auto"/>
            <w:tcBorders>
              <w:top w:val="nil"/>
              <w:left w:val="nil"/>
              <w:bottom w:val="nil"/>
              <w:right w:val="nil"/>
            </w:tcBorders>
            <w:shd w:val="clear" w:color="auto" w:fill="auto"/>
            <w:vAlign w:val="center"/>
          </w:tcPr>
          <w:p w14:paraId="7AD6A734">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17D96829">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0.0297 </w:t>
            </w:r>
          </w:p>
        </w:tc>
        <w:tc>
          <w:tcPr>
            <w:tcW w:w="0" w:type="auto"/>
            <w:tcBorders>
              <w:top w:val="nil"/>
              <w:left w:val="nil"/>
              <w:bottom w:val="nil"/>
              <w:right w:val="nil"/>
            </w:tcBorders>
            <w:shd w:val="clear" w:color="auto" w:fill="auto"/>
            <w:vAlign w:val="center"/>
          </w:tcPr>
          <w:p w14:paraId="0A7DA086">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r>
      <w:tr w14:paraId="3544B097">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304B6E3F">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Linfen</w:t>
            </w:r>
          </w:p>
        </w:tc>
        <w:tc>
          <w:tcPr>
            <w:tcW w:w="0" w:type="auto"/>
            <w:tcBorders>
              <w:top w:val="nil"/>
              <w:left w:val="nil"/>
              <w:bottom w:val="nil"/>
              <w:right w:val="nil"/>
            </w:tcBorders>
            <w:shd w:val="clear" w:color="auto" w:fill="auto"/>
            <w:vAlign w:val="center"/>
          </w:tcPr>
          <w:p w14:paraId="58D135DC">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0.0107 </w:t>
            </w:r>
          </w:p>
        </w:tc>
        <w:tc>
          <w:tcPr>
            <w:tcW w:w="0" w:type="auto"/>
            <w:tcBorders>
              <w:top w:val="nil"/>
              <w:left w:val="nil"/>
              <w:bottom w:val="nil"/>
              <w:right w:val="nil"/>
            </w:tcBorders>
            <w:shd w:val="clear" w:color="auto" w:fill="auto"/>
            <w:vAlign w:val="center"/>
          </w:tcPr>
          <w:p w14:paraId="6D0C23FE">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05CDB6C5">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0.0300 </w:t>
            </w:r>
          </w:p>
        </w:tc>
        <w:tc>
          <w:tcPr>
            <w:tcW w:w="0" w:type="auto"/>
            <w:tcBorders>
              <w:top w:val="nil"/>
              <w:left w:val="nil"/>
              <w:bottom w:val="nil"/>
              <w:right w:val="nil"/>
            </w:tcBorders>
            <w:shd w:val="clear" w:color="auto" w:fill="auto"/>
            <w:vAlign w:val="center"/>
          </w:tcPr>
          <w:p w14:paraId="3FE961D5">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775B000B">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0.0152 </w:t>
            </w:r>
          </w:p>
        </w:tc>
        <w:tc>
          <w:tcPr>
            <w:tcW w:w="0" w:type="auto"/>
            <w:tcBorders>
              <w:top w:val="nil"/>
              <w:left w:val="nil"/>
              <w:bottom w:val="nil"/>
              <w:right w:val="nil"/>
            </w:tcBorders>
            <w:shd w:val="clear" w:color="auto" w:fill="auto"/>
            <w:vAlign w:val="center"/>
          </w:tcPr>
          <w:p w14:paraId="791D93C3">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7EBAA416">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0.0288 </w:t>
            </w:r>
          </w:p>
        </w:tc>
        <w:tc>
          <w:tcPr>
            <w:tcW w:w="0" w:type="auto"/>
            <w:tcBorders>
              <w:top w:val="nil"/>
              <w:left w:val="nil"/>
              <w:bottom w:val="nil"/>
              <w:right w:val="nil"/>
            </w:tcBorders>
            <w:shd w:val="clear" w:color="auto" w:fill="auto"/>
            <w:vAlign w:val="center"/>
          </w:tcPr>
          <w:p w14:paraId="5935D0C2">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00968A8E">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0.0349 </w:t>
            </w:r>
          </w:p>
        </w:tc>
        <w:tc>
          <w:tcPr>
            <w:tcW w:w="0" w:type="auto"/>
            <w:tcBorders>
              <w:top w:val="nil"/>
              <w:left w:val="nil"/>
              <w:bottom w:val="nil"/>
              <w:right w:val="nil"/>
            </w:tcBorders>
            <w:shd w:val="clear" w:color="auto" w:fill="auto"/>
            <w:vAlign w:val="center"/>
          </w:tcPr>
          <w:p w14:paraId="2A4E2887">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c>
          <w:tcPr>
            <w:tcW w:w="0" w:type="auto"/>
            <w:tcBorders>
              <w:top w:val="nil"/>
              <w:left w:val="nil"/>
              <w:bottom w:val="nil"/>
              <w:right w:val="nil"/>
            </w:tcBorders>
            <w:shd w:val="clear" w:color="auto" w:fill="auto"/>
            <w:vAlign w:val="center"/>
          </w:tcPr>
          <w:p w14:paraId="13758CB4">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-0.0031 </w:t>
            </w:r>
          </w:p>
        </w:tc>
        <w:tc>
          <w:tcPr>
            <w:tcW w:w="0" w:type="auto"/>
            <w:tcBorders>
              <w:top w:val="nil"/>
              <w:left w:val="nil"/>
              <w:bottom w:val="nil"/>
              <w:right w:val="nil"/>
            </w:tcBorders>
            <w:shd w:val="clear" w:color="auto" w:fill="auto"/>
            <w:vAlign w:val="center"/>
          </w:tcPr>
          <w:p w14:paraId="1FA38336">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5EED7815">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0.0192 </w:t>
            </w:r>
          </w:p>
        </w:tc>
        <w:tc>
          <w:tcPr>
            <w:tcW w:w="0" w:type="auto"/>
            <w:tcBorders>
              <w:top w:val="nil"/>
              <w:left w:val="nil"/>
              <w:bottom w:val="nil"/>
              <w:right w:val="nil"/>
            </w:tcBorders>
            <w:shd w:val="clear" w:color="auto" w:fill="auto"/>
            <w:vAlign w:val="center"/>
          </w:tcPr>
          <w:p w14:paraId="5724AE6F">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w:t>
            </w:r>
          </w:p>
        </w:tc>
      </w:tr>
      <w:tr w14:paraId="68753BA9">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nil"/>
              <w:right w:val="nil"/>
            </w:tcBorders>
            <w:shd w:val="clear" w:color="auto" w:fill="auto"/>
            <w:vAlign w:val="center"/>
          </w:tcPr>
          <w:p w14:paraId="273769A6">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Lvliang</w:t>
            </w:r>
          </w:p>
        </w:tc>
        <w:tc>
          <w:tcPr>
            <w:tcW w:w="0" w:type="auto"/>
            <w:tcBorders>
              <w:top w:val="nil"/>
              <w:left w:val="nil"/>
              <w:bottom w:val="nil"/>
              <w:right w:val="nil"/>
            </w:tcBorders>
            <w:shd w:val="clear" w:color="auto" w:fill="auto"/>
            <w:vAlign w:val="center"/>
          </w:tcPr>
          <w:p w14:paraId="13DCC226">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-0.0096 </w:t>
            </w:r>
          </w:p>
        </w:tc>
        <w:tc>
          <w:tcPr>
            <w:tcW w:w="0" w:type="auto"/>
            <w:tcBorders>
              <w:top w:val="nil"/>
              <w:left w:val="nil"/>
              <w:bottom w:val="nil"/>
              <w:right w:val="nil"/>
            </w:tcBorders>
            <w:shd w:val="clear" w:color="auto" w:fill="auto"/>
            <w:vAlign w:val="center"/>
          </w:tcPr>
          <w:p w14:paraId="1710F22A">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0026FE3E">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-0.0030 </w:t>
            </w:r>
          </w:p>
        </w:tc>
        <w:tc>
          <w:tcPr>
            <w:tcW w:w="0" w:type="auto"/>
            <w:tcBorders>
              <w:top w:val="nil"/>
              <w:left w:val="nil"/>
              <w:bottom w:val="nil"/>
              <w:right w:val="nil"/>
            </w:tcBorders>
            <w:shd w:val="clear" w:color="auto" w:fill="auto"/>
            <w:vAlign w:val="center"/>
          </w:tcPr>
          <w:p w14:paraId="72F440D9">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1F68CB1B">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-0.0055 </w:t>
            </w:r>
          </w:p>
        </w:tc>
        <w:tc>
          <w:tcPr>
            <w:tcW w:w="0" w:type="auto"/>
            <w:tcBorders>
              <w:top w:val="nil"/>
              <w:left w:val="nil"/>
              <w:bottom w:val="nil"/>
              <w:right w:val="nil"/>
            </w:tcBorders>
            <w:shd w:val="clear" w:color="auto" w:fill="auto"/>
            <w:vAlign w:val="center"/>
          </w:tcPr>
          <w:p w14:paraId="12449FDB">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6DB54E40">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-0.0061 </w:t>
            </w:r>
          </w:p>
        </w:tc>
        <w:tc>
          <w:tcPr>
            <w:tcW w:w="0" w:type="auto"/>
            <w:tcBorders>
              <w:top w:val="nil"/>
              <w:left w:val="nil"/>
              <w:bottom w:val="nil"/>
              <w:right w:val="nil"/>
            </w:tcBorders>
            <w:shd w:val="clear" w:color="auto" w:fill="auto"/>
            <w:vAlign w:val="center"/>
          </w:tcPr>
          <w:p w14:paraId="5F87E835">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c>
          <w:tcPr>
            <w:tcW w:w="0" w:type="auto"/>
            <w:tcBorders>
              <w:top w:val="nil"/>
              <w:left w:val="nil"/>
              <w:bottom w:val="nil"/>
              <w:right w:val="nil"/>
            </w:tcBorders>
            <w:shd w:val="clear" w:color="auto" w:fill="auto"/>
            <w:vAlign w:val="center"/>
          </w:tcPr>
          <w:p w14:paraId="7BE415F0">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sz w:val="24"/>
                <w:szCs w:val="24"/>
                <w:lang w:bidi="ar"/>
              </w:rPr>
              <w:t xml:space="preserve">0.0096 </w:t>
            </w:r>
          </w:p>
        </w:tc>
        <w:tc>
          <w:tcPr>
            <w:tcW w:w="0" w:type="auto"/>
            <w:tcBorders>
              <w:top w:val="nil"/>
              <w:left w:val="nil"/>
              <w:bottom w:val="nil"/>
              <w:right w:val="nil"/>
            </w:tcBorders>
            <w:shd w:val="clear" w:color="auto" w:fill="auto"/>
            <w:vAlign w:val="center"/>
          </w:tcPr>
          <w:p w14:paraId="782A8C79">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w:t>
            </w:r>
          </w:p>
        </w:tc>
        <w:tc>
          <w:tcPr>
            <w:tcW w:w="0" w:type="auto"/>
            <w:tcBorders>
              <w:top w:val="nil"/>
              <w:left w:val="nil"/>
              <w:bottom w:val="nil"/>
              <w:right w:val="nil"/>
            </w:tcBorders>
            <w:shd w:val="clear" w:color="auto" w:fill="auto"/>
            <w:vAlign w:val="center"/>
          </w:tcPr>
          <w:p w14:paraId="135BFA91">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-0.0174 </w:t>
            </w:r>
          </w:p>
        </w:tc>
        <w:tc>
          <w:tcPr>
            <w:tcW w:w="0" w:type="auto"/>
            <w:tcBorders>
              <w:top w:val="nil"/>
              <w:left w:val="nil"/>
              <w:bottom w:val="nil"/>
              <w:right w:val="nil"/>
            </w:tcBorders>
            <w:shd w:val="clear" w:color="auto" w:fill="auto"/>
            <w:vAlign w:val="center"/>
          </w:tcPr>
          <w:p w14:paraId="4AA842D9">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IV</w:t>
            </w:r>
          </w:p>
        </w:tc>
        <w:tc>
          <w:tcPr>
            <w:tcW w:w="0" w:type="auto"/>
            <w:tcBorders>
              <w:top w:val="nil"/>
              <w:left w:val="nil"/>
              <w:bottom w:val="nil"/>
              <w:right w:val="nil"/>
            </w:tcBorders>
            <w:shd w:val="clear" w:color="auto" w:fill="auto"/>
            <w:vAlign w:val="center"/>
          </w:tcPr>
          <w:p w14:paraId="3419652F">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 xml:space="preserve">-0.0049 </w:t>
            </w:r>
          </w:p>
        </w:tc>
        <w:tc>
          <w:tcPr>
            <w:tcW w:w="0" w:type="auto"/>
            <w:tcBorders>
              <w:top w:val="nil"/>
              <w:left w:val="nil"/>
              <w:bottom w:val="nil"/>
              <w:right w:val="nil"/>
            </w:tcBorders>
            <w:shd w:val="clear" w:color="auto" w:fill="auto"/>
            <w:vAlign w:val="center"/>
          </w:tcPr>
          <w:p w14:paraId="4D4B9A8F">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III</w:t>
            </w:r>
          </w:p>
        </w:tc>
      </w:tr>
      <w:tr w14:paraId="3BD0851E">
        <w:tblPrEx>
          <w:tblBorders>
            <w:top w:val="single" w:color="auto" w:sz="8" w:space="0"/>
            <w:left w:val="none" w:color="auto" w:sz="6" w:space="0"/>
            <w:bottom w:val="single" w:color="auto" w:sz="8" w:space="0"/>
            <w:right w:val="none" w:color="auto" w:sz="6" w:space="0"/>
            <w:insideH w:val="outset" w:color="auto" w:sz="6" w:space="0"/>
            <w:insideV w:val="outset" w:color="auto" w:sz="6" w:space="0"/>
          </w:tblBorders>
          <w:tblCellMar>
            <w:top w:w="0" w:type="dxa"/>
            <w:left w:w="108" w:type="dxa"/>
            <w:bottom w:w="0" w:type="dxa"/>
            <w:right w:w="108" w:type="dxa"/>
          </w:tblCellMar>
        </w:tblPrEx>
        <w:tc>
          <w:tcPr>
            <w:tcW w:w="0" w:type="auto"/>
            <w:tcBorders>
              <w:top w:val="nil"/>
              <w:left w:val="nil"/>
              <w:bottom w:val="single" w:color="auto" w:sz="4" w:space="0"/>
              <w:right w:val="nil"/>
            </w:tcBorders>
            <w:shd w:val="clear" w:color="auto" w:fill="auto"/>
            <w:vAlign w:val="center"/>
          </w:tcPr>
          <w:p w14:paraId="747EA8D2">
            <w:pPr>
              <w:spacing w:after="0" w:line="240" w:lineRule="auto"/>
              <w:ind w:left="0" w:hanging="2"/>
              <w:rPr>
                <w:rFonts w:ascii="Times New Roman" w:hAnsi="Times New Roman" w:cs="Times New Roman"/>
                <w:sz w:val="24"/>
                <w:szCs w:val="24"/>
                <w:shd w:val="clear" w:color="auto" w:fill="FFFFFF"/>
              </w:rPr>
            </w:pPr>
            <w:r>
              <w:rPr>
                <w:rFonts w:ascii="Times New Roman" w:hAnsi="Times New Roman" w:eastAsia="SimSun" w:cs="Times New Roman"/>
                <w:kern w:val="2"/>
                <w:position w:val="-12"/>
                <w:sz w:val="24"/>
                <w:szCs w:val="24"/>
                <w:shd w:val="clear" w:color="auto" w:fill="FFFFFF"/>
                <w:lang w:bidi="ar"/>
              </w:rPr>
              <w:t>SMI</w:t>
            </w:r>
          </w:p>
        </w:tc>
        <w:tc>
          <w:tcPr>
            <w:tcW w:w="0" w:type="auto"/>
            <w:tcBorders>
              <w:top w:val="nil"/>
              <w:left w:val="nil"/>
              <w:bottom w:val="single" w:color="auto" w:sz="4" w:space="0"/>
              <w:right w:val="nil"/>
            </w:tcBorders>
            <w:shd w:val="clear" w:color="auto" w:fill="auto"/>
            <w:vAlign w:val="center"/>
          </w:tcPr>
          <w:p w14:paraId="3A1F65BE">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0.0142</w:t>
            </w:r>
          </w:p>
        </w:tc>
        <w:tc>
          <w:tcPr>
            <w:tcW w:w="0" w:type="auto"/>
            <w:tcBorders>
              <w:top w:val="nil"/>
              <w:left w:val="nil"/>
              <w:bottom w:val="single" w:color="auto" w:sz="4" w:space="0"/>
              <w:right w:val="nil"/>
            </w:tcBorders>
            <w:shd w:val="clear" w:color="auto" w:fill="auto"/>
            <w:vAlign w:val="center"/>
          </w:tcPr>
          <w:p w14:paraId="618F01C3">
            <w:pPr>
              <w:spacing w:after="0" w:line="240" w:lineRule="auto"/>
              <w:ind w:left="0" w:hanging="2"/>
              <w:jc w:val="center"/>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w:t>
            </w:r>
          </w:p>
        </w:tc>
        <w:tc>
          <w:tcPr>
            <w:tcW w:w="0" w:type="auto"/>
            <w:tcBorders>
              <w:top w:val="nil"/>
              <w:left w:val="nil"/>
              <w:bottom w:val="single" w:color="auto" w:sz="4" w:space="0"/>
              <w:right w:val="nil"/>
            </w:tcBorders>
            <w:shd w:val="clear" w:color="auto" w:fill="auto"/>
            <w:vAlign w:val="center"/>
          </w:tcPr>
          <w:p w14:paraId="46438A94">
            <w:pPr>
              <w:spacing w:after="0" w:line="240" w:lineRule="auto"/>
              <w:ind w:left="0" w:hanging="2"/>
              <w:jc w:val="right"/>
              <w:textAlignment w:val="center"/>
              <w:rPr>
                <w:rFonts w:ascii="Times New Roman" w:hAnsi="Times New Roman" w:cs="Times New Roman"/>
                <w:sz w:val="24"/>
                <w:szCs w:val="24"/>
              </w:rPr>
            </w:pPr>
            <w:r>
              <w:rPr>
                <w:rFonts w:ascii="Times New Roman" w:hAnsi="Times New Roman" w:eastAsia="SimSun" w:cs="Times New Roman"/>
                <w:kern w:val="2"/>
                <w:sz w:val="24"/>
                <w:szCs w:val="24"/>
                <w:lang w:bidi="ar"/>
              </w:rPr>
              <w:t>0.0245</w:t>
            </w:r>
          </w:p>
        </w:tc>
        <w:tc>
          <w:tcPr>
            <w:tcW w:w="0" w:type="auto"/>
            <w:tcBorders>
              <w:top w:val="nil"/>
              <w:left w:val="nil"/>
              <w:bottom w:val="single" w:color="auto" w:sz="4" w:space="0"/>
              <w:right w:val="nil"/>
            </w:tcBorders>
            <w:shd w:val="clear" w:color="auto" w:fill="auto"/>
            <w:vAlign w:val="center"/>
          </w:tcPr>
          <w:p w14:paraId="28282975">
            <w:pPr>
              <w:spacing w:after="0" w:line="240" w:lineRule="auto"/>
              <w:ind w:left="0" w:hanging="2"/>
              <w:jc w:val="center"/>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w:t>
            </w:r>
          </w:p>
        </w:tc>
        <w:tc>
          <w:tcPr>
            <w:tcW w:w="0" w:type="auto"/>
            <w:tcBorders>
              <w:top w:val="nil"/>
              <w:left w:val="nil"/>
              <w:bottom w:val="single" w:color="auto" w:sz="4" w:space="0"/>
              <w:right w:val="nil"/>
            </w:tcBorders>
            <w:shd w:val="clear" w:color="auto" w:fill="auto"/>
            <w:vAlign w:val="center"/>
          </w:tcPr>
          <w:p w14:paraId="27CB313E">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0.0207</w:t>
            </w:r>
          </w:p>
        </w:tc>
        <w:tc>
          <w:tcPr>
            <w:tcW w:w="0" w:type="auto"/>
            <w:tcBorders>
              <w:top w:val="nil"/>
              <w:left w:val="nil"/>
              <w:bottom w:val="single" w:color="auto" w:sz="4" w:space="0"/>
              <w:right w:val="nil"/>
            </w:tcBorders>
            <w:shd w:val="clear" w:color="auto" w:fill="auto"/>
            <w:vAlign w:val="center"/>
          </w:tcPr>
          <w:p w14:paraId="392CD2CB">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w:t>
            </w:r>
          </w:p>
        </w:tc>
        <w:tc>
          <w:tcPr>
            <w:tcW w:w="0" w:type="auto"/>
            <w:tcBorders>
              <w:top w:val="nil"/>
              <w:left w:val="nil"/>
              <w:bottom w:val="single" w:color="auto" w:sz="4" w:space="0"/>
              <w:right w:val="nil"/>
            </w:tcBorders>
            <w:shd w:val="clear" w:color="auto" w:fill="auto"/>
            <w:vAlign w:val="center"/>
          </w:tcPr>
          <w:p w14:paraId="079F833A">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0.0137</w:t>
            </w:r>
          </w:p>
        </w:tc>
        <w:tc>
          <w:tcPr>
            <w:tcW w:w="0" w:type="auto"/>
            <w:tcBorders>
              <w:top w:val="nil"/>
              <w:left w:val="nil"/>
              <w:bottom w:val="single" w:color="auto" w:sz="4" w:space="0"/>
              <w:right w:val="nil"/>
            </w:tcBorders>
            <w:shd w:val="clear" w:color="auto" w:fill="auto"/>
            <w:vAlign w:val="center"/>
          </w:tcPr>
          <w:p w14:paraId="0D79F482">
            <w:pPr>
              <w:spacing w:after="0" w:line="240" w:lineRule="auto"/>
              <w:ind w:left="0" w:hanging="2"/>
              <w:jc w:val="center"/>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w:t>
            </w:r>
          </w:p>
        </w:tc>
        <w:tc>
          <w:tcPr>
            <w:tcW w:w="0" w:type="auto"/>
            <w:tcBorders>
              <w:top w:val="nil"/>
              <w:left w:val="nil"/>
              <w:bottom w:val="single" w:color="auto" w:sz="4" w:space="0"/>
              <w:right w:val="nil"/>
            </w:tcBorders>
            <w:shd w:val="clear" w:color="auto" w:fill="auto"/>
            <w:vAlign w:val="center"/>
          </w:tcPr>
          <w:p w14:paraId="1AA5C7B1">
            <w:pPr>
              <w:spacing w:after="0" w:line="240" w:lineRule="auto"/>
              <w:ind w:left="0" w:hanging="2"/>
              <w:jc w:val="right"/>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0.0334</w:t>
            </w:r>
          </w:p>
        </w:tc>
        <w:tc>
          <w:tcPr>
            <w:tcW w:w="0" w:type="auto"/>
            <w:tcBorders>
              <w:top w:val="nil"/>
              <w:left w:val="nil"/>
              <w:bottom w:val="single" w:color="auto" w:sz="4" w:space="0"/>
              <w:right w:val="nil"/>
            </w:tcBorders>
            <w:shd w:val="clear" w:color="auto" w:fill="auto"/>
            <w:vAlign w:val="center"/>
          </w:tcPr>
          <w:p w14:paraId="64EA8812">
            <w:pPr>
              <w:spacing w:after="0" w:line="240" w:lineRule="auto"/>
              <w:ind w:left="0" w:hanging="2"/>
              <w:jc w:val="center"/>
              <w:textAlignment w:val="center"/>
              <w:rPr>
                <w:rFonts w:ascii="Times New Roman" w:hAnsi="Times New Roman" w:cs="Times New Roman"/>
                <w:sz w:val="24"/>
                <w:szCs w:val="24"/>
                <w:shd w:val="clear" w:color="auto" w:fill="FFFFFF"/>
              </w:rPr>
            </w:pPr>
            <w:r>
              <w:rPr>
                <w:rFonts w:ascii="Times New Roman" w:hAnsi="Times New Roman" w:eastAsia="SimSun" w:cs="Times New Roman"/>
                <w:kern w:val="2"/>
                <w:sz w:val="24"/>
                <w:szCs w:val="24"/>
                <w:shd w:val="clear" w:color="auto" w:fill="FFFFFF"/>
                <w:lang w:bidi="ar"/>
              </w:rPr>
              <w:t>-</w:t>
            </w:r>
          </w:p>
        </w:tc>
        <w:tc>
          <w:tcPr>
            <w:tcW w:w="0" w:type="auto"/>
            <w:tcBorders>
              <w:top w:val="nil"/>
              <w:left w:val="nil"/>
              <w:bottom w:val="single" w:color="auto" w:sz="4" w:space="0"/>
              <w:right w:val="nil"/>
            </w:tcBorders>
            <w:shd w:val="clear" w:color="auto" w:fill="auto"/>
            <w:vAlign w:val="center"/>
          </w:tcPr>
          <w:p w14:paraId="14731247">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0.0108</w:t>
            </w:r>
          </w:p>
        </w:tc>
        <w:tc>
          <w:tcPr>
            <w:tcW w:w="0" w:type="auto"/>
            <w:tcBorders>
              <w:top w:val="nil"/>
              <w:left w:val="nil"/>
              <w:bottom w:val="single" w:color="auto" w:sz="4" w:space="0"/>
              <w:right w:val="nil"/>
            </w:tcBorders>
            <w:shd w:val="clear" w:color="auto" w:fill="auto"/>
            <w:vAlign w:val="center"/>
          </w:tcPr>
          <w:p w14:paraId="1D90EB50">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w:t>
            </w:r>
          </w:p>
        </w:tc>
        <w:tc>
          <w:tcPr>
            <w:tcW w:w="0" w:type="auto"/>
            <w:tcBorders>
              <w:top w:val="nil"/>
              <w:left w:val="nil"/>
              <w:bottom w:val="single" w:color="auto" w:sz="4" w:space="0"/>
              <w:right w:val="nil"/>
            </w:tcBorders>
            <w:shd w:val="clear" w:color="auto" w:fill="auto"/>
            <w:vAlign w:val="center"/>
          </w:tcPr>
          <w:p w14:paraId="5BA01468">
            <w:pPr>
              <w:spacing w:after="0" w:line="240" w:lineRule="auto"/>
              <w:ind w:left="0" w:hanging="2"/>
              <w:jc w:val="right"/>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0.0146</w:t>
            </w:r>
          </w:p>
        </w:tc>
        <w:tc>
          <w:tcPr>
            <w:tcW w:w="0" w:type="auto"/>
            <w:tcBorders>
              <w:top w:val="nil"/>
              <w:left w:val="nil"/>
              <w:bottom w:val="single" w:color="auto" w:sz="4" w:space="0"/>
              <w:right w:val="nil"/>
            </w:tcBorders>
            <w:shd w:val="clear" w:color="auto" w:fill="auto"/>
            <w:vAlign w:val="center"/>
          </w:tcPr>
          <w:p w14:paraId="273BCA66">
            <w:pPr>
              <w:spacing w:after="0" w:line="240" w:lineRule="auto"/>
              <w:ind w:left="0" w:hanging="2"/>
              <w:jc w:val="center"/>
              <w:textAlignment w:val="center"/>
              <w:rPr>
                <w:rFonts w:ascii="Times New Roman" w:hAnsi="Times New Roman" w:cs="Times New Roman"/>
                <w:sz w:val="24"/>
                <w:szCs w:val="24"/>
                <w:lang w:bidi="ar"/>
              </w:rPr>
            </w:pPr>
            <w:r>
              <w:rPr>
                <w:rFonts w:ascii="Times New Roman" w:hAnsi="Times New Roman" w:eastAsia="SimSun" w:cs="Times New Roman"/>
                <w:sz w:val="24"/>
                <w:szCs w:val="24"/>
                <w:lang w:bidi="ar"/>
              </w:rPr>
              <w:t>-</w:t>
            </w:r>
          </w:p>
        </w:tc>
      </w:tr>
    </w:tbl>
    <w:p w14:paraId="498FB67A">
      <w:pPr>
        <w:pStyle w:val="11"/>
        <w:ind w:hanging="2"/>
        <w:jc w:val="both"/>
        <w:rPr>
          <w:rFonts w:ascii="Times New Roman" w:hAnsi="Times New Roman" w:cs="Times New Roman" w:eastAsiaTheme="minorEastAsia"/>
          <w:b/>
          <w:bCs/>
          <w:i/>
          <w:iCs/>
          <w:sz w:val="24"/>
          <w:szCs w:val="24"/>
          <w:lang w:val="en-GB" w:eastAsia="zh-CN"/>
        </w:rPr>
        <w:sectPr>
          <w:pgSz w:w="16840" w:h="11901" w:orient="landscape"/>
          <w:pgMar w:top="1701" w:right="1418" w:bottom="1701" w:left="1418" w:header="709" w:footer="709" w:gutter="0"/>
          <w:cols w:space="708" w:num="1"/>
          <w:docGrid w:linePitch="360" w:charSpace="0"/>
        </w:sectPr>
      </w:pPr>
    </w:p>
    <w:p w14:paraId="29583359">
      <w:pPr>
        <w:pStyle w:val="11"/>
        <w:numPr>
          <w:ilvl w:val="0"/>
          <w:numId w:val="4"/>
        </w:numPr>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Tourism Output Ahead: Managing Overextension and Strategic Upgrading in Xinzhou and Linfen</w:t>
      </w:r>
    </w:p>
    <w:p w14:paraId="37B6ACAF">
      <w:pPr>
        <w:pStyle w:val="11"/>
        <w:ind w:hanging="2"/>
        <w:jc w:val="both"/>
        <w:rPr>
          <w:rFonts w:ascii="Times New Roman" w:hAnsi="Times New Roman" w:cs="Times New Roman" w:eastAsiaTheme="minorEastAsia"/>
          <w:sz w:val="24"/>
          <w:szCs w:val="24"/>
          <w:lang w:eastAsia="zh-CN"/>
        </w:rPr>
      </w:pPr>
    </w:p>
    <w:p w14:paraId="760B76C2">
      <w:pPr>
        <w:pStyle w:val="11"/>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Xinzhou and Linfen stand out as tourism output ahead cities, where output performance exceeds what their current input levels might sustainably support. In Xinzhou, tourism revenues and visitor flows have outpaced the city’s foundational investments in infrastructure, human capital, and supporting industries, raising concerns about overuse and potential strain on existing resources. To secure long-term growth, Xinzhou must expand targeted investments in transport connectivity, accommodation capacity, and workforce development to ensure that its input base aligns with its tourism scale.</w:t>
      </w:r>
    </w:p>
    <w:p w14:paraId="30D7F1BB">
      <w:pPr>
        <w:pStyle w:val="11"/>
        <w:ind w:firstLine="851"/>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Linfen, meanwhile, demonstrates output levels that are slightly ahead of its current input strength, though signs of underutilized organizational and environmental potential remain. Strengthening environmental management, attracting skilled professionals, advancing technological capabilities, and enhancing organizational efficiency will be critical to sustaining Linfen’s tourism performance and avoiding overextension that could hamper resilience and competitiveness.</w:t>
      </w:r>
    </w:p>
    <w:p w14:paraId="67615325">
      <w:pPr>
        <w:pStyle w:val="11"/>
        <w:ind w:hanging="2"/>
        <w:jc w:val="both"/>
        <w:rPr>
          <w:rFonts w:ascii="Times New Roman" w:hAnsi="Times New Roman" w:cs="Times New Roman" w:eastAsiaTheme="minorEastAsia"/>
          <w:sz w:val="24"/>
          <w:szCs w:val="24"/>
          <w:lang w:eastAsia="zh-CN"/>
        </w:rPr>
      </w:pPr>
    </w:p>
    <w:p w14:paraId="1BBFA5D5">
      <w:pPr>
        <w:pStyle w:val="11"/>
        <w:numPr>
          <w:ilvl w:val="0"/>
          <w:numId w:val="4"/>
        </w:numPr>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Balancing Tourism Input and Output: Strategic Directions for Datong, Jincheng, Jinzhong, and Other Cities</w:t>
      </w:r>
    </w:p>
    <w:p w14:paraId="2249ABBB">
      <w:pPr>
        <w:pStyle w:val="11"/>
        <w:ind w:hanging="2"/>
        <w:jc w:val="both"/>
        <w:rPr>
          <w:rFonts w:ascii="Times New Roman" w:hAnsi="Times New Roman" w:cs="Times New Roman" w:eastAsiaTheme="minorEastAsia"/>
          <w:sz w:val="24"/>
          <w:szCs w:val="24"/>
          <w:lang w:eastAsia="zh-CN"/>
        </w:rPr>
      </w:pPr>
    </w:p>
    <w:p w14:paraId="7F4DE61E">
      <w:pPr>
        <w:pStyle w:val="11"/>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Datong, Jincheng, and Jinzhong fall into the tourism output slightly ahead category, reflecting a more stable alignment between inputs and outputs an indicator of healthier development. In Datong, however, output still trails its strong transportation accessibility, suggesting untapped potential. Future strategies should focus on fully leveraging this transport advantage to attract more visitors and boost revenues.</w:t>
      </w:r>
    </w:p>
    <w:p w14:paraId="6A820E26">
      <w:pPr>
        <w:pStyle w:val="11"/>
        <w:ind w:firstLine="851"/>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For Jincheng, advancing human capital and fostering tourism-related industries will be essential to strengthen its competitive edge and maintain the delicate balance between inputs and outputs. In Jinzhong, mobilizing its robust base of skilled labor and expanding investment in transport infrastructure and tourism organizations will help drive sector transformation and sustained growth.</w:t>
      </w:r>
    </w:p>
    <w:p w14:paraId="1A65AE62">
      <w:pPr>
        <w:pStyle w:val="11"/>
        <w:ind w:firstLine="851"/>
        <w:jc w:val="both"/>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In contrast, Yangquan, Changzhi, Yuncheng, and Lvliang represent the tourism output slightly lagging type, where outputs remain somewhat below input levels, but the relationship is generally coordinated. For Yangquan and Changzhi, prioritizing ecological resource management and leveraging natural assets will help draw more visitors and translate investment into concrete returns. In Yuncheng, the emphasis must shift from extensive growth to improving quality, expanding the service sector, and strengthening the local economy to unlock tourism’s full potential. Lvliang, meanwhile, should reinforce its tourism industry organizations to better convert input resources into sustained output gains.</w:t>
      </w:r>
    </w:p>
    <w:p w14:paraId="49DFB2A1">
      <w:pPr>
        <w:pStyle w:val="11"/>
        <w:ind w:firstLine="851"/>
        <w:jc w:val="both"/>
        <w:rPr>
          <w:rFonts w:ascii="Times New Roman" w:hAnsi="Times New Roman" w:cs="Times New Roman" w:eastAsiaTheme="minorEastAsia"/>
          <w:b/>
          <w:bCs/>
          <w:i/>
          <w:iCs/>
          <w:lang w:eastAsia="zh-CN"/>
        </w:rPr>
      </w:pPr>
      <w:r>
        <w:rPr>
          <w:rFonts w:ascii="Times New Roman" w:hAnsi="Times New Roman" w:cs="Times New Roman" w:eastAsiaTheme="minorEastAsia"/>
          <w:sz w:val="24"/>
          <w:szCs w:val="24"/>
          <w:lang w:eastAsia="zh-CN"/>
        </w:rPr>
        <w:t>At the other end of the spectrum, Taiyuan and Shuozhou illustrate the tourism output lagging type, where significant input resources remain underutilized. Taiyuan, despite its advantages in infrastructure, technology, and labor, still relies heavily on an extensive growth model. A shift towards more intensive, innovation-driven tourism development is vital to close the input-output gap. Shuozhou similarly must optimize its assets in transport, economic base, and environmental quality to ensure inputs are translated into tangible, sustainable tourism output.</w:t>
      </w:r>
    </w:p>
    <w:p w14:paraId="25D499D7">
      <w:pPr>
        <w:pStyle w:val="11"/>
        <w:ind w:hanging="2"/>
        <w:jc w:val="both"/>
        <w:rPr>
          <w:rFonts w:ascii="Times New Roman" w:hAnsi="Times New Roman" w:cs="Times New Roman" w:eastAsiaTheme="minorEastAsia"/>
          <w:b/>
          <w:bCs/>
          <w:i/>
          <w:iCs/>
          <w:sz w:val="24"/>
          <w:szCs w:val="24"/>
          <w:lang w:eastAsia="zh-CN"/>
        </w:rPr>
      </w:pPr>
    </w:p>
    <w:p w14:paraId="681E8E4A">
      <w:pPr>
        <w:pStyle w:val="11"/>
        <w:ind w:hanging="2"/>
        <w:jc w:val="both"/>
        <w:rPr>
          <w:rFonts w:ascii="Times New Roman" w:hAnsi="Times New Roman" w:cs="Times New Roman"/>
        </w:rPr>
      </w:pPr>
    </w:p>
    <w:p w14:paraId="7745AE22">
      <w:pPr>
        <w:spacing w:before="100" w:beforeAutospacing="1" w:after="100" w:afterAutospacing="1" w:line="240" w:lineRule="auto"/>
        <w:ind w:left="0" w:hanging="2"/>
        <w:rPr>
          <w:rFonts w:ascii="Times New Roman" w:hAnsi="Times New Roman" w:cs="Times New Roman"/>
          <w:sz w:val="24"/>
          <w:szCs w:val="24"/>
          <w:lang w:eastAsia="ja-JP"/>
        </w:rPr>
      </w:pPr>
      <w:r>
        <w:rPr>
          <w:rFonts w:ascii="Times New Roman" w:hAnsi="Times New Roman" w:cs="Times New Roman"/>
          <w:b/>
          <w:bCs/>
          <w:sz w:val="24"/>
          <w:szCs w:val="24"/>
          <w:lang w:eastAsia="ja-JP"/>
        </w:rPr>
        <w:t>Impact of Tourism Input Factors on Output in Shanxi: A Spatial Error Model Analysis</w:t>
      </w:r>
    </w:p>
    <w:p w14:paraId="473634DA">
      <w:pPr>
        <w:spacing w:after="0" w:line="240" w:lineRule="auto"/>
        <w:ind w:left="-2" w:firstLine="849" w:firstLineChars="354"/>
        <w:jc w:val="both"/>
        <w:rPr>
          <w:rFonts w:ascii="Times New Roman" w:hAnsi="Times New Roman" w:cs="Times New Roman"/>
          <w:sz w:val="24"/>
          <w:szCs w:val="24"/>
          <w:lang w:eastAsia="ja-JP"/>
        </w:rPr>
      </w:pPr>
      <w:r>
        <w:rPr>
          <w:rFonts w:ascii="Times New Roman" w:hAnsi="Times New Roman" w:cs="Times New Roman"/>
          <w:sz w:val="24"/>
          <w:szCs w:val="24"/>
          <w:lang w:eastAsia="ja-JP"/>
        </w:rPr>
        <w:t>To examine the influence of diverse tourism input factors on output and to guide the regulation of Shanxi’s tourism spatial structure, this study models tourism output as the dependent variable and incorporates multiple dimensions of input as independent variables. All indicators were standardized, and the analysis was conducted using GeoDa software. Based on spatial correlation testing following the framework of Zhang et al. (2022), the Spatial Error Model (SEM) demonstrated the highest statistical significance and best fit. Log-likelihood values confirm that the SEM outperforms alternative models, making it the most robust for capturing the spatial spillover effects of tourism-related variables on tourist flows. Accordingly, the discussion here focuses on the SEM results.</w:t>
      </w:r>
    </w:p>
    <w:p w14:paraId="05967B9F">
      <w:pPr>
        <w:spacing w:after="0" w:line="240" w:lineRule="auto"/>
        <w:ind w:left="-2" w:firstLine="849" w:firstLineChars="354"/>
        <w:jc w:val="both"/>
        <w:rPr>
          <w:rFonts w:ascii="Times New Roman" w:hAnsi="Times New Roman" w:cs="Times New Roman"/>
          <w:sz w:val="24"/>
          <w:szCs w:val="24"/>
          <w:lang w:eastAsia="ja-JP"/>
        </w:rPr>
      </w:pPr>
      <w:r>
        <w:rPr>
          <w:rFonts w:ascii="Times New Roman" w:hAnsi="Times New Roman" w:cs="Times New Roman"/>
          <w:sz w:val="24"/>
          <w:szCs w:val="24"/>
          <w:lang w:eastAsia="ja-JP"/>
        </w:rPr>
        <w:t>As shown in Table 5, the SEM achieves an exceptionally high R2R^2R2 of 0.998, indicating excellent explanatory power. All variables are statistically significant at the 1% level (p &lt; 0.01), underscoring the robustness of the findings.</w:t>
      </w:r>
    </w:p>
    <w:p w14:paraId="7529ECA9">
      <w:pPr>
        <w:spacing w:after="0" w:line="240" w:lineRule="auto"/>
        <w:ind w:left="-2" w:firstLine="849" w:firstLineChars="354"/>
        <w:jc w:val="both"/>
        <w:rPr>
          <w:rFonts w:ascii="Times New Roman" w:hAnsi="Times New Roman" w:cs="Times New Roman"/>
          <w:sz w:val="24"/>
          <w:szCs w:val="24"/>
          <w:lang w:eastAsia="ja-JP"/>
        </w:rPr>
      </w:pPr>
    </w:p>
    <w:tbl>
      <w:tblPr>
        <w:tblStyle w:val="9"/>
        <w:tblW w:w="0" w:type="auto"/>
        <w:jc w:val="center"/>
        <w:tblCellSpacing w:w="15" w:type="dxa"/>
        <w:tblLayout w:type="autofit"/>
        <w:tblCellMar>
          <w:top w:w="15" w:type="dxa"/>
          <w:left w:w="15" w:type="dxa"/>
          <w:bottom w:w="15" w:type="dxa"/>
          <w:right w:w="15" w:type="dxa"/>
        </w:tblCellMar>
      </w:tblPr>
      <w:tblGrid>
        <w:gridCol w:w="4066"/>
        <w:gridCol w:w="958"/>
        <w:gridCol w:w="1078"/>
        <w:gridCol w:w="1293"/>
      </w:tblGrid>
      <w:tr w14:paraId="3D330906">
        <w:tblPrEx>
          <w:tblCellMar>
            <w:top w:w="15" w:type="dxa"/>
            <w:left w:w="15" w:type="dxa"/>
            <w:bottom w:w="15" w:type="dxa"/>
            <w:right w:w="15" w:type="dxa"/>
          </w:tblCellMar>
        </w:tblPrEx>
        <w:trPr>
          <w:tblHeader/>
          <w:tblCellSpacing w:w="15" w:type="dxa"/>
          <w:jc w:val="center"/>
        </w:trPr>
        <w:tc>
          <w:tcPr>
            <w:tcW w:w="0" w:type="auto"/>
            <w:tcBorders>
              <w:top w:val="single" w:color="auto" w:sz="4" w:space="0"/>
              <w:bottom w:val="single" w:color="auto" w:sz="4" w:space="0"/>
            </w:tcBorders>
            <w:shd w:val="clear" w:color="auto" w:fill="B8CCE4" w:themeFill="accent1" w:themeFillTint="66"/>
            <w:vAlign w:val="center"/>
          </w:tcPr>
          <w:p w14:paraId="79112FDE">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Variant</w:t>
            </w:r>
          </w:p>
        </w:tc>
        <w:tc>
          <w:tcPr>
            <w:tcW w:w="0" w:type="auto"/>
            <w:tcBorders>
              <w:top w:val="single" w:color="auto" w:sz="4" w:space="0"/>
              <w:bottom w:val="single" w:color="auto" w:sz="4" w:space="0"/>
            </w:tcBorders>
            <w:shd w:val="clear" w:color="auto" w:fill="B8CCE4" w:themeFill="accent1" w:themeFillTint="66"/>
            <w:vAlign w:val="center"/>
          </w:tcPr>
          <w:p w14:paraId="23663ED4">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SAR</w:t>
            </w:r>
          </w:p>
        </w:tc>
        <w:tc>
          <w:tcPr>
            <w:tcW w:w="0" w:type="auto"/>
            <w:tcBorders>
              <w:top w:val="single" w:color="auto" w:sz="4" w:space="0"/>
              <w:bottom w:val="single" w:color="auto" w:sz="4" w:space="0"/>
            </w:tcBorders>
            <w:shd w:val="clear" w:color="auto" w:fill="B8CCE4" w:themeFill="accent1" w:themeFillTint="66"/>
            <w:vAlign w:val="center"/>
          </w:tcPr>
          <w:p w14:paraId="24850324">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SLM</w:t>
            </w:r>
          </w:p>
        </w:tc>
        <w:tc>
          <w:tcPr>
            <w:tcW w:w="0" w:type="auto"/>
            <w:tcBorders>
              <w:top w:val="single" w:color="auto" w:sz="4" w:space="0"/>
              <w:bottom w:val="single" w:color="auto" w:sz="4" w:space="0"/>
            </w:tcBorders>
            <w:shd w:val="clear" w:color="auto" w:fill="B8CCE4" w:themeFill="accent1" w:themeFillTint="66"/>
            <w:vAlign w:val="center"/>
          </w:tcPr>
          <w:p w14:paraId="1DD6316E">
            <w:pPr>
              <w:spacing w:after="0" w:line="240" w:lineRule="auto"/>
              <w:ind w:left="0" w:hanging="2"/>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SEM</w:t>
            </w:r>
          </w:p>
        </w:tc>
      </w:tr>
      <w:tr w14:paraId="7E2DD0F9">
        <w:tblPrEx>
          <w:tblCellMar>
            <w:top w:w="15" w:type="dxa"/>
            <w:left w:w="15" w:type="dxa"/>
            <w:bottom w:w="15" w:type="dxa"/>
            <w:right w:w="15" w:type="dxa"/>
          </w:tblCellMar>
        </w:tblPrEx>
        <w:trPr>
          <w:tblCellSpacing w:w="15" w:type="dxa"/>
          <w:jc w:val="center"/>
        </w:trPr>
        <w:tc>
          <w:tcPr>
            <w:tcW w:w="0" w:type="auto"/>
            <w:vAlign w:val="center"/>
          </w:tcPr>
          <w:p w14:paraId="69EE10A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X1 (Transportation Accessibility)</w:t>
            </w:r>
          </w:p>
        </w:tc>
        <w:tc>
          <w:tcPr>
            <w:tcW w:w="0" w:type="auto"/>
            <w:vAlign w:val="center"/>
          </w:tcPr>
          <w:p w14:paraId="6D00EE7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0.134941</w:t>
            </w:r>
          </w:p>
        </w:tc>
        <w:tc>
          <w:tcPr>
            <w:tcW w:w="0" w:type="auto"/>
            <w:vAlign w:val="center"/>
          </w:tcPr>
          <w:p w14:paraId="57C84BDA">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0.120807</w:t>
            </w:r>
          </w:p>
        </w:tc>
        <w:tc>
          <w:tcPr>
            <w:tcW w:w="0" w:type="auto"/>
            <w:vAlign w:val="center"/>
          </w:tcPr>
          <w:p w14:paraId="3A12CC2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-0.24373***</w:t>
            </w:r>
          </w:p>
        </w:tc>
      </w:tr>
      <w:tr w14:paraId="0BA9DE03">
        <w:tblPrEx>
          <w:tblCellMar>
            <w:top w:w="15" w:type="dxa"/>
            <w:left w:w="15" w:type="dxa"/>
            <w:bottom w:w="15" w:type="dxa"/>
            <w:right w:w="15" w:type="dxa"/>
          </w:tblCellMar>
        </w:tblPrEx>
        <w:trPr>
          <w:tblCellSpacing w:w="15" w:type="dxa"/>
          <w:jc w:val="center"/>
        </w:trPr>
        <w:tc>
          <w:tcPr>
            <w:tcW w:w="0" w:type="auto"/>
            <w:vAlign w:val="center"/>
          </w:tcPr>
          <w:p w14:paraId="3EB6C92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X2 (Economic Development Foundation)</w:t>
            </w:r>
          </w:p>
        </w:tc>
        <w:tc>
          <w:tcPr>
            <w:tcW w:w="0" w:type="auto"/>
            <w:vAlign w:val="center"/>
          </w:tcPr>
          <w:p w14:paraId="054EEDC1">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-0.97423</w:t>
            </w:r>
          </w:p>
        </w:tc>
        <w:tc>
          <w:tcPr>
            <w:tcW w:w="0" w:type="auto"/>
            <w:vAlign w:val="center"/>
          </w:tcPr>
          <w:p w14:paraId="4003B4C5">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-0.828842</w:t>
            </w:r>
          </w:p>
        </w:tc>
        <w:tc>
          <w:tcPr>
            <w:tcW w:w="0" w:type="auto"/>
            <w:vAlign w:val="center"/>
          </w:tcPr>
          <w:p w14:paraId="693AB11F">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-1.45532***</w:t>
            </w:r>
          </w:p>
        </w:tc>
      </w:tr>
      <w:tr w14:paraId="469577B7">
        <w:tblPrEx>
          <w:tblCellMar>
            <w:top w:w="15" w:type="dxa"/>
            <w:left w:w="15" w:type="dxa"/>
            <w:bottom w:w="15" w:type="dxa"/>
            <w:right w:w="15" w:type="dxa"/>
          </w:tblCellMar>
        </w:tblPrEx>
        <w:trPr>
          <w:tblCellSpacing w:w="15" w:type="dxa"/>
          <w:jc w:val="center"/>
        </w:trPr>
        <w:tc>
          <w:tcPr>
            <w:tcW w:w="0" w:type="auto"/>
            <w:vAlign w:val="center"/>
          </w:tcPr>
          <w:p w14:paraId="0EB6D436">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X3 (Labour Force)</w:t>
            </w:r>
          </w:p>
        </w:tc>
        <w:tc>
          <w:tcPr>
            <w:tcW w:w="0" w:type="auto"/>
            <w:vAlign w:val="center"/>
          </w:tcPr>
          <w:p w14:paraId="16F7DB29">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-1.83676</w:t>
            </w:r>
          </w:p>
        </w:tc>
        <w:tc>
          <w:tcPr>
            <w:tcW w:w="0" w:type="auto"/>
            <w:vAlign w:val="center"/>
          </w:tcPr>
          <w:p w14:paraId="3D9F689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-1.66296</w:t>
            </w:r>
          </w:p>
        </w:tc>
        <w:tc>
          <w:tcPr>
            <w:tcW w:w="0" w:type="auto"/>
            <w:vAlign w:val="center"/>
          </w:tcPr>
          <w:p w14:paraId="277B771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-4.58387***</w:t>
            </w:r>
          </w:p>
        </w:tc>
      </w:tr>
      <w:tr w14:paraId="1EAE11BB">
        <w:tblPrEx>
          <w:tblCellMar>
            <w:top w:w="15" w:type="dxa"/>
            <w:left w:w="15" w:type="dxa"/>
            <w:bottom w:w="15" w:type="dxa"/>
            <w:right w:w="15" w:type="dxa"/>
          </w:tblCellMar>
        </w:tblPrEx>
        <w:trPr>
          <w:tblCellSpacing w:w="15" w:type="dxa"/>
          <w:jc w:val="center"/>
        </w:trPr>
        <w:tc>
          <w:tcPr>
            <w:tcW w:w="0" w:type="auto"/>
            <w:vAlign w:val="center"/>
          </w:tcPr>
          <w:p w14:paraId="6F1E7BB3">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X4 (Ecological Environment)</w:t>
            </w:r>
          </w:p>
        </w:tc>
        <w:tc>
          <w:tcPr>
            <w:tcW w:w="0" w:type="auto"/>
            <w:vAlign w:val="center"/>
          </w:tcPr>
          <w:p w14:paraId="7F7C6228">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2.45309</w:t>
            </w:r>
          </w:p>
        </w:tc>
        <w:tc>
          <w:tcPr>
            <w:tcW w:w="0" w:type="auto"/>
            <w:vAlign w:val="center"/>
          </w:tcPr>
          <w:p w14:paraId="61CE9A88">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2.16155</w:t>
            </w:r>
          </w:p>
        </w:tc>
        <w:tc>
          <w:tcPr>
            <w:tcW w:w="0" w:type="auto"/>
            <w:vAlign w:val="center"/>
          </w:tcPr>
          <w:p w14:paraId="4E0B32F0">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1.36777***</w:t>
            </w:r>
          </w:p>
        </w:tc>
      </w:tr>
      <w:tr w14:paraId="1F91AF4A">
        <w:tblPrEx>
          <w:tblCellMar>
            <w:top w:w="15" w:type="dxa"/>
            <w:left w:w="15" w:type="dxa"/>
            <w:bottom w:w="15" w:type="dxa"/>
            <w:right w:w="15" w:type="dxa"/>
          </w:tblCellMar>
        </w:tblPrEx>
        <w:trPr>
          <w:tblCellSpacing w:w="15" w:type="dxa"/>
          <w:jc w:val="center"/>
        </w:trPr>
        <w:tc>
          <w:tcPr>
            <w:tcW w:w="0" w:type="auto"/>
            <w:vAlign w:val="center"/>
          </w:tcPr>
          <w:p w14:paraId="16EB0608">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X5 (Technological Support)</w:t>
            </w:r>
          </w:p>
        </w:tc>
        <w:tc>
          <w:tcPr>
            <w:tcW w:w="0" w:type="auto"/>
            <w:vAlign w:val="center"/>
          </w:tcPr>
          <w:p w14:paraId="5153253D">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0.520613</w:t>
            </w:r>
          </w:p>
        </w:tc>
        <w:tc>
          <w:tcPr>
            <w:tcW w:w="0" w:type="auto"/>
            <w:vAlign w:val="center"/>
          </w:tcPr>
          <w:p w14:paraId="7DC8882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0.482919</w:t>
            </w:r>
          </w:p>
        </w:tc>
        <w:tc>
          <w:tcPr>
            <w:tcW w:w="0" w:type="auto"/>
            <w:vAlign w:val="center"/>
          </w:tcPr>
          <w:p w14:paraId="111CF939">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2.45577***</w:t>
            </w:r>
          </w:p>
        </w:tc>
      </w:tr>
      <w:tr w14:paraId="1B01C463">
        <w:tblPrEx>
          <w:tblCellMar>
            <w:top w:w="15" w:type="dxa"/>
            <w:left w:w="15" w:type="dxa"/>
            <w:bottom w:w="15" w:type="dxa"/>
            <w:right w:w="15" w:type="dxa"/>
          </w:tblCellMar>
        </w:tblPrEx>
        <w:trPr>
          <w:tblCellSpacing w:w="15" w:type="dxa"/>
          <w:jc w:val="center"/>
        </w:trPr>
        <w:tc>
          <w:tcPr>
            <w:tcW w:w="0" w:type="auto"/>
            <w:vAlign w:val="center"/>
          </w:tcPr>
          <w:p w14:paraId="32FE6A79">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X6 (Tourism Industry Infrastructure)</w:t>
            </w:r>
          </w:p>
        </w:tc>
        <w:tc>
          <w:tcPr>
            <w:tcW w:w="0" w:type="auto"/>
            <w:vAlign w:val="center"/>
          </w:tcPr>
          <w:p w14:paraId="65476D76">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1.97096</w:t>
            </w:r>
          </w:p>
        </w:tc>
        <w:tc>
          <w:tcPr>
            <w:tcW w:w="0" w:type="auto"/>
            <w:vAlign w:val="center"/>
          </w:tcPr>
          <w:p w14:paraId="003F28FA">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1.83078**</w:t>
            </w:r>
          </w:p>
        </w:tc>
        <w:tc>
          <w:tcPr>
            <w:tcW w:w="0" w:type="auto"/>
            <w:vAlign w:val="center"/>
          </w:tcPr>
          <w:p w14:paraId="1213C1E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2.48447***</w:t>
            </w:r>
          </w:p>
        </w:tc>
      </w:tr>
      <w:tr w14:paraId="7AC1B6D9">
        <w:tblPrEx>
          <w:tblCellMar>
            <w:top w:w="15" w:type="dxa"/>
            <w:left w:w="15" w:type="dxa"/>
            <w:bottom w:w="15" w:type="dxa"/>
            <w:right w:w="15" w:type="dxa"/>
          </w:tblCellMar>
        </w:tblPrEx>
        <w:trPr>
          <w:tblCellSpacing w:w="15" w:type="dxa"/>
          <w:jc w:val="center"/>
        </w:trPr>
        <w:tc>
          <w:tcPr>
            <w:tcW w:w="0" w:type="auto"/>
            <w:vAlign w:val="center"/>
          </w:tcPr>
          <w:p w14:paraId="2DD7BE2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R2R^2R2</w:t>
            </w:r>
          </w:p>
        </w:tc>
        <w:tc>
          <w:tcPr>
            <w:tcW w:w="0" w:type="auto"/>
            <w:vAlign w:val="center"/>
          </w:tcPr>
          <w:p w14:paraId="48A7707B">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0.883765</w:t>
            </w:r>
          </w:p>
        </w:tc>
        <w:tc>
          <w:tcPr>
            <w:tcW w:w="0" w:type="auto"/>
            <w:vAlign w:val="center"/>
          </w:tcPr>
          <w:p w14:paraId="5A92F7FF">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0.885629</w:t>
            </w:r>
          </w:p>
        </w:tc>
        <w:tc>
          <w:tcPr>
            <w:tcW w:w="0" w:type="auto"/>
            <w:vAlign w:val="center"/>
          </w:tcPr>
          <w:p w14:paraId="5340DF4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0.998157</w:t>
            </w:r>
          </w:p>
        </w:tc>
      </w:tr>
      <w:tr w14:paraId="3FD4EA08">
        <w:tblPrEx>
          <w:tblCellMar>
            <w:top w:w="15" w:type="dxa"/>
            <w:left w:w="15" w:type="dxa"/>
            <w:bottom w:w="15" w:type="dxa"/>
            <w:right w:w="15" w:type="dxa"/>
          </w:tblCellMar>
        </w:tblPrEx>
        <w:trPr>
          <w:tblCellSpacing w:w="15" w:type="dxa"/>
          <w:jc w:val="center"/>
        </w:trPr>
        <w:tc>
          <w:tcPr>
            <w:tcW w:w="0" w:type="auto"/>
            <w:vAlign w:val="center"/>
          </w:tcPr>
          <w:p w14:paraId="749094CC">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LogL</w:t>
            </w:r>
          </w:p>
        </w:tc>
        <w:tc>
          <w:tcPr>
            <w:tcW w:w="0" w:type="auto"/>
            <w:vAlign w:val="center"/>
          </w:tcPr>
          <w:p w14:paraId="69A93A96">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2.50215</w:t>
            </w:r>
          </w:p>
        </w:tc>
        <w:tc>
          <w:tcPr>
            <w:tcW w:w="0" w:type="auto"/>
            <w:vAlign w:val="center"/>
          </w:tcPr>
          <w:p w14:paraId="1C397CAA">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2.5735</w:t>
            </w:r>
          </w:p>
        </w:tc>
        <w:tc>
          <w:tcPr>
            <w:tcW w:w="0" w:type="auto"/>
            <w:vAlign w:val="center"/>
          </w:tcPr>
          <w:p w14:paraId="6470360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4.445721</w:t>
            </w:r>
          </w:p>
        </w:tc>
      </w:tr>
      <w:tr w14:paraId="08F91878">
        <w:tblPrEx>
          <w:tblCellMar>
            <w:top w:w="15" w:type="dxa"/>
            <w:left w:w="15" w:type="dxa"/>
            <w:bottom w:w="15" w:type="dxa"/>
            <w:right w:w="15" w:type="dxa"/>
          </w:tblCellMar>
        </w:tblPrEx>
        <w:trPr>
          <w:tblCellSpacing w:w="15" w:type="dxa"/>
          <w:jc w:val="center"/>
        </w:trPr>
        <w:tc>
          <w:tcPr>
            <w:tcW w:w="0" w:type="auto"/>
            <w:vAlign w:val="center"/>
          </w:tcPr>
          <w:p w14:paraId="6622FFAF">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AIC</w:t>
            </w:r>
          </w:p>
        </w:tc>
        <w:tc>
          <w:tcPr>
            <w:tcW w:w="0" w:type="auto"/>
            <w:vAlign w:val="center"/>
          </w:tcPr>
          <w:p w14:paraId="67B7C10D">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8.99571</w:t>
            </w:r>
          </w:p>
        </w:tc>
        <w:tc>
          <w:tcPr>
            <w:tcW w:w="0" w:type="auto"/>
            <w:vAlign w:val="center"/>
          </w:tcPr>
          <w:p w14:paraId="0F75FFD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10.853</w:t>
            </w:r>
          </w:p>
        </w:tc>
        <w:tc>
          <w:tcPr>
            <w:tcW w:w="0" w:type="auto"/>
            <w:vAlign w:val="center"/>
          </w:tcPr>
          <w:p w14:paraId="3CE3C493">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5.10856</w:t>
            </w:r>
          </w:p>
        </w:tc>
      </w:tr>
      <w:tr w14:paraId="6EDF6461">
        <w:tblPrEx>
          <w:tblCellMar>
            <w:top w:w="15" w:type="dxa"/>
            <w:left w:w="15" w:type="dxa"/>
            <w:bottom w:w="15" w:type="dxa"/>
            <w:right w:w="15" w:type="dxa"/>
          </w:tblCellMar>
        </w:tblPrEx>
        <w:trPr>
          <w:tblCellSpacing w:w="15" w:type="dxa"/>
          <w:jc w:val="center"/>
        </w:trPr>
        <w:tc>
          <w:tcPr>
            <w:tcW w:w="0" w:type="auto"/>
            <w:tcBorders>
              <w:bottom w:val="single" w:color="auto" w:sz="4" w:space="0"/>
            </w:tcBorders>
            <w:vAlign w:val="center"/>
          </w:tcPr>
          <w:p w14:paraId="572C57A2">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SC</w:t>
            </w:r>
          </w:p>
        </w:tc>
        <w:tc>
          <w:tcPr>
            <w:tcW w:w="0" w:type="auto"/>
            <w:tcBorders>
              <w:bottom w:val="single" w:color="auto" w:sz="4" w:space="0"/>
            </w:tcBorders>
            <w:vAlign w:val="center"/>
          </w:tcPr>
          <w:p w14:paraId="5B2AC9DA">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11.781</w:t>
            </w:r>
          </w:p>
        </w:tc>
        <w:tc>
          <w:tcPr>
            <w:tcW w:w="0" w:type="auto"/>
            <w:tcBorders>
              <w:bottom w:val="single" w:color="auto" w:sz="4" w:space="0"/>
            </w:tcBorders>
            <w:vAlign w:val="center"/>
          </w:tcPr>
          <w:p w14:paraId="138E8E88">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14.0362</w:t>
            </w:r>
          </w:p>
        </w:tc>
        <w:tc>
          <w:tcPr>
            <w:tcW w:w="0" w:type="auto"/>
            <w:tcBorders>
              <w:bottom w:val="single" w:color="auto" w:sz="4" w:space="0"/>
            </w:tcBorders>
            <w:vAlign w:val="center"/>
          </w:tcPr>
          <w:p w14:paraId="5EFEC52E">
            <w:pPr>
              <w:spacing w:after="0" w:line="240" w:lineRule="auto"/>
              <w:ind w:left="0" w:hanging="2"/>
              <w:rPr>
                <w:rFonts w:ascii="Times New Roman" w:hAnsi="Times New Roman" w:cs="Times New Roman"/>
                <w:sz w:val="24"/>
                <w:szCs w:val="24"/>
                <w:lang w:eastAsia="ja-JP"/>
              </w:rPr>
            </w:pPr>
            <w:r>
              <w:rPr>
                <w:rFonts w:ascii="Times New Roman" w:hAnsi="Times New Roman" w:cs="Times New Roman"/>
                <w:sz w:val="24"/>
                <w:szCs w:val="24"/>
                <w:lang w:eastAsia="ja-JP"/>
              </w:rPr>
              <w:t>7.89382</w:t>
            </w:r>
          </w:p>
        </w:tc>
      </w:tr>
    </w:tbl>
    <w:p w14:paraId="0B1AC1F2">
      <w:pPr>
        <w:spacing w:before="100" w:beforeAutospacing="1" w:after="100" w:afterAutospacing="1" w:line="240" w:lineRule="auto"/>
        <w:ind w:left="0" w:hanging="2"/>
        <w:rPr>
          <w:rFonts w:ascii="Times New Roman" w:hAnsi="Times New Roman" w:cs="Times New Roman"/>
          <w:sz w:val="24"/>
          <w:szCs w:val="24"/>
          <w:lang w:eastAsia="ja-JP"/>
        </w:rPr>
      </w:pPr>
      <w:r>
        <w:rPr>
          <w:rFonts w:ascii="Times New Roman" w:hAnsi="Times New Roman" w:cs="Times New Roman"/>
          <w:i/>
          <w:iCs/>
          <w:sz w:val="24"/>
          <w:szCs w:val="24"/>
          <w:lang w:eastAsia="ja-JP"/>
        </w:rPr>
        <w:t>Note: * p = 0.1; ** p = 0.05; *** p = 0.01.</w:t>
      </w:r>
    </w:p>
    <w:p w14:paraId="1C8F1930">
      <w:pPr>
        <w:spacing w:after="0" w:line="240" w:lineRule="auto"/>
        <w:ind w:left="-2" w:firstLine="849" w:firstLineChars="354"/>
        <w:jc w:val="both"/>
        <w:rPr>
          <w:rFonts w:ascii="Times New Roman" w:hAnsi="Times New Roman" w:cs="Times New Roman"/>
          <w:sz w:val="24"/>
          <w:szCs w:val="24"/>
          <w:lang w:eastAsia="ja-JP"/>
        </w:rPr>
      </w:pPr>
      <w:r>
        <w:rPr>
          <w:rFonts w:ascii="Times New Roman" w:hAnsi="Times New Roman" w:cs="Times New Roman"/>
          <w:sz w:val="24"/>
          <w:szCs w:val="24"/>
          <w:lang w:eastAsia="ja-JP"/>
        </w:rPr>
        <w:t>The analysis reveals several critical relationships. Notably, transportation accessibility shows a significant negative correlation with tourism output, suggesting that while extensive transport networks facilitate access, they may also generate congestion and diminish destination attractiveness if not well managed. Similarly, the economic development foundation is negatively correlated with tourism output, indicating that higher local income levels and living costs can drive up travel expenses, potentially deterring visitors. This underscores the need for policies that balance economic growth with price stability to maintain affordability for tourists.</w:t>
      </w:r>
    </w:p>
    <w:p w14:paraId="38C609B9">
      <w:pPr>
        <w:spacing w:after="0" w:line="240" w:lineRule="auto"/>
        <w:ind w:left="-2" w:firstLine="849" w:firstLineChars="354"/>
        <w:jc w:val="both"/>
        <w:rPr>
          <w:rFonts w:ascii="Times New Roman" w:hAnsi="Times New Roman" w:cs="Times New Roman"/>
          <w:sz w:val="24"/>
          <w:szCs w:val="24"/>
          <w:lang w:eastAsia="ja-JP"/>
        </w:rPr>
      </w:pPr>
      <w:r>
        <w:rPr>
          <w:rFonts w:ascii="Times New Roman" w:hAnsi="Times New Roman" w:cs="Times New Roman"/>
          <w:sz w:val="24"/>
          <w:szCs w:val="24"/>
          <w:lang w:eastAsia="ja-JP"/>
        </w:rPr>
        <w:t>Labour force availability emerges as the most influential factor but with a notable negative effect, suggesting that an oversupply of labour can intensify competition and lower service quality if workforce development is not well coordinated. Disparities in labour skill levels across regions further affect tourists’ experiences, pointing to the need for targeted training and strategic workforce planning.</w:t>
      </w:r>
    </w:p>
    <w:p w14:paraId="206FDC65">
      <w:pPr>
        <w:spacing w:after="0" w:line="240" w:lineRule="auto"/>
        <w:ind w:left="-2" w:firstLine="849" w:firstLineChars="354"/>
        <w:jc w:val="both"/>
        <w:rPr>
          <w:rFonts w:ascii="Times New Roman" w:hAnsi="Times New Roman" w:cs="Times New Roman"/>
          <w:sz w:val="24"/>
          <w:szCs w:val="24"/>
          <w:lang w:eastAsia="ja-JP"/>
        </w:rPr>
      </w:pPr>
      <w:r>
        <w:rPr>
          <w:rFonts w:ascii="Times New Roman" w:hAnsi="Times New Roman" w:cs="Times New Roman"/>
          <w:sz w:val="24"/>
          <w:szCs w:val="24"/>
          <w:lang w:eastAsia="ja-JP"/>
        </w:rPr>
        <w:t>Conversely, the ecological environment is positively correlated with tourism output, reaffirming that well-preserved natural landscapes and environmental quality remain vital assets for attracting visitors. Cities should therefore prioritize ecological conservation as a core component of sustainable tourism development.</w:t>
      </w:r>
    </w:p>
    <w:p w14:paraId="490E07F4">
      <w:pPr>
        <w:spacing w:after="0" w:line="240" w:lineRule="auto"/>
        <w:ind w:left="-2" w:firstLine="849" w:firstLineChars="354"/>
        <w:jc w:val="both"/>
        <w:rPr>
          <w:rFonts w:ascii="Times New Roman" w:hAnsi="Times New Roman" w:cs="Times New Roman"/>
          <w:sz w:val="24"/>
          <w:szCs w:val="24"/>
          <w:lang w:eastAsia="ja-JP"/>
        </w:rPr>
      </w:pPr>
      <w:r>
        <w:rPr>
          <w:rFonts w:ascii="Times New Roman" w:hAnsi="Times New Roman" w:cs="Times New Roman"/>
          <w:sz w:val="24"/>
          <w:szCs w:val="24"/>
          <w:lang w:eastAsia="ja-JP"/>
        </w:rPr>
        <w:t>Finally, technological support and tourism industry infrastructure both exhibit strong positive correlations with output. This highlights the value of continued investment in smart tourism initiatives such as smart scenic sites and digital visitor services alongside improvements to physical infrastructure and service facilities that enhance the overall tourist experience. Collectively, these findings provide actionable insights for local policymakers and stakeholders seeking to optimize the allocation of tourism input factors, reduce inefficiencies, and promote sustainable, balanced growth across Shanxi’s tourism sector.</w:t>
      </w:r>
    </w:p>
    <w:p w14:paraId="41295A94">
      <w:pPr>
        <w:pStyle w:val="58"/>
        <w:spacing w:line="240" w:lineRule="auto"/>
        <w:ind w:left="-2" w:leftChars="-1" w:firstLine="849" w:firstLineChars="354"/>
        <w:jc w:val="both"/>
        <w:rPr>
          <w:kern w:val="32"/>
        </w:rPr>
      </w:pPr>
      <w:r>
        <w:rPr>
          <w:kern w:val="32"/>
        </w:rPr>
        <w:t xml:space="preserve">The findings of this study indicate that Shanxi Province remains at an early stage of tourism development, marked by a pronounced </w:t>
      </w:r>
      <w:r>
        <w:rPr>
          <w:i/>
          <w:iCs/>
          <w:kern w:val="32"/>
        </w:rPr>
        <w:t>single-core</w:t>
      </w:r>
      <w:r>
        <w:rPr>
          <w:kern w:val="32"/>
        </w:rPr>
        <w:t xml:space="preserve"> or </w:t>
      </w:r>
      <w:r>
        <w:rPr>
          <w:i/>
          <w:iCs/>
          <w:kern w:val="32"/>
        </w:rPr>
        <w:t>dual-core</w:t>
      </w:r>
      <w:r>
        <w:rPr>
          <w:kern w:val="32"/>
        </w:rPr>
        <w:t xml:space="preserve"> spatial structure centered primarily around Taiyuan and, to a lesser extent, Jinzhong. This pattern aligns with the Taiyuan–Jinzhong cultural and tourism integration strategy articulated by the Shanxi Provincial Government (The People’s Government of Shanxi Province 2021) and corroborates earlier research conclusions (Jin et al. 2013; Yao and Guo 2014).</w:t>
      </w:r>
    </w:p>
    <w:p w14:paraId="6A84BA94">
      <w:pPr>
        <w:pStyle w:val="58"/>
        <w:spacing w:line="240" w:lineRule="auto"/>
        <w:ind w:left="-2" w:leftChars="-1" w:firstLine="849" w:firstLineChars="354"/>
        <w:jc w:val="both"/>
        <w:rPr>
          <w:kern w:val="32"/>
        </w:rPr>
      </w:pPr>
      <w:r>
        <w:rPr>
          <w:kern w:val="32"/>
        </w:rPr>
        <w:t>However, a closer examination of specific spatial mismatch patterns reveals both consistencies and divergences when compared with prior studies. The output-input dynamics identified for Datong, Changzhi, and Lvliang are broadly consistent with the spatial classifications proposed by Wang et al. (2020a). In contrast, cities such as Taiyuan display notable differences, which can be traced to variations in theoretical underpinnings, indicator selection, and methodological design. These discrepancies underscore how distinct analytical approaches can yield differing interpretations of tourism spatial efficiency and highlight the added value of the input-output framework employed in this study. By capturing the interdependencies among tourism resources, infrastructure, and outputs more comprehensively, this framework offers greater explanatory power for assessing the rationality of spatial structures.</w:t>
      </w:r>
    </w:p>
    <w:p w14:paraId="00F69F4E">
      <w:pPr>
        <w:pStyle w:val="58"/>
        <w:spacing w:line="240" w:lineRule="auto"/>
        <w:ind w:left="-2" w:leftChars="-1" w:firstLine="849" w:firstLineChars="354"/>
        <w:jc w:val="both"/>
        <w:rPr>
          <w:kern w:val="32"/>
        </w:rPr>
      </w:pPr>
      <w:r>
        <w:rPr>
          <w:kern w:val="32"/>
        </w:rPr>
        <w:t xml:space="preserve">Going forward, Shanxi’s tourism development strategy must prioritize the reallocation of resources to address uneven growth trajectories and improve the alignment between input factors and tourism outputs across cities. A gradual transition towards a more balanced and networked spatial structure can be achieved by adopting a </w:t>
      </w:r>
      <w:r>
        <w:rPr>
          <w:i/>
          <w:iCs/>
          <w:kern w:val="32"/>
        </w:rPr>
        <w:t>pole-axis</w:t>
      </w:r>
      <w:r>
        <w:rPr>
          <w:kern w:val="32"/>
        </w:rPr>
        <w:t xml:space="preserve"> development model. In this approach, primary development “poles” act as growth engines along designated development “axes,” which in turn stimulate surrounding areas, fostering the emergence of integrated industrial belts.</w:t>
      </w:r>
    </w:p>
    <w:p w14:paraId="104A1728">
      <w:pPr>
        <w:pStyle w:val="58"/>
        <w:spacing w:line="240" w:lineRule="auto"/>
        <w:ind w:left="-2" w:leftChars="-1" w:firstLine="849" w:firstLineChars="354"/>
        <w:jc w:val="both"/>
        <w:rPr>
          <w:kern w:val="32"/>
        </w:rPr>
      </w:pPr>
      <w:r>
        <w:rPr>
          <w:kern w:val="32"/>
        </w:rPr>
        <w:t>Practically, this means optimizing the use of limited financial, human, and material resources by leveraging Taiyuan and Jinzhong’s existing advantages. Major infrastructure, such as the Da Xi High-Speed Railway, can strengthen connectivity among key cities including Datong, Shuozhou, Xinzhou, Taiyuan, Jinzhong, Linfen, and Yuncheng, forming the backbone of a primary tourism industrial belt. Meanwhile, complementary transport corridors such as the Yellow River No.1 Tourism Highway and the Taihang No.1 Highway can interlink Xinzhou, Lvliang, Linfen, and Yuncheng to establish secondary and tertiary belts.</w:t>
      </w:r>
    </w:p>
    <w:p w14:paraId="05670645">
      <w:pPr>
        <w:pStyle w:val="58"/>
        <w:spacing w:line="240" w:lineRule="auto"/>
        <w:ind w:left="-2" w:leftChars="-1" w:firstLine="849" w:firstLineChars="354"/>
        <w:jc w:val="both"/>
        <w:rPr>
          <w:kern w:val="32"/>
        </w:rPr>
      </w:pPr>
      <w:r>
        <w:rPr>
          <w:kern w:val="32"/>
        </w:rPr>
        <w:t>By progressively building out these interconnected corridors and hubs, Shanxi can move beyond its core-dominated pattern towards a diversified, networked tourism landscape. This staged, coordinated expansion will facilitate the more efficient diffusion of tourism benefits, enhance the resilience of the province’s tourism economy, and ultimately support the upgrading and rationalization of its tourism spatial structure.</w:t>
      </w:r>
    </w:p>
    <w:p w14:paraId="5C682E8A">
      <w:pPr>
        <w:pStyle w:val="58"/>
        <w:spacing w:line="240" w:lineRule="auto"/>
        <w:ind w:hanging="2"/>
        <w:rPr>
          <w:b/>
          <w:bCs/>
          <w:i/>
          <w:iCs/>
        </w:rPr>
      </w:pPr>
    </w:p>
    <w:p w14:paraId="3A6458A5">
      <w:pPr>
        <w:spacing w:line="240" w:lineRule="auto"/>
        <w:ind w:left="0" w:hanging="2"/>
        <w:jc w:val="both"/>
        <w:rPr>
          <w:rFonts w:ascii="Times New Roman" w:hAnsi="Times New Roman" w:cs="Times New Roman"/>
          <w:b/>
          <w:bCs/>
          <w:i/>
          <w:iCs/>
          <w:sz w:val="24"/>
          <w:szCs w:val="24"/>
        </w:rPr>
      </w:pPr>
      <w:r>
        <w:rPr>
          <w:rFonts w:ascii="Times New Roman" w:hAnsi="Times New Roman" w:cs="Times New Roman"/>
          <w:b/>
          <w:bCs/>
          <w:i/>
          <w:iCs/>
          <w:sz w:val="24"/>
          <w:szCs w:val="24"/>
        </w:rPr>
        <w:t>Empowering Tourism Development in Shanxi Province: Strategic Pathways for Sustainable Growth</w:t>
      </w:r>
    </w:p>
    <w:p w14:paraId="214D4A5D">
      <w:pPr>
        <w:spacing w:after="0" w:line="240" w:lineRule="auto"/>
        <w:ind w:left="-2" w:firstLine="849" w:firstLineChars="354"/>
        <w:jc w:val="both"/>
        <w:rPr>
          <w:rFonts w:ascii="Times New Roman" w:hAnsi="Times New Roman" w:cs="Times New Roman"/>
          <w:sz w:val="24"/>
          <w:szCs w:val="24"/>
        </w:rPr>
      </w:pPr>
      <w:r>
        <w:rPr>
          <w:rFonts w:ascii="Times New Roman" w:hAnsi="Times New Roman" w:cs="Times New Roman"/>
          <w:sz w:val="24"/>
          <w:szCs w:val="24"/>
        </w:rPr>
        <w:t>To accelerate the sustainable development of Shanxi Province’s tourism sector, an integrated set of strategic actions must be prioritized. Foremost among these is the enhancement of regional infrastructure and connectivity. Expanding the high-speed rail network notably through projects like the Da-Xi High-speed Railway alongside better utilization of arterial routes such as the Yellow River No.1 Tourism Highway, will significantly improve intercity links. Strengthened transport corridors will not only boost accessibility but also help position Shanxi as a more compelling destination for both domestic and international tourists (Wang et al. 2020a).</w:t>
      </w:r>
    </w:p>
    <w:p w14:paraId="2D2AA5C8">
      <w:pPr>
        <w:spacing w:after="0" w:line="240" w:lineRule="auto"/>
        <w:ind w:left="-2" w:firstLine="849" w:firstLineChars="354"/>
        <w:jc w:val="both"/>
        <w:rPr>
          <w:rFonts w:ascii="Times New Roman" w:hAnsi="Times New Roman" w:cs="Times New Roman"/>
          <w:sz w:val="24"/>
          <w:szCs w:val="24"/>
        </w:rPr>
      </w:pPr>
      <w:r>
        <w:rPr>
          <w:rFonts w:ascii="Times New Roman" w:hAnsi="Times New Roman" w:cs="Times New Roman"/>
          <w:sz w:val="24"/>
          <w:szCs w:val="24"/>
        </w:rPr>
        <w:t>Equally vital is fostering innovation within the tourism industry and diversifying the range of tourism products on offer. By embracing digital technologies including virtual tourism, smart tourism platforms, and data-driven marketing Shanxi can enrich the visitor experience and appeal to new market segments (Azmi et al. 2023). Moreover, curating distinctive, place-based experiences such as heritage trails, eco-tourism, and adventure tourism will enhance the province’s competitive edge and contribute to the resilience and sustainability of its tourism offerings (Wang et al. 2020b).</w:t>
      </w:r>
    </w:p>
    <w:p w14:paraId="5826B4E2">
      <w:pPr>
        <w:spacing w:after="0" w:line="240" w:lineRule="auto"/>
        <w:ind w:left="-2" w:firstLine="849" w:firstLineChars="354"/>
        <w:jc w:val="both"/>
        <w:rPr>
          <w:rFonts w:ascii="Times New Roman" w:hAnsi="Times New Roman" w:cs="Times New Roman"/>
          <w:sz w:val="24"/>
          <w:szCs w:val="24"/>
        </w:rPr>
      </w:pPr>
      <w:r>
        <w:rPr>
          <w:rFonts w:ascii="Times New Roman" w:hAnsi="Times New Roman" w:cs="Times New Roman"/>
          <w:sz w:val="24"/>
          <w:szCs w:val="24"/>
        </w:rPr>
        <w:t>Human capital remains a cornerstone of any thriving tourism system. Targeted training initiatives should be scaled up to equip local communities with the skills needed for quality service delivery in hospitality, guiding, and tourism management (Gössling 2021). At the same time, policies that encourage local entrepreneurship and support the growth of small and medium tourism-related enterprises can stimulate broader economic participation, reduce over-reliance on a few urban cores, and ensure more equitable sharing of tourism’s economic benefits across Shanxi’s diverse regions (Chang et al. 2023).</w:t>
      </w:r>
    </w:p>
    <w:p w14:paraId="5FF62A07">
      <w:pPr>
        <w:spacing w:after="0" w:line="240" w:lineRule="auto"/>
        <w:ind w:left="-2" w:firstLine="849" w:firstLineChars="354"/>
        <w:jc w:val="both"/>
        <w:rPr>
          <w:rFonts w:ascii="Times New Roman" w:hAnsi="Times New Roman" w:cs="Times New Roman"/>
          <w:sz w:val="24"/>
          <w:szCs w:val="24"/>
        </w:rPr>
      </w:pPr>
      <w:r>
        <w:rPr>
          <w:rFonts w:ascii="Times New Roman" w:hAnsi="Times New Roman" w:cs="Times New Roman"/>
          <w:sz w:val="24"/>
          <w:szCs w:val="24"/>
        </w:rPr>
        <w:t>Finally, embedding sustainability at the heart of all tourism planning is imperative for safeguarding Shanxi’s cultural and ecological assets. Adopting greener practices from low-carbon transport solutions and eco-certified accommodations to stricter conservation measures will help balance growth with environmental stewardship (González-García et al. 2020). By integrating environmental safeguards into the tourism development agenda, Shanxi can avoid the pitfalls of unsustainable expansion and position itself as a model for balanced tourism development in China (Demeter et al. 2021).</w:t>
      </w:r>
    </w:p>
    <w:p w14:paraId="01B725EA">
      <w:pPr>
        <w:spacing w:after="0" w:line="240" w:lineRule="auto"/>
        <w:ind w:left="-2" w:firstLine="849" w:firstLineChars="354"/>
        <w:jc w:val="both"/>
        <w:rPr>
          <w:rFonts w:ascii="Times New Roman" w:hAnsi="Times New Roman" w:cs="Times New Roman"/>
          <w:sz w:val="24"/>
          <w:szCs w:val="24"/>
        </w:rPr>
      </w:pPr>
      <w:r>
        <w:rPr>
          <w:rFonts w:ascii="Times New Roman" w:hAnsi="Times New Roman" w:cs="Times New Roman"/>
          <w:sz w:val="24"/>
          <w:szCs w:val="24"/>
        </w:rPr>
        <w:t>Collectively, these strategies call for robust coordination among government, industry stakeholders, and local communities. By aligning investment, innovation, capacity building, and sustainability imperatives, Shanxi can optimize its tourism spatial structure and chart a path towards more inclusive, resilient, and long-term economic growth.</w:t>
      </w:r>
    </w:p>
    <w:p w14:paraId="6A362D8A">
      <w:pPr>
        <w:spacing w:line="240" w:lineRule="auto"/>
        <w:ind w:left="0" w:hanging="2"/>
        <w:jc w:val="both"/>
        <w:rPr>
          <w:rFonts w:ascii="Times New Roman" w:hAnsi="Times New Roman" w:cs="Times New Roman"/>
          <w:b/>
          <w:bCs/>
          <w:i/>
          <w:iCs/>
          <w:sz w:val="24"/>
          <w:szCs w:val="24"/>
        </w:rPr>
      </w:pPr>
      <w:bookmarkStart w:id="12" w:name="_GoBack"/>
      <w:bookmarkEnd w:id="12"/>
    </w:p>
    <w:p w14:paraId="3B7DF56E">
      <w:pPr>
        <w:spacing w:after="0" w:line="240" w:lineRule="auto"/>
        <w:ind w:left="0" w:hanging="2"/>
        <w:jc w:val="both"/>
        <w:outlineLvl w:val="9"/>
        <w:rPr>
          <w:rFonts w:ascii="Times New Roman" w:hAnsi="Times New Roman" w:cs="Times New Roman"/>
          <w:b/>
          <w:bCs/>
          <w:sz w:val="24"/>
          <w:szCs w:val="24"/>
        </w:rPr>
      </w:pPr>
      <w:r>
        <w:rPr>
          <w:rFonts w:ascii="Times New Roman" w:hAnsi="Times New Roman" w:cs="Times New Roman"/>
          <w:b/>
          <w:bCs/>
          <w:sz w:val="24"/>
          <w:szCs w:val="24"/>
        </w:rPr>
        <w:t>Conclusion</w:t>
      </w:r>
    </w:p>
    <w:p w14:paraId="6A3D55D3">
      <w:pPr>
        <w:spacing w:after="0" w:line="240" w:lineRule="auto"/>
        <w:ind w:left="-2" w:firstLine="0" w:firstLineChars="0"/>
        <w:jc w:val="both"/>
        <w:rPr>
          <w:rFonts w:ascii="Times New Roman" w:hAnsi="Times New Roman" w:cs="Times New Roman"/>
          <w:sz w:val="24"/>
          <w:szCs w:val="24"/>
        </w:rPr>
      </w:pPr>
      <w:r>
        <w:rPr>
          <w:rFonts w:ascii="Times New Roman" w:hAnsi="Times New Roman" w:cs="Times New Roman"/>
          <w:sz w:val="24"/>
          <w:szCs w:val="24"/>
        </w:rPr>
        <w:t>This study developed an input-output-based framework to evaluate the rationality of tourism spatial structures and applied it across 11 cities in Shanxi Province. The findings reveal varying degrees of spatial imbalance, confirming the model’s value in pinpointing misalignments between tourism inputs and outputs and highlighting areas where targeted policy adjustments are needed.</w:t>
      </w:r>
    </w:p>
    <w:p w14:paraId="4E1269D3">
      <w:pPr>
        <w:spacing w:after="0" w:line="240" w:lineRule="auto"/>
        <w:ind w:left="-2" w:firstLine="566" w:firstLineChars="236"/>
        <w:jc w:val="both"/>
        <w:rPr>
          <w:rFonts w:ascii="Times New Roman" w:hAnsi="Times New Roman" w:cs="Times New Roman"/>
          <w:sz w:val="24"/>
          <w:szCs w:val="24"/>
        </w:rPr>
      </w:pPr>
      <w:r>
        <w:rPr>
          <w:rFonts w:ascii="Times New Roman" w:hAnsi="Times New Roman" w:cs="Times New Roman"/>
          <w:sz w:val="24"/>
          <w:szCs w:val="24"/>
        </w:rPr>
        <w:t>By clarifying how key factors from infrastructure and human capital to ecological resources and technological capacity interact to shape tourism output, the model offers practical insights for optimizing resource allocation within sustainable thresholds. This capacity to diagnose and adjust input-output relationships is the study’s principal contribution, providing a replicable basis for improving tourism planning and governance.</w:t>
      </w:r>
    </w:p>
    <w:p w14:paraId="3372AC41">
      <w:pPr>
        <w:spacing w:after="0" w:line="240" w:lineRule="auto"/>
        <w:ind w:left="-2" w:firstLine="566" w:firstLineChars="236"/>
        <w:jc w:val="both"/>
        <w:rPr>
          <w:rFonts w:ascii="Times New Roman" w:hAnsi="Times New Roman" w:cs="Times New Roman"/>
          <w:sz w:val="24"/>
          <w:szCs w:val="24"/>
        </w:rPr>
      </w:pPr>
      <w:r>
        <w:rPr>
          <w:rFonts w:ascii="Times New Roman" w:hAnsi="Times New Roman" w:cs="Times New Roman"/>
          <w:sz w:val="24"/>
          <w:szCs w:val="24"/>
        </w:rPr>
        <w:t>Ultimately, these insights underscore the importance of aligning investments with local capacities and conditions, ensuring that tourism growth is equitable, efficient, and environmentally responsible. As Shanxi moves forward, implementing these evidence-based recommendations will be critical for evolving its tourism sector into a more balanced, networked, and sustainable driver of regional development.</w:t>
      </w:r>
    </w:p>
    <w:p w14:paraId="514702F8">
      <w:pPr>
        <w:spacing w:line="240" w:lineRule="auto"/>
        <w:ind w:left="-2" w:firstLine="566" w:firstLineChars="236"/>
        <w:jc w:val="both"/>
        <w:rPr>
          <w:rFonts w:ascii="Times New Roman" w:hAnsi="Times New Roman" w:cs="Times New Roman"/>
          <w:sz w:val="24"/>
          <w:szCs w:val="24"/>
        </w:rPr>
      </w:pPr>
    </w:p>
    <w:p w14:paraId="2C49B744">
      <w:pPr>
        <w:pStyle w:val="2"/>
        <w:spacing w:before="0" w:line="240" w:lineRule="auto"/>
        <w:ind w:left="0" w:hanging="2"/>
        <w:rPr>
          <w:rFonts w:ascii="Times New Roman" w:hAnsi="Times New Roman"/>
          <w:b/>
          <w:bCs/>
          <w:color w:val="auto"/>
          <w:sz w:val="24"/>
          <w:szCs w:val="24"/>
        </w:rPr>
      </w:pPr>
      <w:bookmarkStart w:id="7" w:name="Funding"/>
      <w:bookmarkEnd w:id="7"/>
      <w:r>
        <w:rPr>
          <w:rFonts w:ascii="Times New Roman" w:hAnsi="Times New Roman"/>
          <w:b/>
          <w:bCs/>
          <w:color w:val="auto"/>
          <w:spacing w:val="-2"/>
          <w:sz w:val="24"/>
          <w:szCs w:val="24"/>
        </w:rPr>
        <w:t>Acknowledgement</w:t>
      </w:r>
    </w:p>
    <w:p w14:paraId="23087702">
      <w:pPr>
        <w:spacing w:line="240" w:lineRule="auto"/>
        <w:ind w:left="0" w:hanging="2"/>
        <w:jc w:val="both"/>
        <w:rPr>
          <w:rFonts w:ascii="Times New Roman" w:hAnsi="Times New Roman" w:cs="Times New Roman"/>
          <w:sz w:val="24"/>
          <w:szCs w:val="24"/>
        </w:rPr>
      </w:pPr>
      <w:r>
        <w:rPr>
          <w:rFonts w:ascii="Times New Roman" w:hAnsi="Times New Roman" w:cs="Times New Roman"/>
          <w:sz w:val="24"/>
          <w:szCs w:val="24"/>
        </w:rPr>
        <w:t>This</w:t>
      </w:r>
      <w:r>
        <w:rPr>
          <w:rFonts w:ascii="Times New Roman" w:hAnsi="Times New Roman" w:cs="Times New Roman"/>
          <w:spacing w:val="-13"/>
          <w:sz w:val="24"/>
          <w:szCs w:val="24"/>
        </w:rPr>
        <w:t xml:space="preserve"> </w:t>
      </w:r>
      <w:r>
        <w:rPr>
          <w:rFonts w:ascii="Times New Roman" w:hAnsi="Times New Roman" w:cs="Times New Roman"/>
          <w:sz w:val="24"/>
          <w:szCs w:val="24"/>
        </w:rPr>
        <w:t>work</w:t>
      </w:r>
      <w:r>
        <w:rPr>
          <w:rFonts w:ascii="Times New Roman" w:hAnsi="Times New Roman" w:cs="Times New Roman"/>
          <w:spacing w:val="-13"/>
          <w:sz w:val="24"/>
          <w:szCs w:val="24"/>
        </w:rPr>
        <w:t xml:space="preserve"> </w:t>
      </w:r>
      <w:r>
        <w:rPr>
          <w:rFonts w:ascii="Times New Roman" w:hAnsi="Times New Roman" w:cs="Times New Roman"/>
          <w:sz w:val="24"/>
          <w:szCs w:val="24"/>
        </w:rPr>
        <w:t>was</w:t>
      </w:r>
      <w:r>
        <w:rPr>
          <w:rFonts w:ascii="Times New Roman" w:hAnsi="Times New Roman" w:cs="Times New Roman"/>
          <w:spacing w:val="-14"/>
          <w:sz w:val="24"/>
          <w:szCs w:val="24"/>
        </w:rPr>
        <w:t xml:space="preserve"> </w:t>
      </w:r>
      <w:r>
        <w:rPr>
          <w:rFonts w:ascii="Times New Roman" w:hAnsi="Times New Roman" w:cs="Times New Roman"/>
          <w:sz w:val="24"/>
          <w:szCs w:val="24"/>
        </w:rPr>
        <w:t>supported</w:t>
      </w:r>
      <w:r>
        <w:rPr>
          <w:rFonts w:ascii="Times New Roman" w:hAnsi="Times New Roman" w:cs="Times New Roman"/>
          <w:spacing w:val="-13"/>
          <w:sz w:val="24"/>
          <w:szCs w:val="24"/>
        </w:rPr>
        <w:t xml:space="preserve"> </w:t>
      </w:r>
      <w:r>
        <w:rPr>
          <w:rFonts w:ascii="Times New Roman" w:hAnsi="Times New Roman" w:cs="Times New Roman"/>
          <w:sz w:val="24"/>
          <w:szCs w:val="24"/>
        </w:rPr>
        <w:t>by</w:t>
      </w:r>
      <w:r>
        <w:rPr>
          <w:rFonts w:ascii="Times New Roman" w:hAnsi="Times New Roman" w:cs="Times New Roman"/>
          <w:spacing w:val="-13"/>
          <w:sz w:val="24"/>
          <w:szCs w:val="24"/>
        </w:rPr>
        <w:t xml:space="preserve"> </w:t>
      </w:r>
      <w:r>
        <w:rPr>
          <w:rFonts w:ascii="Times New Roman" w:hAnsi="Times New Roman" w:cs="Times New Roman"/>
          <w:sz w:val="24"/>
          <w:szCs w:val="24"/>
        </w:rPr>
        <w:t>Publication Grant (Dana Pecutan), Faculty of Social Sciences and Humanities, Universiti Kebangsaan Malaysia.</w:t>
      </w:r>
    </w:p>
    <w:p w14:paraId="6A75C738">
      <w:pPr>
        <w:pStyle w:val="11"/>
        <w:ind w:hanging="2"/>
        <w:rPr>
          <w:rFonts w:ascii="Times New Roman" w:hAnsi="Times New Roman" w:cs="Times New Roman"/>
          <w:sz w:val="24"/>
          <w:szCs w:val="24"/>
        </w:rPr>
      </w:pPr>
      <w:bookmarkStart w:id="8" w:name="Data_availability_statement"/>
      <w:bookmarkEnd w:id="8"/>
    </w:p>
    <w:p w14:paraId="4368A7FA">
      <w:pPr>
        <w:pStyle w:val="2"/>
        <w:spacing w:before="0" w:line="240" w:lineRule="auto"/>
        <w:ind w:left="846" w:leftChars="0" w:hanging="846" w:hangingChars="376"/>
        <w:rPr>
          <w:rFonts w:ascii="Times New Roman" w:hAnsi="Times New Roman"/>
          <w:b/>
          <w:bCs/>
          <w:color w:val="auto"/>
          <w:sz w:val="24"/>
          <w:szCs w:val="24"/>
        </w:rPr>
      </w:pPr>
      <w:bookmarkStart w:id="9" w:name="References"/>
      <w:bookmarkEnd w:id="9"/>
      <w:r>
        <w:rPr>
          <w:rFonts w:ascii="Times New Roman" w:hAnsi="Times New Roman"/>
          <w:b/>
          <w:bCs/>
          <w:color w:val="auto"/>
          <w:spacing w:val="-2"/>
          <w:w w:val="95"/>
          <w:sz w:val="24"/>
          <w:szCs w:val="24"/>
        </w:rPr>
        <w:t>References</w:t>
      </w:r>
    </w:p>
    <w:p w14:paraId="21010C98">
      <w:pPr>
        <w:spacing w:line="240" w:lineRule="auto"/>
        <w:ind w:left="872" w:leftChars="0" w:hanging="872" w:hangingChars="376"/>
        <w:jc w:val="both"/>
        <w:rPr>
          <w:rFonts w:ascii="Times New Roman" w:hAnsi="Times New Roman" w:cs="Times New Roman"/>
          <w:spacing w:val="-4"/>
          <w:sz w:val="24"/>
          <w:szCs w:val="24"/>
          <w:lang w:val="en-MY"/>
        </w:rPr>
      </w:pPr>
      <w:bookmarkStart w:id="10" w:name="_bookmark44"/>
      <w:bookmarkEnd w:id="10"/>
      <w:r>
        <w:rPr>
          <w:rFonts w:ascii="Times New Roman" w:hAnsi="Times New Roman" w:cs="Times New Roman"/>
          <w:spacing w:val="-4"/>
          <w:sz w:val="24"/>
          <w:szCs w:val="24"/>
          <w:lang w:val="en-MY"/>
        </w:rPr>
        <w:t xml:space="preserve">Auerbach, F. 1913. "Das Gesetz der Bevölkerungskonzentration [The Law of Population Concentration]." </w:t>
      </w:r>
      <w:r>
        <w:rPr>
          <w:rFonts w:ascii="Times New Roman" w:hAnsi="Times New Roman" w:cs="Times New Roman"/>
          <w:i/>
          <w:iCs/>
          <w:spacing w:val="-4"/>
          <w:sz w:val="24"/>
          <w:szCs w:val="24"/>
          <w:lang w:val="en-MY"/>
        </w:rPr>
        <w:t>Petermanns Geographische Mitteilungen</w:t>
      </w:r>
      <w:r>
        <w:rPr>
          <w:rFonts w:ascii="Times New Roman" w:hAnsi="Times New Roman" w:cs="Times New Roman"/>
          <w:spacing w:val="-4"/>
          <w:sz w:val="24"/>
          <w:szCs w:val="24"/>
          <w:lang w:val="en-MY"/>
        </w:rPr>
        <w:t xml:space="preserve"> 59: 74-76.</w:t>
      </w:r>
    </w:p>
    <w:p w14:paraId="404CF6D7">
      <w:pPr>
        <w:spacing w:line="240" w:lineRule="auto"/>
        <w:ind w:left="872" w:leftChars="0" w:hanging="872" w:hangingChars="376"/>
        <w:jc w:val="both"/>
        <w:rPr>
          <w:rFonts w:ascii="Times New Roman" w:hAnsi="Times New Roman" w:cs="Times New Roman" w:eastAsiaTheme="minorEastAsia"/>
          <w:spacing w:val="-4"/>
          <w:sz w:val="24"/>
          <w:szCs w:val="24"/>
          <w:lang w:eastAsia="zh-CN"/>
        </w:rPr>
      </w:pPr>
      <w:r>
        <w:rPr>
          <w:rFonts w:ascii="Times New Roman" w:hAnsi="Times New Roman" w:cs="Times New Roman" w:eastAsiaTheme="minorEastAsia"/>
          <w:spacing w:val="-4"/>
          <w:sz w:val="24"/>
          <w:szCs w:val="24"/>
          <w:lang w:eastAsia="zh-CN"/>
        </w:rPr>
        <w:t xml:space="preserve">Aziz, N. A., A. Al. Mamun, M. N. H. Reza, and F. Naznen. 2024.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The impact of big data analytics on innovation capability and sustainability performance of hotels: evidence from an emerging economy.</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 xml:space="preserve"> </w:t>
      </w:r>
      <w:r>
        <w:rPr>
          <w:rFonts w:ascii="Times New Roman" w:hAnsi="Times New Roman" w:cs="Times New Roman" w:eastAsiaTheme="minorEastAsia"/>
          <w:i/>
          <w:iCs/>
          <w:spacing w:val="-4"/>
          <w:sz w:val="24"/>
          <w:szCs w:val="24"/>
          <w:lang w:eastAsia="zh-CN"/>
        </w:rPr>
        <w:t xml:space="preserve">Journal of Enterprise Information Management </w:t>
      </w:r>
      <w:r>
        <w:rPr>
          <w:rFonts w:ascii="Times New Roman" w:hAnsi="Times New Roman" w:cs="Times New Roman" w:eastAsiaTheme="minorEastAsia"/>
          <w:spacing w:val="-4"/>
          <w:sz w:val="24"/>
          <w:szCs w:val="24"/>
          <w:lang w:eastAsia="zh-CN"/>
        </w:rPr>
        <w:t>37(3): 1044-1068. DOI: 10.1108/JEIM-07-2023-0354</w:t>
      </w:r>
    </w:p>
    <w:p w14:paraId="63A664DA">
      <w:pPr>
        <w:spacing w:line="240" w:lineRule="auto"/>
        <w:ind w:left="872" w:leftChars="0" w:hanging="872" w:hangingChars="376"/>
        <w:jc w:val="both"/>
        <w:rPr>
          <w:rFonts w:ascii="Times New Roman" w:hAnsi="Times New Roman" w:cs="Times New Roman" w:eastAsiaTheme="minorEastAsia"/>
          <w:spacing w:val="-4"/>
          <w:sz w:val="24"/>
          <w:szCs w:val="24"/>
          <w:lang w:eastAsia="zh-CN"/>
        </w:rPr>
      </w:pPr>
      <w:r>
        <w:rPr>
          <w:rFonts w:ascii="Times New Roman" w:hAnsi="Times New Roman" w:cs="Times New Roman" w:eastAsiaTheme="minorEastAsia"/>
          <w:spacing w:val="-4"/>
          <w:sz w:val="24"/>
          <w:szCs w:val="24"/>
          <w:lang w:eastAsia="zh-CN"/>
        </w:rPr>
        <w:t xml:space="preserve">Aziz, N. A., and F. Long. 2022.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To travel, or not to travel? The impacts of travel constraints and perceived travel risk on travel intention among Malaysian tourists amid the COVID‐19.</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 </w:t>
      </w:r>
      <w:r>
        <w:rPr>
          <w:rFonts w:ascii="Times New Roman" w:hAnsi="Times New Roman" w:cs="Times New Roman" w:eastAsiaTheme="minorEastAsia"/>
          <w:i/>
          <w:iCs/>
          <w:spacing w:val="-4"/>
          <w:sz w:val="24"/>
          <w:szCs w:val="24"/>
          <w:lang w:eastAsia="zh-CN"/>
        </w:rPr>
        <w:t>Journal of Consumer Behavior</w:t>
      </w:r>
      <w:r>
        <w:rPr>
          <w:rFonts w:ascii="Times New Roman" w:hAnsi="Times New Roman" w:cs="Times New Roman" w:eastAsiaTheme="minorEastAsia"/>
          <w:spacing w:val="-4"/>
          <w:sz w:val="24"/>
          <w:szCs w:val="24"/>
          <w:lang w:eastAsia="zh-CN"/>
        </w:rPr>
        <w:t> 21(2): 352-362. DOI: 10.1002/cb.2008</w:t>
      </w:r>
    </w:p>
    <w:p w14:paraId="0177FBBB">
      <w:pPr>
        <w:spacing w:line="240" w:lineRule="auto"/>
        <w:ind w:left="872" w:leftChars="0" w:hanging="872" w:hangingChars="376"/>
        <w:jc w:val="both"/>
        <w:rPr>
          <w:rFonts w:ascii="Times New Roman" w:hAnsi="Times New Roman" w:cs="Times New Roman" w:eastAsiaTheme="minorEastAsia"/>
          <w:spacing w:val="-4"/>
          <w:sz w:val="24"/>
          <w:szCs w:val="24"/>
          <w:lang w:eastAsia="zh-CN"/>
        </w:rPr>
      </w:pPr>
      <w:r>
        <w:rPr>
          <w:rFonts w:ascii="Times New Roman" w:hAnsi="Times New Roman" w:cs="Times New Roman" w:eastAsiaTheme="minorEastAsia"/>
          <w:spacing w:val="-4"/>
          <w:sz w:val="24"/>
          <w:szCs w:val="24"/>
          <w:lang w:eastAsia="zh-CN"/>
        </w:rPr>
        <w:t xml:space="preserve">Azmi, E., R. A. Che Rose, A. Awang, and A. Abas. 2023.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Innovative and competitive: A systematic literature review on new tourism destinations and products for tourism supply.</w:t>
      </w:r>
      <w:r>
        <w:rPr>
          <w:rFonts w:ascii="Times New Roman" w:hAnsi="Times New Roman" w:cs="Times New Roman"/>
          <w:spacing w:val="-4"/>
          <w:sz w:val="24"/>
          <w:szCs w:val="24"/>
          <w:lang w:val="en-MY"/>
        </w:rPr>
        <w:t>"</w:t>
      </w:r>
      <w:r>
        <w:rPr>
          <w:rFonts w:ascii="Times New Roman" w:hAnsi="Times New Roman" w:cs="Times New Roman" w:eastAsiaTheme="minorEastAsia"/>
          <w:i/>
          <w:iCs/>
          <w:spacing w:val="-4"/>
          <w:sz w:val="24"/>
          <w:szCs w:val="24"/>
          <w:lang w:eastAsia="zh-CN"/>
        </w:rPr>
        <w:t> Sustainability</w:t>
      </w:r>
      <w:r>
        <w:rPr>
          <w:rFonts w:ascii="Times New Roman" w:hAnsi="Times New Roman" w:cs="Times New Roman" w:eastAsiaTheme="minorEastAsia"/>
          <w:spacing w:val="-4"/>
          <w:sz w:val="24"/>
          <w:szCs w:val="24"/>
          <w:lang w:eastAsia="zh-CN"/>
        </w:rPr>
        <w:t> 15(2): 1187. DOI: 10.3390/ su15021187</w:t>
      </w:r>
    </w:p>
    <w:p w14:paraId="7300E410">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Betcherman, G., N. Giannakopoulos, I. Laliotis, I. Pantelaiou, M. Testaverde, and G. Tzimas. 2023. "The Short-Term Impact of the 2020 Pandemic Lockdown on Employment in Greece." </w:t>
      </w:r>
      <w:r>
        <w:rPr>
          <w:rFonts w:ascii="Times New Roman" w:hAnsi="Times New Roman" w:cs="Times New Roman"/>
          <w:i/>
          <w:iCs/>
          <w:spacing w:val="-4"/>
          <w:sz w:val="24"/>
          <w:szCs w:val="24"/>
          <w:lang w:val="en-MY"/>
        </w:rPr>
        <w:t>Empirical Economics</w:t>
      </w:r>
      <w:r>
        <w:rPr>
          <w:rFonts w:ascii="Times New Roman" w:hAnsi="Times New Roman" w:cs="Times New Roman"/>
          <w:spacing w:val="-4"/>
          <w:sz w:val="24"/>
          <w:szCs w:val="24"/>
          <w:lang w:val="en-MY"/>
        </w:rPr>
        <w:t xml:space="preserve"> 65, no. 3: 1273-1307. </w:t>
      </w:r>
      <w:r>
        <w:fldChar w:fldCharType="begin"/>
      </w:r>
      <w:r>
        <w:instrText xml:space="preserve"> HYPERLINK "https://doi.org/10.1007/s00181-023-02381-2" </w:instrText>
      </w:r>
      <w:r>
        <w:fldChar w:fldCharType="separate"/>
      </w:r>
      <w:r>
        <w:rPr>
          <w:rStyle w:val="23"/>
          <w:rFonts w:ascii="Times New Roman" w:hAnsi="Times New Roman" w:cs="Times New Roman"/>
          <w:spacing w:val="-4"/>
          <w:sz w:val="24"/>
          <w:szCs w:val="24"/>
        </w:rPr>
        <w:t>https://doi.org/10.1007/s00181-023-02381-2</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043A1D53">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Bunsen, J., and M. Finkbeiner. 2022. "An Introductory Review of Input-Output Analysis in Sustainability Sciences Including Potential Implications of Aggregation." </w:t>
      </w:r>
      <w:r>
        <w:rPr>
          <w:rFonts w:ascii="Times New Roman" w:hAnsi="Times New Roman" w:cs="Times New Roman"/>
          <w:i/>
          <w:iCs/>
          <w:spacing w:val="-4"/>
          <w:sz w:val="24"/>
          <w:szCs w:val="24"/>
          <w:lang w:val="en-MY"/>
        </w:rPr>
        <w:t>Sustainability</w:t>
      </w:r>
      <w:r>
        <w:rPr>
          <w:rFonts w:ascii="Times New Roman" w:hAnsi="Times New Roman" w:cs="Times New Roman"/>
          <w:spacing w:val="-4"/>
          <w:sz w:val="24"/>
          <w:szCs w:val="24"/>
          <w:lang w:val="en-MY"/>
        </w:rPr>
        <w:t xml:space="preserve"> 15, no. 1: 46. </w:t>
      </w:r>
      <w:r>
        <w:fldChar w:fldCharType="begin"/>
      </w:r>
      <w:r>
        <w:instrText xml:space="preserve"> HYPERLINK "https://doi.org/10.3390/su15010046" </w:instrText>
      </w:r>
      <w:r>
        <w:fldChar w:fldCharType="separate"/>
      </w:r>
      <w:r>
        <w:rPr>
          <w:rStyle w:val="23"/>
          <w:rFonts w:ascii="Times New Roman" w:hAnsi="Times New Roman" w:cs="Times New Roman"/>
          <w:spacing w:val="-4"/>
          <w:sz w:val="24"/>
          <w:szCs w:val="24"/>
        </w:rPr>
        <w:t>https://doi.org/10.3390/su15010046</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44839A32">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Chaabouni, S. 2019. "China’s Regional Tourism Efficiency: A Two-Stage Double Bootstrap Data Envelopment Analysis." </w:t>
      </w:r>
      <w:r>
        <w:rPr>
          <w:rFonts w:ascii="Times New Roman" w:hAnsi="Times New Roman" w:cs="Times New Roman"/>
          <w:i/>
          <w:iCs/>
          <w:spacing w:val="-4"/>
          <w:sz w:val="24"/>
          <w:szCs w:val="24"/>
          <w:lang w:val="en-MY"/>
        </w:rPr>
        <w:t>Journal of Destination Marketing &amp; Management</w:t>
      </w:r>
      <w:r>
        <w:rPr>
          <w:rFonts w:ascii="Times New Roman" w:hAnsi="Times New Roman" w:cs="Times New Roman"/>
          <w:spacing w:val="-4"/>
          <w:sz w:val="24"/>
          <w:szCs w:val="24"/>
          <w:lang w:val="en-MY"/>
        </w:rPr>
        <w:t xml:space="preserve"> 11: 183–191. </w:t>
      </w:r>
      <w:r>
        <w:fldChar w:fldCharType="begin"/>
      </w:r>
      <w:r>
        <w:instrText xml:space="preserve"> HYPERLINK "https://doi.org/10.1016/j.jdmm.2017.09.002" </w:instrText>
      </w:r>
      <w:r>
        <w:fldChar w:fldCharType="separate"/>
      </w:r>
      <w:r>
        <w:rPr>
          <w:rStyle w:val="23"/>
          <w:rFonts w:ascii="Times New Roman" w:hAnsi="Times New Roman" w:cs="Times New Roman"/>
          <w:spacing w:val="-4"/>
          <w:sz w:val="24"/>
          <w:szCs w:val="24"/>
        </w:rPr>
        <w:t>https://doi.org/10.1016/j.jdmm.2017.09.002</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07BF4DFA">
      <w:pPr>
        <w:spacing w:line="240" w:lineRule="auto"/>
        <w:ind w:left="872" w:leftChars="0" w:hanging="872" w:hangingChars="376"/>
        <w:jc w:val="both"/>
        <w:rPr>
          <w:rFonts w:ascii="Times New Roman" w:hAnsi="Times New Roman" w:eastAsia="SimSun" w:cs="Times New Roman"/>
          <w:spacing w:val="-4"/>
          <w:sz w:val="24"/>
          <w:szCs w:val="24"/>
          <w:lang w:eastAsia="zh-CN"/>
        </w:rPr>
      </w:pPr>
      <w:r>
        <w:rPr>
          <w:rFonts w:ascii="Times New Roman" w:hAnsi="Times New Roman" w:cs="Times New Roman"/>
          <w:spacing w:val="-4"/>
          <w:sz w:val="24"/>
          <w:szCs w:val="24"/>
          <w:lang w:val="en-MY"/>
        </w:rPr>
        <w:t xml:space="preserve">Chang, J. Y. S., J. H. Cheah, X. J. Lim, and A. M. Morrison. 2023. "One Pie, Many Recipes: The Role of Artificial Intelligence Chatbots in Influencing Malaysian Solo Traveler Purchase Intentions." </w:t>
      </w:r>
      <w:r>
        <w:rPr>
          <w:rFonts w:ascii="Times New Roman" w:hAnsi="Times New Roman" w:cs="Times New Roman"/>
          <w:i/>
          <w:iCs/>
          <w:spacing w:val="-4"/>
          <w:sz w:val="24"/>
          <w:szCs w:val="24"/>
          <w:lang w:val="en-MY"/>
        </w:rPr>
        <w:t>Tourism Management Perspectives</w:t>
      </w:r>
      <w:r>
        <w:rPr>
          <w:rFonts w:ascii="Times New Roman" w:hAnsi="Times New Roman" w:cs="Times New Roman"/>
          <w:spacing w:val="-4"/>
          <w:sz w:val="24"/>
          <w:szCs w:val="24"/>
          <w:lang w:val="en-MY"/>
        </w:rPr>
        <w:t xml:space="preserve"> 49: 101191. </w:t>
      </w:r>
      <w:r>
        <w:fldChar w:fldCharType="begin"/>
      </w:r>
      <w:r>
        <w:instrText xml:space="preserve"> HYPERLINK "https://doi.org/10.1016/j.tmp.2023.101191" </w:instrText>
      </w:r>
      <w:r>
        <w:fldChar w:fldCharType="separate"/>
      </w:r>
      <w:r>
        <w:rPr>
          <w:rStyle w:val="23"/>
          <w:rFonts w:ascii="Times New Roman" w:hAnsi="Times New Roman" w:cs="Times New Roman"/>
          <w:spacing w:val="-4"/>
          <w:sz w:val="24"/>
          <w:szCs w:val="24"/>
        </w:rPr>
        <w:t>https://doi.org/10.1016/j.tmp.2023.101191</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r>
        <w:rPr>
          <w:rFonts w:ascii="Times New Roman" w:hAnsi="Times New Roman" w:eastAsia="SimSun" w:cs="Times New Roman"/>
          <w:spacing w:val="-4"/>
          <w:sz w:val="24"/>
          <w:szCs w:val="24"/>
          <w:lang w:eastAsia="zh-CN"/>
        </w:rPr>
        <w:t xml:space="preserve"> </w:t>
      </w:r>
    </w:p>
    <w:p w14:paraId="511F332E">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Chi, Y., and D. Liu. 2023. "Measuring the Island Tourism Development Sustainability at Dual Spatial Scales Using a Four-Dimensional Model: A Case Study of Shengsi Archipelago, China." </w:t>
      </w:r>
      <w:r>
        <w:rPr>
          <w:rFonts w:ascii="Times New Roman" w:hAnsi="Times New Roman" w:cs="Times New Roman"/>
          <w:i/>
          <w:iCs/>
          <w:spacing w:val="-4"/>
          <w:sz w:val="24"/>
          <w:szCs w:val="24"/>
          <w:lang w:val="en-MY"/>
        </w:rPr>
        <w:t>Journal of Cleaner Production</w:t>
      </w:r>
      <w:r>
        <w:rPr>
          <w:rFonts w:ascii="Times New Roman" w:hAnsi="Times New Roman" w:cs="Times New Roman"/>
          <w:spacing w:val="-4"/>
          <w:sz w:val="24"/>
          <w:szCs w:val="24"/>
          <w:lang w:val="en-MY"/>
        </w:rPr>
        <w:t xml:space="preserve"> 388: 135775. </w:t>
      </w:r>
      <w:r>
        <w:fldChar w:fldCharType="begin"/>
      </w:r>
      <w:r>
        <w:instrText xml:space="preserve"> HYPERLINK "https://doi.org/10.1016/j.jclepro.2022.135775" </w:instrText>
      </w:r>
      <w:r>
        <w:fldChar w:fldCharType="separate"/>
      </w:r>
      <w:r>
        <w:rPr>
          <w:rStyle w:val="23"/>
          <w:rFonts w:ascii="Times New Roman" w:hAnsi="Times New Roman" w:cs="Times New Roman"/>
          <w:spacing w:val="-4"/>
          <w:sz w:val="24"/>
          <w:szCs w:val="24"/>
        </w:rPr>
        <w:t>https://doi.org/10.1016/j.jclepro.2022.135775</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34FB50DD">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Demeter, C., P. C. Lin, Y. Y. Sun, and S. Dolnicar. 2021. "Assessing the Carbon Footprint of Tourism Businesses Using Environmentally Extended Input-Output Analysis." </w:t>
      </w:r>
      <w:r>
        <w:rPr>
          <w:rFonts w:ascii="Times New Roman" w:hAnsi="Times New Roman" w:cs="Times New Roman"/>
          <w:i/>
          <w:iCs/>
          <w:spacing w:val="-4"/>
          <w:sz w:val="24"/>
          <w:szCs w:val="24"/>
          <w:lang w:val="en-MY"/>
        </w:rPr>
        <w:t>Journal of Sustainable Tourism</w:t>
      </w:r>
      <w:r>
        <w:rPr>
          <w:rFonts w:ascii="Times New Roman" w:hAnsi="Times New Roman" w:cs="Times New Roman"/>
          <w:spacing w:val="-4"/>
          <w:sz w:val="24"/>
          <w:szCs w:val="24"/>
          <w:lang w:val="en-MY"/>
        </w:rPr>
        <w:t xml:space="preserve"> 30, no. 1: 128-144. </w:t>
      </w:r>
      <w:r>
        <w:fldChar w:fldCharType="begin"/>
      </w:r>
      <w:r>
        <w:instrText xml:space="preserve"> HYPERLINK "https://doi.org/10.1080/09669582.2021.1924181" </w:instrText>
      </w:r>
      <w:r>
        <w:fldChar w:fldCharType="separate"/>
      </w:r>
      <w:r>
        <w:rPr>
          <w:rStyle w:val="23"/>
          <w:rFonts w:ascii="Times New Roman" w:hAnsi="Times New Roman" w:cs="Times New Roman"/>
          <w:spacing w:val="-4"/>
          <w:sz w:val="24"/>
          <w:szCs w:val="24"/>
        </w:rPr>
        <w:t>https://doi.org/10.1080/09669582.2021.1924181</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285A105E">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Egidi, G., S. Cividino, G. Quaranta, A. Alhuseen, and L. Salvati. 2020. "Land Mismatches, Urban Growth and Spatial Planning: A Contribution to Metropolitan Sustainability." </w:t>
      </w:r>
      <w:r>
        <w:rPr>
          <w:rFonts w:ascii="Times New Roman" w:hAnsi="Times New Roman" w:cs="Times New Roman"/>
          <w:i/>
          <w:iCs/>
          <w:spacing w:val="-4"/>
          <w:sz w:val="24"/>
          <w:szCs w:val="24"/>
          <w:lang w:val="en-MY"/>
        </w:rPr>
        <w:t>Environmental Impact Assessment Review</w:t>
      </w:r>
      <w:r>
        <w:rPr>
          <w:rFonts w:ascii="Times New Roman" w:hAnsi="Times New Roman" w:cs="Times New Roman"/>
          <w:spacing w:val="-4"/>
          <w:sz w:val="24"/>
          <w:szCs w:val="24"/>
          <w:lang w:val="en-MY"/>
        </w:rPr>
        <w:t xml:space="preserve"> 84: 106439. </w:t>
      </w:r>
      <w:r>
        <w:fldChar w:fldCharType="begin"/>
      </w:r>
      <w:r>
        <w:instrText xml:space="preserve"> HYPERLINK "https://doi.org/10.1016/j.eiar.2020.106439" </w:instrText>
      </w:r>
      <w:r>
        <w:fldChar w:fldCharType="separate"/>
      </w:r>
      <w:r>
        <w:rPr>
          <w:rStyle w:val="23"/>
          <w:rFonts w:ascii="Times New Roman" w:hAnsi="Times New Roman" w:cs="Times New Roman"/>
          <w:spacing w:val="-4"/>
          <w:sz w:val="24"/>
          <w:szCs w:val="24"/>
        </w:rPr>
        <w:t>https://doi.org/10.1016/j.eiar.2020.106439</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2232B713">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Encalada-Abarca, L., C. C. Ferreira, and J. Rocha. 2022. "Measuring Tourism Intensification in Urban Destinations: An Approach Based on Fractal Analysis." </w:t>
      </w:r>
      <w:r>
        <w:rPr>
          <w:rFonts w:ascii="Times New Roman" w:hAnsi="Times New Roman" w:cs="Times New Roman"/>
          <w:i/>
          <w:iCs/>
          <w:spacing w:val="-4"/>
          <w:sz w:val="24"/>
          <w:szCs w:val="24"/>
          <w:lang w:val="en-MY"/>
        </w:rPr>
        <w:t>Journal of Travel Research</w:t>
      </w:r>
      <w:r>
        <w:rPr>
          <w:rFonts w:ascii="Times New Roman" w:hAnsi="Times New Roman" w:cs="Times New Roman"/>
          <w:spacing w:val="-4"/>
          <w:sz w:val="24"/>
          <w:szCs w:val="24"/>
          <w:lang w:val="en-MY"/>
        </w:rPr>
        <w:t xml:space="preserve"> 61, no. 2: 394-413. </w:t>
      </w:r>
      <w:r>
        <w:fldChar w:fldCharType="begin"/>
      </w:r>
      <w:r>
        <w:instrText xml:space="preserve"> HYPERLINK "https://doi.org/10.1177/0047287520987627" </w:instrText>
      </w:r>
      <w:r>
        <w:fldChar w:fldCharType="separate"/>
      </w:r>
      <w:r>
        <w:rPr>
          <w:rStyle w:val="23"/>
          <w:rFonts w:ascii="Times New Roman" w:hAnsi="Times New Roman" w:cs="Times New Roman"/>
          <w:spacing w:val="-4"/>
          <w:sz w:val="24"/>
          <w:szCs w:val="24"/>
        </w:rPr>
        <w:t>https://doi.org/10.1177/0047287520987627</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0EA60DFA">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Gabaix, X. 1999. "Zipf's Law and the Growth of Cities." </w:t>
      </w:r>
      <w:r>
        <w:rPr>
          <w:rFonts w:ascii="Times New Roman" w:hAnsi="Times New Roman" w:cs="Times New Roman"/>
          <w:i/>
          <w:iCs/>
          <w:spacing w:val="-4"/>
          <w:sz w:val="24"/>
          <w:szCs w:val="24"/>
          <w:lang w:val="en-MY"/>
        </w:rPr>
        <w:t>American Economic Review</w:t>
      </w:r>
      <w:r>
        <w:rPr>
          <w:rFonts w:ascii="Times New Roman" w:hAnsi="Times New Roman" w:cs="Times New Roman"/>
          <w:spacing w:val="-4"/>
          <w:sz w:val="24"/>
          <w:szCs w:val="24"/>
          <w:lang w:val="en-MY"/>
        </w:rPr>
        <w:t xml:space="preserve"> 89 (2): 129-132. https://doi.org/10.1257/aer.89.2.129.</w:t>
      </w:r>
    </w:p>
    <w:p w14:paraId="1372DA88">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Gan, C., M. Voda, K. Wang, L. Chen, and J. Ye. 2021. "Spatial Network Structure of the Tourism Economy in Urban Agglomeration: A Social Network Analysis." </w:t>
      </w:r>
      <w:r>
        <w:rPr>
          <w:rFonts w:ascii="Times New Roman" w:hAnsi="Times New Roman" w:cs="Times New Roman"/>
          <w:i/>
          <w:iCs/>
          <w:spacing w:val="-4"/>
          <w:sz w:val="24"/>
          <w:szCs w:val="24"/>
          <w:lang w:val="en-MY"/>
        </w:rPr>
        <w:t>Journal of Hospitality and Tourism Management</w:t>
      </w:r>
      <w:r>
        <w:rPr>
          <w:rFonts w:ascii="Times New Roman" w:hAnsi="Times New Roman" w:cs="Times New Roman"/>
          <w:spacing w:val="-4"/>
          <w:sz w:val="24"/>
          <w:szCs w:val="24"/>
          <w:lang w:val="en-MY"/>
        </w:rPr>
        <w:t xml:space="preserve"> 47: 124-133. </w:t>
      </w:r>
      <w:r>
        <w:fldChar w:fldCharType="begin"/>
      </w:r>
      <w:r>
        <w:instrText xml:space="preserve"> HYPERLINK "https://doi.org/10.1016/j.jhtm.2021.03.009" </w:instrText>
      </w:r>
      <w:r>
        <w:fldChar w:fldCharType="separate"/>
      </w:r>
      <w:r>
        <w:rPr>
          <w:rStyle w:val="23"/>
          <w:rFonts w:ascii="Times New Roman" w:hAnsi="Times New Roman" w:cs="Times New Roman"/>
          <w:spacing w:val="-4"/>
          <w:sz w:val="24"/>
          <w:szCs w:val="24"/>
        </w:rPr>
        <w:t>https://doi.org/10.1016/j.jhtm.2021.03.009</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38365B6A">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Gillman, M. 2021. "Steps in Industrial Development Through Human Capital Deepening." </w:t>
      </w:r>
      <w:r>
        <w:rPr>
          <w:rFonts w:ascii="Times New Roman" w:hAnsi="Times New Roman" w:cs="Times New Roman"/>
          <w:i/>
          <w:iCs/>
          <w:spacing w:val="-4"/>
          <w:sz w:val="24"/>
          <w:szCs w:val="24"/>
          <w:lang w:val="en-MY"/>
        </w:rPr>
        <w:t>Economic Modelling</w:t>
      </w:r>
      <w:r>
        <w:rPr>
          <w:rFonts w:ascii="Times New Roman" w:hAnsi="Times New Roman" w:cs="Times New Roman"/>
          <w:spacing w:val="-4"/>
          <w:sz w:val="24"/>
          <w:szCs w:val="24"/>
          <w:lang w:val="en-MY"/>
        </w:rPr>
        <w:t xml:space="preserve"> 99: 105470. </w:t>
      </w:r>
      <w:r>
        <w:fldChar w:fldCharType="begin"/>
      </w:r>
      <w:r>
        <w:instrText xml:space="preserve"> HYPERLINK "https://doi.org/10.1016/j.econmod.2021.02.011" </w:instrText>
      </w:r>
      <w:r>
        <w:fldChar w:fldCharType="separate"/>
      </w:r>
      <w:r>
        <w:rPr>
          <w:rStyle w:val="23"/>
          <w:rFonts w:ascii="Times New Roman" w:hAnsi="Times New Roman" w:cs="Times New Roman"/>
          <w:spacing w:val="-4"/>
          <w:sz w:val="24"/>
          <w:szCs w:val="24"/>
        </w:rPr>
        <w:t>https://doi.org/10.1016/j.econmod.2021.02.011</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185DBA57">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González-García, A., I. Palomo, J. A. González, C. A. López, and C. Montes. 2020. "Quantifying Spatial Supply-Demand Mismatches in Ecosystem Services Provides Insights for Land-Use Planning." </w:t>
      </w:r>
      <w:r>
        <w:rPr>
          <w:rFonts w:ascii="Times New Roman" w:hAnsi="Times New Roman" w:cs="Times New Roman"/>
          <w:i/>
          <w:iCs/>
          <w:spacing w:val="-4"/>
          <w:sz w:val="24"/>
          <w:szCs w:val="24"/>
          <w:lang w:val="en-MY"/>
        </w:rPr>
        <w:t>Land Use Policy</w:t>
      </w:r>
      <w:r>
        <w:rPr>
          <w:rFonts w:ascii="Times New Roman" w:hAnsi="Times New Roman" w:cs="Times New Roman"/>
          <w:spacing w:val="-4"/>
          <w:sz w:val="24"/>
          <w:szCs w:val="24"/>
          <w:lang w:val="en-MY"/>
        </w:rPr>
        <w:t xml:space="preserve"> 94: 104493. </w:t>
      </w:r>
      <w:r>
        <w:fldChar w:fldCharType="begin"/>
      </w:r>
      <w:r>
        <w:instrText xml:space="preserve"> HYPERLINK "https://doi.org/10.1016/j.landusepol.2020.104493" </w:instrText>
      </w:r>
      <w:r>
        <w:fldChar w:fldCharType="separate"/>
      </w:r>
      <w:r>
        <w:rPr>
          <w:rStyle w:val="23"/>
          <w:rFonts w:ascii="Times New Roman" w:hAnsi="Times New Roman" w:cs="Times New Roman"/>
          <w:spacing w:val="-4"/>
          <w:sz w:val="24"/>
          <w:szCs w:val="24"/>
        </w:rPr>
        <w:t>https://doi.org/10.1016/j.landusepol.2020.104493</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5EC2645C">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Gössling, S. 2021. "Tourism, Technology and ICT: A Critical Review of Affordances and Concessions." </w:t>
      </w:r>
      <w:r>
        <w:rPr>
          <w:rFonts w:ascii="Times New Roman" w:hAnsi="Times New Roman" w:cs="Times New Roman"/>
          <w:i/>
          <w:iCs/>
          <w:spacing w:val="-4"/>
          <w:sz w:val="24"/>
          <w:szCs w:val="24"/>
          <w:lang w:val="en-MY"/>
        </w:rPr>
        <w:t>Journal of Sustainable Tourism</w:t>
      </w:r>
      <w:r>
        <w:rPr>
          <w:rFonts w:ascii="Times New Roman" w:hAnsi="Times New Roman" w:cs="Times New Roman"/>
          <w:spacing w:val="-4"/>
          <w:sz w:val="24"/>
          <w:szCs w:val="24"/>
          <w:lang w:val="en-MY"/>
        </w:rPr>
        <w:t xml:space="preserve"> 29, no. 5: 733-750. </w:t>
      </w:r>
      <w:r>
        <w:fldChar w:fldCharType="begin"/>
      </w:r>
      <w:r>
        <w:instrText xml:space="preserve"> HYPERLINK "https://doi.org/10.1080/09669582.2021.1873353" </w:instrText>
      </w:r>
      <w:r>
        <w:fldChar w:fldCharType="separate"/>
      </w:r>
      <w:r>
        <w:rPr>
          <w:rStyle w:val="23"/>
          <w:rFonts w:ascii="Times New Roman" w:hAnsi="Times New Roman" w:cs="Times New Roman"/>
          <w:spacing w:val="-4"/>
          <w:sz w:val="24"/>
          <w:szCs w:val="24"/>
        </w:rPr>
        <w:t>https://doi.org/10.1080/09669582.2021.1873353</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62910592">
      <w:pPr>
        <w:spacing w:line="240" w:lineRule="auto"/>
        <w:ind w:left="872" w:leftChars="0" w:hanging="872" w:hangingChars="376"/>
        <w:jc w:val="both"/>
        <w:rPr>
          <w:rFonts w:ascii="Times New Roman" w:hAnsi="Times New Roman" w:cs="Times New Roman" w:eastAsiaTheme="minorEastAsia"/>
          <w:spacing w:val="-4"/>
          <w:sz w:val="24"/>
          <w:szCs w:val="24"/>
          <w:lang w:val="en-MY" w:eastAsia="zh-CN"/>
        </w:rPr>
      </w:pPr>
      <w:r>
        <w:rPr>
          <w:rFonts w:ascii="Times New Roman" w:hAnsi="Times New Roman" w:cs="Times New Roman" w:eastAsiaTheme="minorEastAsia"/>
          <w:spacing w:val="-4"/>
          <w:sz w:val="24"/>
          <w:szCs w:val="24"/>
          <w:lang w:val="en-MY" w:eastAsia="zh-CN"/>
        </w:rPr>
        <w:t xml:space="preserve">Gyódi, K., and Nawaro, Ł. 2021.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val="en-MY" w:eastAsia="zh-CN"/>
        </w:rPr>
        <w:t>Determinants of Airbnb prices in European cities: A spatial econometrics approach.</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val="en-MY" w:eastAsia="zh-CN"/>
        </w:rPr>
        <w:t> </w:t>
      </w:r>
      <w:r>
        <w:rPr>
          <w:rFonts w:ascii="Times New Roman" w:hAnsi="Times New Roman" w:cs="Times New Roman" w:eastAsiaTheme="minorEastAsia"/>
          <w:i/>
          <w:iCs/>
          <w:spacing w:val="-4"/>
          <w:sz w:val="24"/>
          <w:szCs w:val="24"/>
          <w:lang w:val="en-MY" w:eastAsia="zh-CN"/>
        </w:rPr>
        <w:t>Tourism Management</w:t>
      </w:r>
      <w:r>
        <w:rPr>
          <w:rFonts w:ascii="Times New Roman" w:hAnsi="Times New Roman" w:cs="Times New Roman" w:eastAsiaTheme="minorEastAsia"/>
          <w:spacing w:val="-4"/>
          <w:sz w:val="24"/>
          <w:szCs w:val="24"/>
          <w:lang w:val="en-MY" w:eastAsia="zh-CN"/>
        </w:rPr>
        <w:t> 86: 104319. https://doi.org/10.1016/j.tourman.2021.104319.</w:t>
      </w:r>
    </w:p>
    <w:p w14:paraId="708F9E4F">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Huang, T., J. C. Xi, and Q. S. Ge. 2019. "Spatial Differentiation and Integration Optimization of an Urban Agglomeration Tourism System Under the Influence of High-Speed Railway Network Evolution." </w:t>
      </w:r>
      <w:r>
        <w:rPr>
          <w:rFonts w:ascii="Times New Roman" w:hAnsi="Times New Roman" w:cs="Times New Roman"/>
          <w:i/>
          <w:iCs/>
          <w:spacing w:val="-4"/>
          <w:sz w:val="24"/>
          <w:szCs w:val="24"/>
          <w:lang w:val="en-MY"/>
        </w:rPr>
        <w:t>Applied Spatial Analysis and Policy</w:t>
      </w:r>
      <w:r>
        <w:rPr>
          <w:rFonts w:ascii="Times New Roman" w:hAnsi="Times New Roman" w:cs="Times New Roman"/>
          <w:spacing w:val="-4"/>
          <w:sz w:val="24"/>
          <w:szCs w:val="24"/>
          <w:lang w:val="en-MY"/>
        </w:rPr>
        <w:t xml:space="preserve"> 12: 349-376. </w:t>
      </w:r>
      <w:r>
        <w:fldChar w:fldCharType="begin"/>
      </w:r>
      <w:r>
        <w:instrText xml:space="preserve"> HYPERLINK "https://doi.org/10.1007/s12061-017-9245-3" </w:instrText>
      </w:r>
      <w:r>
        <w:fldChar w:fldCharType="separate"/>
      </w:r>
      <w:r>
        <w:rPr>
          <w:rStyle w:val="23"/>
          <w:rFonts w:ascii="Times New Roman" w:hAnsi="Times New Roman" w:cs="Times New Roman"/>
          <w:spacing w:val="-4"/>
          <w:sz w:val="24"/>
          <w:szCs w:val="24"/>
        </w:rPr>
        <w:t>https://doi.org/10.1007/s12061-017-9245-3</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50B92898">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Jin, D., B. Song, and N. Gao. 2013. "Spatial Structure of Tourism in Shanxi Province Based on 'Pole</w:t>
      </w:r>
      <w:r>
        <w:rPr>
          <w:rFonts w:ascii="Times New Roman" w:hAnsi="Times New Roman" w:eastAsia="MS Mincho" w:cs="Times New Roman"/>
          <w:spacing w:val="-4"/>
          <w:sz w:val="24"/>
          <w:szCs w:val="24"/>
          <w:lang w:val="en-MY"/>
        </w:rPr>
        <w:t>－</w:t>
      </w:r>
      <w:r>
        <w:rPr>
          <w:rFonts w:ascii="Times New Roman" w:hAnsi="Times New Roman" w:cs="Times New Roman"/>
          <w:spacing w:val="-4"/>
          <w:sz w:val="24"/>
          <w:szCs w:val="24"/>
          <w:lang w:val="en-MY"/>
        </w:rPr>
        <w:t xml:space="preserve">Axis' Theory." </w:t>
      </w:r>
      <w:r>
        <w:rPr>
          <w:rFonts w:ascii="Times New Roman" w:hAnsi="Times New Roman" w:cs="Times New Roman"/>
          <w:i/>
          <w:iCs/>
          <w:spacing w:val="-4"/>
          <w:sz w:val="24"/>
          <w:szCs w:val="24"/>
          <w:lang w:val="en-MY"/>
        </w:rPr>
        <w:t>Journal of Arid Land Resources and Environment</w:t>
      </w:r>
      <w:r>
        <w:rPr>
          <w:rFonts w:ascii="Times New Roman" w:hAnsi="Times New Roman" w:cs="Times New Roman"/>
          <w:spacing w:val="-4"/>
          <w:sz w:val="24"/>
          <w:szCs w:val="24"/>
          <w:lang w:val="en-MY"/>
        </w:rPr>
        <w:t xml:space="preserve"> 27, no. 5: 196-202. (In Chinese).</w:t>
      </w:r>
    </w:p>
    <w:p w14:paraId="6A573EA3">
      <w:pPr>
        <w:spacing w:line="240" w:lineRule="auto"/>
        <w:ind w:left="872" w:leftChars="0" w:hanging="872" w:hangingChars="376"/>
        <w:jc w:val="both"/>
        <w:rPr>
          <w:rFonts w:ascii="Times New Roman" w:hAnsi="Times New Roman" w:cs="Times New Roman" w:eastAsiaTheme="minorEastAsia"/>
          <w:spacing w:val="-4"/>
          <w:sz w:val="24"/>
          <w:szCs w:val="24"/>
          <w:highlight w:val="yellow"/>
          <w:lang w:val="en-MY" w:eastAsia="zh-CN"/>
        </w:rPr>
      </w:pPr>
      <w:r>
        <w:rPr>
          <w:rFonts w:ascii="Times New Roman" w:hAnsi="Times New Roman" w:cs="Times New Roman" w:eastAsiaTheme="minorEastAsia"/>
          <w:spacing w:val="-4"/>
          <w:sz w:val="24"/>
          <w:szCs w:val="24"/>
          <w:lang w:val="en-MY" w:eastAsia="zh-CN"/>
        </w:rPr>
        <w:t xml:space="preserve">Kim, Y. R., A. Liu, J. Stienmetz, and Y. Chen. 2022.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val="en-MY" w:eastAsia="zh-CN"/>
        </w:rPr>
        <w:t>Visitor flow spillover effects on attraction demand: A spatial econometric model with multisource data</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val="en-MY" w:eastAsia="zh-CN"/>
        </w:rPr>
        <w:t> </w:t>
      </w:r>
      <w:r>
        <w:rPr>
          <w:rFonts w:ascii="Times New Roman" w:hAnsi="Times New Roman" w:cs="Times New Roman" w:eastAsiaTheme="minorEastAsia"/>
          <w:i/>
          <w:iCs/>
          <w:spacing w:val="-4"/>
          <w:sz w:val="24"/>
          <w:szCs w:val="24"/>
          <w:lang w:val="en-MY" w:eastAsia="zh-CN"/>
        </w:rPr>
        <w:t>Tourism Management</w:t>
      </w:r>
      <w:r>
        <w:rPr>
          <w:rFonts w:ascii="Times New Roman" w:hAnsi="Times New Roman" w:cs="Times New Roman" w:eastAsiaTheme="minorEastAsia"/>
          <w:spacing w:val="-4"/>
          <w:sz w:val="24"/>
          <w:szCs w:val="24"/>
          <w:lang w:val="en-MY" w:eastAsia="zh-CN"/>
        </w:rPr>
        <w:t> 88: 104432. https://doi.org/10.1016/j.tourman.2021.104432.</w:t>
      </w:r>
    </w:p>
    <w:p w14:paraId="300AD0E0">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Kunjuraman, V. 2023. "A Revised Sustainable Livelihood Framework for Community-Based Tourism Projects in Developing Countries." </w:t>
      </w:r>
      <w:r>
        <w:rPr>
          <w:rFonts w:ascii="Times New Roman" w:hAnsi="Times New Roman" w:cs="Times New Roman"/>
          <w:i/>
          <w:iCs/>
          <w:spacing w:val="-4"/>
          <w:sz w:val="24"/>
          <w:szCs w:val="24"/>
          <w:lang w:val="en-MY"/>
        </w:rPr>
        <w:t>Current Issues in Tourism</w:t>
      </w:r>
      <w:r>
        <w:rPr>
          <w:rFonts w:ascii="Times New Roman" w:hAnsi="Times New Roman" w:cs="Times New Roman"/>
          <w:spacing w:val="-4"/>
          <w:sz w:val="24"/>
          <w:szCs w:val="24"/>
          <w:lang w:val="en-MY"/>
        </w:rPr>
        <w:t xml:space="preserve"> 26, no. 4: 540-546. </w:t>
      </w:r>
      <w:r>
        <w:fldChar w:fldCharType="begin"/>
      </w:r>
      <w:r>
        <w:instrText xml:space="preserve"> HYPERLINK "https://doi.org/10.1080/13683500.2022.2116563" \t "_new" </w:instrText>
      </w:r>
      <w:r>
        <w:fldChar w:fldCharType="separate"/>
      </w:r>
      <w:r>
        <w:rPr>
          <w:rStyle w:val="23"/>
          <w:rFonts w:ascii="Times New Roman" w:hAnsi="Times New Roman" w:cs="Times New Roman"/>
          <w:spacing w:val="-4"/>
          <w:sz w:val="24"/>
          <w:szCs w:val="24"/>
        </w:rPr>
        <w:t>https://doi.org/10.1080/13683500.2022.2116563</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29FBFD2A">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Ladkin, A. 2011. "Exploring Tourism Labor." </w:t>
      </w:r>
      <w:r>
        <w:rPr>
          <w:rFonts w:ascii="Times New Roman" w:hAnsi="Times New Roman" w:cs="Times New Roman"/>
          <w:i/>
          <w:iCs/>
          <w:spacing w:val="-4"/>
          <w:sz w:val="24"/>
          <w:szCs w:val="24"/>
          <w:lang w:val="en-MY"/>
        </w:rPr>
        <w:t>Annals of Tourism Research</w:t>
      </w:r>
      <w:r>
        <w:rPr>
          <w:rFonts w:ascii="Times New Roman" w:hAnsi="Times New Roman" w:cs="Times New Roman"/>
          <w:spacing w:val="-4"/>
          <w:sz w:val="24"/>
          <w:szCs w:val="24"/>
          <w:lang w:val="en-MY"/>
        </w:rPr>
        <w:t xml:space="preserve"> 38, no. 3: 1135-1155. </w:t>
      </w:r>
      <w:r>
        <w:fldChar w:fldCharType="begin"/>
      </w:r>
      <w:r>
        <w:instrText xml:space="preserve"> HYPERLINK "https://doi.org/10.1016/j.annals.2011.03.010" </w:instrText>
      </w:r>
      <w:r>
        <w:fldChar w:fldCharType="separate"/>
      </w:r>
      <w:r>
        <w:rPr>
          <w:rStyle w:val="23"/>
          <w:rFonts w:ascii="Times New Roman" w:hAnsi="Times New Roman" w:cs="Times New Roman"/>
          <w:spacing w:val="-4"/>
          <w:sz w:val="24"/>
          <w:szCs w:val="24"/>
        </w:rPr>
        <w:t>https://doi.org/10.1016/j.annals.2011.03.010</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432BFB4A">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Lau, P. L., T. T. Koo, and C. L. Wu. 2020. "Spatial Distribution of Tourism Activities: A Polya Urn Process Model of Rank-Size Distribution." </w:t>
      </w:r>
      <w:r>
        <w:rPr>
          <w:rFonts w:ascii="Times New Roman" w:hAnsi="Times New Roman" w:cs="Times New Roman"/>
          <w:i/>
          <w:iCs/>
          <w:spacing w:val="-4"/>
          <w:sz w:val="24"/>
          <w:szCs w:val="24"/>
          <w:lang w:val="en-MY"/>
        </w:rPr>
        <w:t>Journal of Travel Research</w:t>
      </w:r>
      <w:r>
        <w:rPr>
          <w:rFonts w:ascii="Times New Roman" w:hAnsi="Times New Roman" w:cs="Times New Roman"/>
          <w:spacing w:val="-4"/>
          <w:sz w:val="24"/>
          <w:szCs w:val="24"/>
          <w:lang w:val="en-MY"/>
        </w:rPr>
        <w:t xml:space="preserve"> 59, no. 2: 231-246. </w:t>
      </w:r>
      <w:r>
        <w:fldChar w:fldCharType="begin"/>
      </w:r>
      <w:r>
        <w:instrText xml:space="preserve"> HYPERLINK "https://doi.org/10.1177/0047287519829258" </w:instrText>
      </w:r>
      <w:r>
        <w:fldChar w:fldCharType="separate"/>
      </w:r>
      <w:r>
        <w:rPr>
          <w:rStyle w:val="23"/>
          <w:rFonts w:ascii="Times New Roman" w:hAnsi="Times New Roman" w:cs="Times New Roman"/>
          <w:spacing w:val="-4"/>
          <w:sz w:val="24"/>
          <w:szCs w:val="24"/>
        </w:rPr>
        <w:t>https://doi.org/10.1177/0047287519829258</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09542738">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Liao, J., C. Yu, Z. Feng, H. Zhao, K. Wu, and X. Ma. 2021. "Spatial Differentiation Characteristics and Driving Factors of Agricultural Eco-Efficiency in Chinese Provinces from the Perspective of Ecosystem Services." </w:t>
      </w:r>
      <w:r>
        <w:rPr>
          <w:rFonts w:ascii="Times New Roman" w:hAnsi="Times New Roman" w:cs="Times New Roman"/>
          <w:i/>
          <w:iCs/>
          <w:spacing w:val="-4"/>
          <w:sz w:val="24"/>
          <w:szCs w:val="24"/>
          <w:lang w:val="en-MY"/>
        </w:rPr>
        <w:t>Journal of Cleaner Production</w:t>
      </w:r>
      <w:r>
        <w:rPr>
          <w:rFonts w:ascii="Times New Roman" w:hAnsi="Times New Roman" w:cs="Times New Roman"/>
          <w:spacing w:val="-4"/>
          <w:sz w:val="24"/>
          <w:szCs w:val="24"/>
          <w:lang w:val="en-MY"/>
        </w:rPr>
        <w:t xml:space="preserve"> 288: 125466. </w:t>
      </w:r>
      <w:r>
        <w:fldChar w:fldCharType="begin"/>
      </w:r>
      <w:r>
        <w:instrText xml:space="preserve"> HYPERLINK "https://doi.org/10.1016/j.jclepro.2020.125466" </w:instrText>
      </w:r>
      <w:r>
        <w:fldChar w:fldCharType="separate"/>
      </w:r>
      <w:r>
        <w:rPr>
          <w:rStyle w:val="23"/>
          <w:rFonts w:ascii="Times New Roman" w:hAnsi="Times New Roman" w:cs="Times New Roman"/>
          <w:spacing w:val="-4"/>
          <w:sz w:val="24"/>
          <w:szCs w:val="24"/>
        </w:rPr>
        <w:t>https://doi.org/10.1016/j.jclepro.2020.125466</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7C7140F1">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Lu, D. 1989. "Spatial Structure Theory and Regional Development." </w:t>
      </w:r>
      <w:r>
        <w:rPr>
          <w:rFonts w:ascii="Times New Roman" w:hAnsi="Times New Roman" w:cs="Times New Roman"/>
          <w:i/>
          <w:iCs/>
          <w:spacing w:val="-4"/>
          <w:sz w:val="24"/>
          <w:szCs w:val="24"/>
          <w:lang w:val="en-MY"/>
        </w:rPr>
        <w:t>Science</w:t>
      </w:r>
      <w:r>
        <w:rPr>
          <w:rFonts w:ascii="Times New Roman" w:hAnsi="Times New Roman" w:cs="Times New Roman"/>
          <w:spacing w:val="-4"/>
          <w:sz w:val="24"/>
          <w:szCs w:val="24"/>
          <w:lang w:val="en-MY"/>
        </w:rPr>
        <w:t xml:space="preserve"> 41, no. 2: 108-111. (In Chinese).</w:t>
      </w:r>
    </w:p>
    <w:p w14:paraId="1FD56732">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Lu, D. 2024. </w:t>
      </w:r>
      <w:r>
        <w:rPr>
          <w:rFonts w:ascii="Times New Roman" w:hAnsi="Times New Roman" w:cs="Times New Roman"/>
          <w:i/>
          <w:iCs/>
          <w:spacing w:val="-4"/>
          <w:sz w:val="24"/>
          <w:szCs w:val="24"/>
          <w:lang w:val="en-MY"/>
        </w:rPr>
        <w:t>Regional Development and Its Spatial Structure</w:t>
      </w:r>
      <w:r>
        <w:rPr>
          <w:rFonts w:ascii="Times New Roman" w:hAnsi="Times New Roman" w:cs="Times New Roman"/>
          <w:spacing w:val="-4"/>
          <w:sz w:val="24"/>
          <w:szCs w:val="24"/>
          <w:lang w:val="en-MY"/>
        </w:rPr>
        <w:t>. Springer.</w:t>
      </w:r>
    </w:p>
    <w:p w14:paraId="58E4B690">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Ma, L., </w:t>
      </w:r>
      <w:r>
        <w:rPr>
          <w:rFonts w:ascii="Times New Roman" w:hAnsi="Times New Roman" w:cs="Times New Roman" w:eastAsiaTheme="minorEastAsia"/>
          <w:spacing w:val="-4"/>
          <w:sz w:val="24"/>
          <w:szCs w:val="24"/>
          <w:lang w:val="en-MY" w:eastAsia="zh-CN"/>
        </w:rPr>
        <w:t xml:space="preserve">X. </w:t>
      </w:r>
      <w:r>
        <w:rPr>
          <w:rFonts w:ascii="Times New Roman" w:hAnsi="Times New Roman" w:cs="Times New Roman"/>
          <w:spacing w:val="-4"/>
          <w:sz w:val="24"/>
          <w:szCs w:val="24"/>
          <w:lang w:val="en-MY"/>
        </w:rPr>
        <w:t xml:space="preserve">Li, </w:t>
      </w:r>
      <w:r>
        <w:rPr>
          <w:rFonts w:ascii="Times New Roman" w:hAnsi="Times New Roman" w:cs="Times New Roman" w:eastAsiaTheme="minorEastAsia"/>
          <w:spacing w:val="-4"/>
          <w:sz w:val="24"/>
          <w:szCs w:val="24"/>
          <w:lang w:val="en-MY" w:eastAsia="zh-CN"/>
        </w:rPr>
        <w:t xml:space="preserve">J. </w:t>
      </w:r>
      <w:r>
        <w:rPr>
          <w:rFonts w:ascii="Times New Roman" w:hAnsi="Times New Roman" w:cs="Times New Roman"/>
          <w:spacing w:val="-4"/>
          <w:sz w:val="24"/>
          <w:szCs w:val="24"/>
          <w:lang w:val="en-MY"/>
        </w:rPr>
        <w:t xml:space="preserve">Bo, and </w:t>
      </w:r>
      <w:r>
        <w:rPr>
          <w:rFonts w:ascii="Times New Roman" w:hAnsi="Times New Roman" w:cs="Times New Roman" w:eastAsiaTheme="minorEastAsia"/>
          <w:spacing w:val="-4"/>
          <w:sz w:val="24"/>
          <w:szCs w:val="24"/>
          <w:lang w:val="en-MY" w:eastAsia="zh-CN"/>
        </w:rPr>
        <w:t xml:space="preserve">F. </w:t>
      </w:r>
      <w:r>
        <w:rPr>
          <w:rFonts w:ascii="Times New Roman" w:hAnsi="Times New Roman" w:cs="Times New Roman"/>
          <w:spacing w:val="-4"/>
          <w:sz w:val="24"/>
          <w:szCs w:val="24"/>
          <w:lang w:val="en-MY"/>
        </w:rPr>
        <w:t xml:space="preserve">Fang. 2020. "From Subjective and Objective Perspective to Reconstruct the High-Quality Tourism Spatial Structure—Taking Gannan Prefecture in China as an Example." </w:t>
      </w:r>
      <w:r>
        <w:rPr>
          <w:rFonts w:ascii="Times New Roman" w:hAnsi="Times New Roman" w:cs="Times New Roman"/>
          <w:i/>
          <w:iCs/>
          <w:spacing w:val="-4"/>
          <w:sz w:val="24"/>
          <w:szCs w:val="24"/>
          <w:lang w:val="en-MY"/>
        </w:rPr>
        <w:t>Sustainability</w:t>
      </w:r>
      <w:r>
        <w:rPr>
          <w:rFonts w:ascii="Times New Roman" w:hAnsi="Times New Roman" w:cs="Times New Roman"/>
          <w:spacing w:val="-4"/>
          <w:sz w:val="24"/>
          <w:szCs w:val="24"/>
          <w:lang w:val="en-MY"/>
        </w:rPr>
        <w:t xml:space="preserve"> 12, no. 3: 1015. https://doi.org/10.3390/su12031015.</w:t>
      </w:r>
    </w:p>
    <w:p w14:paraId="593CA481">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Mandelbrot, B. 1977. </w:t>
      </w:r>
      <w:r>
        <w:rPr>
          <w:rFonts w:ascii="Times New Roman" w:hAnsi="Times New Roman" w:cs="Times New Roman"/>
          <w:i/>
          <w:iCs/>
          <w:spacing w:val="-4"/>
          <w:sz w:val="24"/>
          <w:szCs w:val="24"/>
          <w:lang w:val="en-MY"/>
        </w:rPr>
        <w:t>Fractals: Form, Chance, and Dimension</w:t>
      </w:r>
      <w:r>
        <w:rPr>
          <w:rFonts w:ascii="Times New Roman" w:hAnsi="Times New Roman" w:cs="Times New Roman"/>
          <w:spacing w:val="-4"/>
          <w:sz w:val="24"/>
          <w:szCs w:val="24"/>
          <w:lang w:val="en-MY"/>
        </w:rPr>
        <w:t>. San Francisco: Freeman.</w:t>
      </w:r>
    </w:p>
    <w:p w14:paraId="067FBBD0">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Martin, R. W. 2001. "The Adjustment of Black Residents to Metropolitan Employment Shifts: How Persistent Is Spatial Mismatch?" </w:t>
      </w:r>
      <w:r>
        <w:rPr>
          <w:rFonts w:ascii="Times New Roman" w:hAnsi="Times New Roman" w:cs="Times New Roman"/>
          <w:i/>
          <w:iCs/>
          <w:spacing w:val="-4"/>
          <w:sz w:val="24"/>
          <w:szCs w:val="24"/>
          <w:lang w:val="en-MY"/>
        </w:rPr>
        <w:t>Journal of Urban Economics</w:t>
      </w:r>
      <w:r>
        <w:rPr>
          <w:rFonts w:ascii="Times New Roman" w:hAnsi="Times New Roman" w:cs="Times New Roman"/>
          <w:spacing w:val="-4"/>
          <w:sz w:val="24"/>
          <w:szCs w:val="24"/>
          <w:lang w:val="en-MY"/>
        </w:rPr>
        <w:t xml:space="preserve"> 50, no. 1: 52-76. </w:t>
      </w:r>
      <w:r>
        <w:fldChar w:fldCharType="begin"/>
      </w:r>
      <w:r>
        <w:instrText xml:space="preserve"> HYPERLINK "https://doi.org/10.1006/juec.2000.2211" \t "_new" </w:instrText>
      </w:r>
      <w:r>
        <w:fldChar w:fldCharType="separate"/>
      </w:r>
      <w:r>
        <w:rPr>
          <w:rStyle w:val="23"/>
          <w:rFonts w:ascii="Times New Roman" w:hAnsi="Times New Roman" w:cs="Times New Roman"/>
          <w:spacing w:val="-4"/>
          <w:sz w:val="24"/>
          <w:szCs w:val="24"/>
        </w:rPr>
        <w:t>https://doi.org/10.1006/juec.2000.2211</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6D54D0F5">
      <w:pPr>
        <w:spacing w:line="240" w:lineRule="auto"/>
        <w:ind w:left="872" w:leftChars="0" w:hanging="872" w:hangingChars="376"/>
        <w:jc w:val="both"/>
        <w:rPr>
          <w:rFonts w:ascii="Times New Roman" w:hAnsi="Times New Roman" w:cs="Times New Roman" w:eastAsiaTheme="minorEastAsia"/>
          <w:spacing w:val="-4"/>
          <w:sz w:val="24"/>
          <w:szCs w:val="24"/>
          <w:lang w:eastAsia="zh-CN"/>
        </w:rPr>
      </w:pPr>
      <w:r>
        <w:rPr>
          <w:rFonts w:ascii="Times New Roman" w:hAnsi="Times New Roman" w:cs="Times New Roman" w:eastAsiaTheme="minorEastAsia"/>
          <w:spacing w:val="-4"/>
          <w:sz w:val="24"/>
          <w:szCs w:val="24"/>
          <w:lang w:eastAsia="zh-CN"/>
        </w:rPr>
        <w:t xml:space="preserve">Meng, L., X. Zheng, and L. Zhao. 2009.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Study on fractal model of regional urban Pole-Axis system spatial structure.</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 xml:space="preserve"> </w:t>
      </w:r>
      <w:r>
        <w:rPr>
          <w:rFonts w:ascii="Times New Roman" w:hAnsi="Times New Roman" w:cs="Times New Roman" w:eastAsiaTheme="minorEastAsia"/>
          <w:i/>
          <w:iCs/>
          <w:spacing w:val="-4"/>
          <w:sz w:val="24"/>
          <w:szCs w:val="24"/>
          <w:lang w:eastAsia="zh-CN"/>
        </w:rPr>
        <w:t>Progress in Geography</w:t>
      </w:r>
      <w:r>
        <w:rPr>
          <w:rFonts w:ascii="Times New Roman" w:hAnsi="Times New Roman" w:cs="Times New Roman" w:eastAsiaTheme="minorEastAsia"/>
          <w:spacing w:val="-4"/>
          <w:sz w:val="24"/>
          <w:szCs w:val="24"/>
          <w:lang w:eastAsia="zh-CN"/>
        </w:rPr>
        <w:t xml:space="preserve"> 28(6): 945-946. (In Chinese)</w:t>
      </w:r>
    </w:p>
    <w:p w14:paraId="69E14242">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Miller, R. E., and </w:t>
      </w:r>
      <w:r>
        <w:rPr>
          <w:rFonts w:ascii="Times New Roman" w:hAnsi="Times New Roman" w:cs="Times New Roman" w:eastAsiaTheme="minorEastAsia"/>
          <w:spacing w:val="-4"/>
          <w:sz w:val="24"/>
          <w:szCs w:val="24"/>
          <w:lang w:val="en-MY" w:eastAsia="zh-CN"/>
        </w:rPr>
        <w:t xml:space="preserve">P. D. </w:t>
      </w:r>
      <w:r>
        <w:rPr>
          <w:rFonts w:ascii="Times New Roman" w:hAnsi="Times New Roman" w:cs="Times New Roman"/>
          <w:spacing w:val="-4"/>
          <w:sz w:val="24"/>
          <w:szCs w:val="24"/>
          <w:lang w:val="en-MY"/>
        </w:rPr>
        <w:t xml:space="preserve">Blair. 2021. </w:t>
      </w:r>
      <w:r>
        <w:rPr>
          <w:rFonts w:ascii="Times New Roman" w:hAnsi="Times New Roman" w:cs="Times New Roman"/>
          <w:i/>
          <w:iCs/>
          <w:spacing w:val="-4"/>
          <w:sz w:val="24"/>
          <w:szCs w:val="24"/>
          <w:lang w:val="en-MY"/>
        </w:rPr>
        <w:t>Input-Output Analysis: Foundations and Extensions</w:t>
      </w:r>
      <w:r>
        <w:rPr>
          <w:rFonts w:ascii="Times New Roman" w:hAnsi="Times New Roman" w:cs="Times New Roman"/>
          <w:spacing w:val="-4"/>
          <w:sz w:val="24"/>
          <w:szCs w:val="24"/>
          <w:lang w:val="en-MY"/>
        </w:rPr>
        <w:t xml:space="preserve">. Cambridge University Press. </w:t>
      </w:r>
      <w:r>
        <w:fldChar w:fldCharType="begin"/>
      </w:r>
      <w:r>
        <w:instrText xml:space="preserve"> HYPERLINK "https://doi.org/10.1017/9781108676212" \t "_new" </w:instrText>
      </w:r>
      <w:r>
        <w:fldChar w:fldCharType="separate"/>
      </w:r>
      <w:r>
        <w:rPr>
          <w:rStyle w:val="23"/>
          <w:rFonts w:ascii="Times New Roman" w:hAnsi="Times New Roman" w:cs="Times New Roman"/>
          <w:spacing w:val="-4"/>
          <w:sz w:val="24"/>
          <w:szCs w:val="24"/>
        </w:rPr>
        <w:t>https://doi.org/10.1017/9781108676212</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01B7D68A">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Munguía, R., Davalos, J., and Urzua, S. 2019. "Estimation of the Solow-Cobb-Douglas Economic Growth Model with a Kalman Filter: An Observability-Based Approach." </w:t>
      </w:r>
      <w:r>
        <w:rPr>
          <w:rFonts w:ascii="Times New Roman" w:hAnsi="Times New Roman" w:cs="Times New Roman"/>
          <w:i/>
          <w:iCs/>
          <w:spacing w:val="-4"/>
          <w:sz w:val="24"/>
          <w:szCs w:val="24"/>
          <w:lang w:val="en-MY"/>
        </w:rPr>
        <w:t>Heliyon</w:t>
      </w:r>
      <w:r>
        <w:rPr>
          <w:rFonts w:ascii="Times New Roman" w:hAnsi="Times New Roman" w:cs="Times New Roman"/>
          <w:spacing w:val="-4"/>
          <w:sz w:val="24"/>
          <w:szCs w:val="24"/>
          <w:lang w:val="en-MY"/>
        </w:rPr>
        <w:t xml:space="preserve"> 5, no. 6. </w:t>
      </w:r>
      <w:r>
        <w:fldChar w:fldCharType="begin"/>
      </w:r>
      <w:r>
        <w:instrText xml:space="preserve"> HYPERLINK "https://doi.org/10.1016/j.heliyon.2019.e01959" \t "_new" </w:instrText>
      </w:r>
      <w:r>
        <w:fldChar w:fldCharType="separate"/>
      </w:r>
      <w:r>
        <w:rPr>
          <w:rStyle w:val="23"/>
          <w:rFonts w:ascii="Times New Roman" w:hAnsi="Times New Roman" w:cs="Times New Roman"/>
          <w:spacing w:val="-4"/>
          <w:sz w:val="24"/>
          <w:szCs w:val="24"/>
        </w:rPr>
        <w:t>https://doi.org/10.1016/j.heliyon.2019.e01959</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04AE2994">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Ouyang, Z., Song, C., Zheng, H., Polasky, S., Xiao, Y., et al. 2020. "Using Gross Ecosystem Product (GEP) to Value Nature in Decision Making." </w:t>
      </w:r>
      <w:r>
        <w:rPr>
          <w:rFonts w:ascii="Times New Roman" w:hAnsi="Times New Roman" w:cs="Times New Roman"/>
          <w:i/>
          <w:iCs/>
          <w:spacing w:val="-4"/>
          <w:sz w:val="24"/>
          <w:szCs w:val="24"/>
          <w:lang w:val="en-MY"/>
        </w:rPr>
        <w:t>Proceedings of the National Academy of Sciences</w:t>
      </w:r>
      <w:r>
        <w:rPr>
          <w:rFonts w:ascii="Times New Roman" w:hAnsi="Times New Roman" w:cs="Times New Roman"/>
          <w:spacing w:val="-4"/>
          <w:sz w:val="24"/>
          <w:szCs w:val="24"/>
          <w:lang w:val="en-MY"/>
        </w:rPr>
        <w:t xml:space="preserve"> 117, no. 25: 14593-14601. </w:t>
      </w:r>
      <w:r>
        <w:fldChar w:fldCharType="begin"/>
      </w:r>
      <w:r>
        <w:instrText xml:space="preserve"> HYPERLINK "https://doi.org/10.1073/pnas.1911439117" \t "_new" </w:instrText>
      </w:r>
      <w:r>
        <w:fldChar w:fldCharType="separate"/>
      </w:r>
      <w:r>
        <w:rPr>
          <w:rStyle w:val="23"/>
          <w:rFonts w:ascii="Times New Roman" w:hAnsi="Times New Roman" w:cs="Times New Roman"/>
          <w:spacing w:val="-4"/>
          <w:sz w:val="24"/>
          <w:szCs w:val="24"/>
        </w:rPr>
        <w:t>https://doi.org/10.1073/pnas.1911439117</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287DC426">
      <w:pPr>
        <w:spacing w:line="240" w:lineRule="auto"/>
        <w:ind w:left="872" w:leftChars="0" w:hanging="872" w:hangingChars="376"/>
        <w:jc w:val="both"/>
        <w:rPr>
          <w:rFonts w:ascii="Times New Roman" w:hAnsi="Times New Roman" w:cs="Times New Roman" w:eastAsiaTheme="minorEastAsia"/>
          <w:spacing w:val="-4"/>
          <w:sz w:val="24"/>
          <w:szCs w:val="24"/>
          <w:lang w:val="en-MY" w:eastAsia="zh-CN"/>
        </w:rPr>
      </w:pPr>
      <w:r>
        <w:rPr>
          <w:rFonts w:ascii="Times New Roman" w:hAnsi="Times New Roman" w:cs="Times New Roman"/>
          <w:spacing w:val="-4"/>
          <w:sz w:val="24"/>
          <w:szCs w:val="24"/>
          <w:lang w:val="en-MY"/>
        </w:rPr>
        <w:t xml:space="preserve">Peypoch, N., Song, Y., and Zhang, L. 2021. "The Nature of Technological Change in the Chinese Hotel Sector." </w:t>
      </w:r>
      <w:r>
        <w:rPr>
          <w:rFonts w:ascii="Times New Roman" w:hAnsi="Times New Roman" w:cs="Times New Roman"/>
          <w:i/>
          <w:iCs/>
          <w:spacing w:val="-4"/>
          <w:sz w:val="24"/>
          <w:szCs w:val="24"/>
          <w:lang w:val="en-MY"/>
        </w:rPr>
        <w:t>Journal of Hospitality &amp; Tourism Research</w:t>
      </w:r>
      <w:r>
        <w:rPr>
          <w:rFonts w:ascii="Times New Roman" w:hAnsi="Times New Roman" w:cs="Times New Roman"/>
          <w:spacing w:val="-4"/>
          <w:sz w:val="24"/>
          <w:szCs w:val="24"/>
          <w:lang w:val="en-MY"/>
        </w:rPr>
        <w:t xml:space="preserve"> 45, no. 1: 151-170. </w:t>
      </w:r>
      <w:r>
        <w:fldChar w:fldCharType="begin"/>
      </w:r>
      <w:r>
        <w:instrText xml:space="preserve"> HYPERLINK "https://doi.org/10.1177/1096348020944459" \t "_new" </w:instrText>
      </w:r>
      <w:r>
        <w:fldChar w:fldCharType="separate"/>
      </w:r>
      <w:r>
        <w:rPr>
          <w:rStyle w:val="23"/>
          <w:rFonts w:ascii="Times New Roman" w:hAnsi="Times New Roman" w:cs="Times New Roman"/>
          <w:spacing w:val="-4"/>
          <w:sz w:val="24"/>
          <w:szCs w:val="24"/>
        </w:rPr>
        <w:t>https://doi.org/10.1177/1096348020944459</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7BDAA4CF">
      <w:pPr>
        <w:spacing w:line="240" w:lineRule="auto"/>
        <w:ind w:left="872" w:leftChars="0" w:hanging="872" w:hangingChars="376"/>
        <w:jc w:val="both"/>
        <w:rPr>
          <w:rFonts w:ascii="Times New Roman" w:hAnsi="Times New Roman" w:cs="Times New Roman" w:eastAsiaTheme="minorEastAsia"/>
          <w:spacing w:val="-4"/>
          <w:sz w:val="24"/>
          <w:szCs w:val="24"/>
          <w:lang w:eastAsia="zh-CN"/>
        </w:rPr>
      </w:pPr>
      <w:r>
        <w:rPr>
          <w:rFonts w:ascii="Times New Roman" w:hAnsi="Times New Roman" w:cs="Times New Roman" w:eastAsiaTheme="minorEastAsia"/>
          <w:spacing w:val="-4"/>
          <w:sz w:val="24"/>
          <w:szCs w:val="24"/>
          <w:lang w:eastAsia="zh-CN"/>
        </w:rPr>
        <w:t xml:space="preserve">Shazhad, Q., and Aruga, K. 2024.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Spatial effect of economic performance on the ecological footprint: evidence from Asian countries.</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eastAsia="zh-CN"/>
        </w:rPr>
        <w:t xml:space="preserve"> </w:t>
      </w:r>
      <w:r>
        <w:rPr>
          <w:rFonts w:ascii="Times New Roman" w:hAnsi="Times New Roman" w:cs="Times New Roman" w:eastAsiaTheme="minorEastAsia"/>
          <w:i/>
          <w:iCs/>
          <w:spacing w:val="-4"/>
          <w:sz w:val="24"/>
          <w:szCs w:val="24"/>
          <w:lang w:eastAsia="zh-CN"/>
        </w:rPr>
        <w:t>Environment, Development and Sustainability</w:t>
      </w:r>
      <w:r>
        <w:rPr>
          <w:rFonts w:ascii="Times New Roman" w:hAnsi="Times New Roman" w:cs="Times New Roman" w:eastAsiaTheme="minorEastAsia"/>
          <w:spacing w:val="-4"/>
          <w:sz w:val="24"/>
          <w:szCs w:val="24"/>
          <w:lang w:eastAsia="zh-CN"/>
        </w:rPr>
        <w:t xml:space="preserve"> 1-15. https://doi.org/10.1007/s10668-024-05134-y.</w:t>
      </w:r>
    </w:p>
    <w:p w14:paraId="0DF180F1">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Song, M., and Li, H. 2019. "Estimating the Efficiency of a Sustainable Chinese Tourism Industry Using Bootstrap Technology Rectification." </w:t>
      </w:r>
      <w:r>
        <w:rPr>
          <w:rFonts w:ascii="Times New Roman" w:hAnsi="Times New Roman" w:cs="Times New Roman"/>
          <w:i/>
          <w:iCs/>
          <w:spacing w:val="-4"/>
          <w:sz w:val="24"/>
          <w:szCs w:val="24"/>
          <w:lang w:val="en-MY"/>
        </w:rPr>
        <w:t>Technological Forecasting and Social Change</w:t>
      </w:r>
      <w:r>
        <w:rPr>
          <w:rFonts w:ascii="Times New Roman" w:hAnsi="Times New Roman" w:cs="Times New Roman"/>
          <w:spacing w:val="-4"/>
          <w:sz w:val="24"/>
          <w:szCs w:val="24"/>
          <w:lang w:val="en-MY"/>
        </w:rPr>
        <w:t xml:space="preserve"> 143: 45-54. </w:t>
      </w:r>
      <w:r>
        <w:fldChar w:fldCharType="begin"/>
      </w:r>
      <w:r>
        <w:instrText xml:space="preserve"> HYPERLINK "https://doi.org/10.1016/j.techfore.2019.03.008" \t "_new" </w:instrText>
      </w:r>
      <w:r>
        <w:fldChar w:fldCharType="separate"/>
      </w:r>
      <w:r>
        <w:rPr>
          <w:rStyle w:val="23"/>
          <w:rFonts w:ascii="Times New Roman" w:hAnsi="Times New Roman" w:cs="Times New Roman"/>
          <w:spacing w:val="-4"/>
          <w:sz w:val="24"/>
          <w:szCs w:val="24"/>
        </w:rPr>
        <w:t>https://doi.org/10.1016/j.techfore.2019.03.008</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04EC506E">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Sun, B., T. Zhang, Z. He, and R. Wang. 2017. "Urban Spatial Structure and Motorization in China." </w:t>
      </w:r>
      <w:r>
        <w:rPr>
          <w:rFonts w:ascii="Times New Roman" w:hAnsi="Times New Roman" w:cs="Times New Roman"/>
          <w:i/>
          <w:iCs/>
          <w:spacing w:val="-4"/>
          <w:sz w:val="24"/>
          <w:szCs w:val="24"/>
          <w:lang w:val="en-MY"/>
        </w:rPr>
        <w:t>Journal of Regional Science</w:t>
      </w:r>
      <w:r>
        <w:rPr>
          <w:rFonts w:ascii="Times New Roman" w:hAnsi="Times New Roman" w:cs="Times New Roman"/>
          <w:spacing w:val="-4"/>
          <w:sz w:val="24"/>
          <w:szCs w:val="24"/>
          <w:lang w:val="en-MY"/>
        </w:rPr>
        <w:t xml:space="preserve"> 57 (3): 470-486. </w:t>
      </w:r>
      <w:r>
        <w:fldChar w:fldCharType="begin"/>
      </w:r>
      <w:r>
        <w:instrText xml:space="preserve"> HYPERLINK "https://doi.org/10.1111/jors.12237" \t "_new" </w:instrText>
      </w:r>
      <w:r>
        <w:fldChar w:fldCharType="separate"/>
      </w:r>
      <w:r>
        <w:rPr>
          <w:rStyle w:val="23"/>
          <w:rFonts w:ascii="Times New Roman" w:hAnsi="Times New Roman" w:cs="Times New Roman"/>
          <w:spacing w:val="-4"/>
          <w:sz w:val="24"/>
          <w:szCs w:val="24"/>
        </w:rPr>
        <w:t>https://doi.org/10.1111/jors.12237</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78D64C3F">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Sun, B., Zhang, T., He, Z., and Wang, R. 2017. "Urban Spatial Structure and Motorization in China." </w:t>
      </w:r>
      <w:r>
        <w:rPr>
          <w:rFonts w:ascii="Times New Roman" w:hAnsi="Times New Roman" w:cs="Times New Roman"/>
          <w:i/>
          <w:iCs/>
          <w:spacing w:val="-4"/>
          <w:sz w:val="24"/>
          <w:szCs w:val="24"/>
          <w:lang w:val="en-MY"/>
        </w:rPr>
        <w:t>Journal of Regional Science</w:t>
      </w:r>
      <w:r>
        <w:rPr>
          <w:rFonts w:ascii="Times New Roman" w:hAnsi="Times New Roman" w:cs="Times New Roman"/>
          <w:spacing w:val="-4"/>
          <w:sz w:val="24"/>
          <w:szCs w:val="24"/>
          <w:lang w:val="en-MY"/>
        </w:rPr>
        <w:t xml:space="preserve"> 57, no. 3: 470-486. </w:t>
      </w:r>
      <w:r>
        <w:fldChar w:fldCharType="begin"/>
      </w:r>
      <w:r>
        <w:instrText xml:space="preserve"> HYPERLINK "https://doi.org/10.1111/jors.12237" \t "_new" </w:instrText>
      </w:r>
      <w:r>
        <w:fldChar w:fldCharType="separate"/>
      </w:r>
      <w:r>
        <w:rPr>
          <w:rStyle w:val="23"/>
          <w:rFonts w:ascii="Times New Roman" w:hAnsi="Times New Roman" w:cs="Times New Roman"/>
          <w:spacing w:val="-4"/>
          <w:sz w:val="24"/>
          <w:szCs w:val="24"/>
        </w:rPr>
        <w:t>https://doi.org/10.1111/jors.12237</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5038073E">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Tang, B., and Luo, H. 2022. "Mismatch and Coupling: A Study on the Synergistic Development of Tourism-Economy-Ecology Systems in the Pearl River Delta." </w:t>
      </w:r>
      <w:r>
        <w:rPr>
          <w:rFonts w:ascii="Times New Roman" w:hAnsi="Times New Roman" w:cs="Times New Roman"/>
          <w:i/>
          <w:iCs/>
          <w:spacing w:val="-4"/>
          <w:sz w:val="24"/>
          <w:szCs w:val="24"/>
          <w:lang w:val="en-MY"/>
        </w:rPr>
        <w:t>Sustainability</w:t>
      </w:r>
      <w:r>
        <w:rPr>
          <w:rFonts w:ascii="Times New Roman" w:hAnsi="Times New Roman" w:cs="Times New Roman"/>
          <w:spacing w:val="-4"/>
          <w:sz w:val="24"/>
          <w:szCs w:val="24"/>
          <w:lang w:val="en-MY"/>
        </w:rPr>
        <w:t xml:space="preserve"> 14, no. 14: 8518. </w:t>
      </w:r>
      <w:r>
        <w:fldChar w:fldCharType="begin"/>
      </w:r>
      <w:r>
        <w:instrText xml:space="preserve"> HYPERLINK "https://doi.org/10.3390/su14148518" \t "_new" </w:instrText>
      </w:r>
      <w:r>
        <w:fldChar w:fldCharType="separate"/>
      </w:r>
      <w:r>
        <w:rPr>
          <w:rStyle w:val="23"/>
          <w:rFonts w:ascii="Times New Roman" w:hAnsi="Times New Roman" w:cs="Times New Roman"/>
          <w:spacing w:val="-4"/>
          <w:sz w:val="24"/>
          <w:szCs w:val="24"/>
        </w:rPr>
        <w:t>https://doi.org/10.3390/su14148518</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107AC731">
      <w:pPr>
        <w:spacing w:line="240" w:lineRule="auto"/>
        <w:ind w:left="872" w:leftChars="0" w:hanging="872" w:hangingChars="376"/>
        <w:jc w:val="both"/>
        <w:rPr>
          <w:rFonts w:ascii="Times New Roman" w:hAnsi="Times New Roman" w:cs="Times New Roman" w:eastAsiaTheme="minorEastAsia"/>
          <w:spacing w:val="-4"/>
          <w:sz w:val="24"/>
          <w:szCs w:val="24"/>
          <w:lang w:val="en-MY" w:eastAsia="zh-CN"/>
        </w:rPr>
      </w:pPr>
      <w:r>
        <w:rPr>
          <w:rFonts w:ascii="Times New Roman" w:hAnsi="Times New Roman" w:cs="Times New Roman"/>
          <w:spacing w:val="-4"/>
          <w:sz w:val="24"/>
          <w:szCs w:val="24"/>
          <w:lang w:val="en-MY"/>
        </w:rPr>
        <w:t xml:space="preserve">The People's Government of Shanxi Province. 2021. "Outline of the 14th Five-Year Plan (2021-2025) for National Economic and Social Development and Vision 2035 of Shanxi Province." Last modified April 13, 2021. </w:t>
      </w:r>
      <w:r>
        <w:rPr>
          <w:rFonts w:ascii="Times New Roman" w:hAnsi="Times New Roman" w:cs="Times New Roman"/>
          <w:sz w:val="24"/>
          <w:szCs w:val="24"/>
        </w:rPr>
        <w:t>https://www.shanxi.gov.cn/zfxxgk/zfcbw/zfgb2/2021nzfgb_76606/d4q_76610/szfwj_77902/202205/t20220513_5976500.shtml</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val="en-MY" w:eastAsia="zh-CN"/>
        </w:rPr>
        <w:t xml:space="preserve"> </w:t>
      </w:r>
      <w:r>
        <w:rPr>
          <w:rFonts w:ascii="Times New Roman" w:hAnsi="Times New Roman" w:cs="Times New Roman"/>
          <w:spacing w:val="-4"/>
          <w:sz w:val="24"/>
          <w:szCs w:val="24"/>
          <w:lang w:val="en-MY"/>
        </w:rPr>
        <w:t>(In Chinese)</w:t>
      </w:r>
    </w:p>
    <w:p w14:paraId="51386B55">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Wan, J., and Tu, R. 1992. "A Tentative Discussion on the Spatial Structure Theory of Regional Development." </w:t>
      </w:r>
      <w:r>
        <w:rPr>
          <w:rFonts w:ascii="Times New Roman" w:hAnsi="Times New Roman" w:cs="Times New Roman"/>
          <w:i/>
          <w:iCs/>
          <w:spacing w:val="-4"/>
          <w:sz w:val="24"/>
          <w:szCs w:val="24"/>
          <w:lang w:val="en-MY"/>
        </w:rPr>
        <w:t>Jianghan Forum</w:t>
      </w:r>
      <w:r>
        <w:rPr>
          <w:rFonts w:ascii="Times New Roman" w:hAnsi="Times New Roman" w:cs="Times New Roman"/>
          <w:spacing w:val="-4"/>
          <w:sz w:val="24"/>
          <w:szCs w:val="24"/>
          <w:lang w:val="en-MY"/>
        </w:rPr>
        <w:t xml:space="preserve"> (11): 19-24. (In Chinese).</w:t>
      </w:r>
    </w:p>
    <w:p w14:paraId="7C7A6F1F">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Wang, G., Li, X., Jin, D., and Li, Y. 2020a. "Study on the Rationality of Tourism Spatial Structure in Shanxi Province from the Perspective of Supply-Side Reform." </w:t>
      </w:r>
      <w:r>
        <w:rPr>
          <w:rFonts w:ascii="Times New Roman" w:hAnsi="Times New Roman" w:cs="Times New Roman"/>
          <w:i/>
          <w:iCs/>
          <w:spacing w:val="-4"/>
          <w:sz w:val="24"/>
          <w:szCs w:val="24"/>
          <w:lang w:val="en-MY"/>
        </w:rPr>
        <w:t>Areal Research and Development</w:t>
      </w:r>
      <w:r>
        <w:rPr>
          <w:rFonts w:ascii="Times New Roman" w:hAnsi="Times New Roman" w:cs="Times New Roman"/>
          <w:spacing w:val="-4"/>
          <w:sz w:val="24"/>
          <w:szCs w:val="24"/>
          <w:lang w:val="en-MY"/>
        </w:rPr>
        <w:t xml:space="preserve"> (01): 107-111. (In Chinese).</w:t>
      </w:r>
    </w:p>
    <w:p w14:paraId="0005F0E7">
      <w:pPr>
        <w:spacing w:line="240" w:lineRule="auto"/>
        <w:ind w:left="872" w:leftChars="0" w:hanging="872" w:hangingChars="376"/>
        <w:jc w:val="both"/>
        <w:rPr>
          <w:rFonts w:ascii="Times New Roman" w:hAnsi="Times New Roman" w:cs="Times New Roman" w:eastAsiaTheme="minorEastAsia"/>
          <w:spacing w:val="-4"/>
          <w:sz w:val="24"/>
          <w:szCs w:val="24"/>
          <w:lang w:val="en-MY" w:eastAsia="zh-CN"/>
        </w:rPr>
      </w:pPr>
      <w:r>
        <w:rPr>
          <w:rFonts w:ascii="Times New Roman" w:hAnsi="Times New Roman" w:cs="Times New Roman"/>
          <w:spacing w:val="-4"/>
          <w:sz w:val="24"/>
          <w:szCs w:val="24"/>
          <w:lang w:val="en-MY"/>
        </w:rPr>
        <w:t xml:space="preserve">Wang, J., Huang, X., Gong, Z., and Cao, K. 2020b. </w:t>
      </w:r>
      <w:bookmarkStart w:id="11" w:name="_Hlk192704910"/>
      <w:r>
        <w:rPr>
          <w:rFonts w:ascii="Times New Roman" w:hAnsi="Times New Roman" w:cs="Times New Roman"/>
          <w:spacing w:val="-4"/>
          <w:sz w:val="24"/>
          <w:szCs w:val="24"/>
          <w:lang w:val="en-MY"/>
        </w:rPr>
        <w:t>"</w:t>
      </w:r>
      <w:bookmarkEnd w:id="11"/>
      <w:r>
        <w:rPr>
          <w:rFonts w:ascii="Times New Roman" w:hAnsi="Times New Roman" w:cs="Times New Roman"/>
          <w:spacing w:val="-4"/>
          <w:sz w:val="24"/>
          <w:szCs w:val="24"/>
          <w:lang w:val="en-MY"/>
        </w:rPr>
        <w:t xml:space="preserve">Dynamic Assessment of Tourism Carrying Capacity and Its Impacts on Tourism Economic Growth in Urban Tourism Destinations in China." </w:t>
      </w:r>
      <w:r>
        <w:rPr>
          <w:rFonts w:ascii="Times New Roman" w:hAnsi="Times New Roman" w:cs="Times New Roman"/>
          <w:i/>
          <w:iCs/>
          <w:spacing w:val="-4"/>
          <w:sz w:val="24"/>
          <w:szCs w:val="24"/>
          <w:lang w:val="en-MY"/>
        </w:rPr>
        <w:t>Journal of Destination Marketing &amp; Management</w:t>
      </w:r>
      <w:r>
        <w:rPr>
          <w:rFonts w:ascii="Times New Roman" w:hAnsi="Times New Roman" w:cs="Times New Roman"/>
          <w:spacing w:val="-4"/>
          <w:sz w:val="24"/>
          <w:szCs w:val="24"/>
          <w:lang w:val="en-MY"/>
        </w:rPr>
        <w:t xml:space="preserve"> 15: 100383. </w:t>
      </w:r>
      <w:r>
        <w:fldChar w:fldCharType="begin"/>
      </w:r>
      <w:r>
        <w:instrText xml:space="preserve"> HYPERLINK "https://doi.org/10.1016/j.jdmm.2019.100383" \t "_new" </w:instrText>
      </w:r>
      <w:r>
        <w:fldChar w:fldCharType="separate"/>
      </w:r>
      <w:r>
        <w:rPr>
          <w:rStyle w:val="23"/>
          <w:rFonts w:ascii="Times New Roman" w:hAnsi="Times New Roman" w:cs="Times New Roman"/>
          <w:spacing w:val="-4"/>
          <w:sz w:val="24"/>
          <w:szCs w:val="24"/>
        </w:rPr>
        <w:t>https://doi.org/10.1016/j.jdmm.2019.100383</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7EF76C1C">
      <w:pPr>
        <w:spacing w:line="240" w:lineRule="auto"/>
        <w:ind w:left="872" w:leftChars="0" w:hanging="872" w:hangingChars="376"/>
        <w:jc w:val="both"/>
        <w:rPr>
          <w:rFonts w:ascii="Times New Roman" w:hAnsi="Times New Roman" w:cs="Times New Roman" w:eastAsiaTheme="minorEastAsia"/>
          <w:spacing w:val="-4"/>
          <w:sz w:val="24"/>
          <w:szCs w:val="24"/>
          <w:lang w:val="en-MY" w:eastAsia="zh-CN"/>
        </w:rPr>
      </w:pPr>
      <w:r>
        <w:rPr>
          <w:rFonts w:ascii="Times New Roman" w:hAnsi="Times New Roman" w:cs="Times New Roman" w:eastAsiaTheme="minorEastAsia"/>
          <w:spacing w:val="-4"/>
          <w:sz w:val="24"/>
          <w:szCs w:val="24"/>
          <w:lang w:val="en-MY" w:eastAsia="zh-CN"/>
        </w:rPr>
        <w:t xml:space="preserve">Wang, L., Yuan, M., Li, H., and Chen, X. 2023. </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val="en-MY" w:eastAsia="zh-CN"/>
        </w:rPr>
        <w:t>Exploring the coupling coordination of urban ecological resilience and new-type urbanization: The case of China’s Chengdu–Chongqing Economic Circle.</w:t>
      </w:r>
      <w:r>
        <w:rPr>
          <w:rFonts w:ascii="Times New Roman" w:hAnsi="Times New Roman" w:cs="Times New Roman"/>
          <w:spacing w:val="-4"/>
          <w:sz w:val="24"/>
          <w:szCs w:val="24"/>
          <w:lang w:val="en-MY"/>
        </w:rPr>
        <w:t>"</w:t>
      </w:r>
      <w:r>
        <w:rPr>
          <w:rFonts w:ascii="Times New Roman" w:hAnsi="Times New Roman" w:cs="Times New Roman" w:eastAsiaTheme="minorEastAsia"/>
          <w:spacing w:val="-4"/>
          <w:sz w:val="24"/>
          <w:szCs w:val="24"/>
          <w:lang w:val="en-MY" w:eastAsia="zh-CN"/>
        </w:rPr>
        <w:t> </w:t>
      </w:r>
      <w:r>
        <w:rPr>
          <w:rFonts w:ascii="Times New Roman" w:hAnsi="Times New Roman" w:cs="Times New Roman" w:eastAsiaTheme="minorEastAsia"/>
          <w:i/>
          <w:iCs/>
          <w:spacing w:val="-4"/>
          <w:sz w:val="24"/>
          <w:szCs w:val="24"/>
          <w:lang w:val="en-MY" w:eastAsia="zh-CN"/>
        </w:rPr>
        <w:t>Environmental Technology &amp; Innovation</w:t>
      </w:r>
      <w:r>
        <w:rPr>
          <w:rFonts w:ascii="Times New Roman" w:hAnsi="Times New Roman" w:cs="Times New Roman" w:eastAsiaTheme="minorEastAsia"/>
          <w:spacing w:val="-4"/>
          <w:sz w:val="24"/>
          <w:szCs w:val="24"/>
          <w:lang w:val="en-MY" w:eastAsia="zh-CN"/>
        </w:rPr>
        <w:t> 32: 103372. https://doi.org/10.1016/j.eti.2023.103372</w:t>
      </w:r>
    </w:p>
    <w:p w14:paraId="74FB7617">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Wang, Y., Wang, M., Li, K., and Zhao, J. 2021. "Analysis of the Relationships Between Tourism Efficiency and Transport Accessibility—A Case Study in Hubei Province, China." </w:t>
      </w:r>
      <w:r>
        <w:rPr>
          <w:rFonts w:ascii="Times New Roman" w:hAnsi="Times New Roman" w:cs="Times New Roman"/>
          <w:i/>
          <w:iCs/>
          <w:spacing w:val="-4"/>
          <w:sz w:val="24"/>
          <w:szCs w:val="24"/>
          <w:lang w:val="en-MY"/>
        </w:rPr>
        <w:t>Sustainability</w:t>
      </w:r>
      <w:r>
        <w:rPr>
          <w:rFonts w:ascii="Times New Roman" w:hAnsi="Times New Roman" w:cs="Times New Roman"/>
          <w:spacing w:val="-4"/>
          <w:sz w:val="24"/>
          <w:szCs w:val="24"/>
          <w:lang w:val="en-MY"/>
        </w:rPr>
        <w:t xml:space="preserve"> 13, no. 15: 8649. </w:t>
      </w:r>
      <w:r>
        <w:fldChar w:fldCharType="begin"/>
      </w:r>
      <w:r>
        <w:instrText xml:space="preserve"> HYPERLINK "https://doi.org/10.3390/su13158649" \t "_new" </w:instrText>
      </w:r>
      <w:r>
        <w:fldChar w:fldCharType="separate"/>
      </w:r>
      <w:r>
        <w:rPr>
          <w:rStyle w:val="23"/>
          <w:rFonts w:ascii="Times New Roman" w:hAnsi="Times New Roman" w:cs="Times New Roman"/>
          <w:spacing w:val="-4"/>
          <w:sz w:val="24"/>
          <w:szCs w:val="24"/>
        </w:rPr>
        <w:t>https://doi.org/10.3390/su13158649</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6DEE4B29">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Wang, Z., Sun, X., Shan, R., and Wang, B. 2024. "Mapping and Assessing Supply–Demand Matching of Recreational Ecosystem Services in Shandong Province, China." </w:t>
      </w:r>
      <w:r>
        <w:rPr>
          <w:rFonts w:ascii="Times New Roman" w:hAnsi="Times New Roman" w:cs="Times New Roman"/>
          <w:i/>
          <w:iCs/>
          <w:spacing w:val="-4"/>
          <w:sz w:val="24"/>
          <w:szCs w:val="24"/>
          <w:lang w:val="en-MY"/>
        </w:rPr>
        <w:t>Ecological Indicators</w:t>
      </w:r>
      <w:r>
        <w:rPr>
          <w:rFonts w:ascii="Times New Roman" w:hAnsi="Times New Roman" w:cs="Times New Roman"/>
          <w:spacing w:val="-4"/>
          <w:sz w:val="24"/>
          <w:szCs w:val="24"/>
          <w:lang w:val="en-MY"/>
        </w:rPr>
        <w:t xml:space="preserve"> 160: 111859. </w:t>
      </w:r>
      <w:r>
        <w:fldChar w:fldCharType="begin"/>
      </w:r>
      <w:r>
        <w:instrText xml:space="preserve"> HYPERLINK "https://doi.org/10.1016/j.ecolind.2024.111859" \t "_new" </w:instrText>
      </w:r>
      <w:r>
        <w:fldChar w:fldCharType="separate"/>
      </w:r>
      <w:r>
        <w:rPr>
          <w:rStyle w:val="23"/>
          <w:rFonts w:ascii="Times New Roman" w:hAnsi="Times New Roman" w:cs="Times New Roman"/>
          <w:spacing w:val="-4"/>
          <w:sz w:val="24"/>
          <w:szCs w:val="24"/>
        </w:rPr>
        <w:t>https://doi.org/10.1016/j.ecolind.2024.111859</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69C65901">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Yao, H., and Guo, X. 2014. "Space Structure and Difference of Domestic Tourism Market in Shanxi Province." </w:t>
      </w:r>
      <w:r>
        <w:rPr>
          <w:rFonts w:ascii="Times New Roman" w:hAnsi="Times New Roman" w:cs="Times New Roman"/>
          <w:i/>
          <w:iCs/>
          <w:spacing w:val="-4"/>
          <w:sz w:val="24"/>
          <w:szCs w:val="24"/>
          <w:lang w:val="en-MY"/>
        </w:rPr>
        <w:t>Areal Research and Development</w:t>
      </w:r>
      <w:r>
        <w:rPr>
          <w:rFonts w:ascii="Times New Roman" w:hAnsi="Times New Roman" w:cs="Times New Roman"/>
          <w:spacing w:val="-4"/>
          <w:sz w:val="24"/>
          <w:szCs w:val="24"/>
          <w:lang w:val="en-MY"/>
        </w:rPr>
        <w:t xml:space="preserve"> 33, no. 5: 94-98. (In Chinese).</w:t>
      </w:r>
    </w:p>
    <w:p w14:paraId="795177F7">
      <w:pPr>
        <w:spacing w:line="240" w:lineRule="auto"/>
        <w:ind w:left="872" w:leftChars="0" w:hanging="872" w:hangingChars="376"/>
        <w:jc w:val="both"/>
        <w:rPr>
          <w:rFonts w:ascii="Times New Roman" w:hAnsi="Times New Roman" w:cs="Times New Roman"/>
          <w:spacing w:val="-4"/>
          <w:sz w:val="24"/>
          <w:szCs w:val="24"/>
          <w:lang w:val="en-MY"/>
        </w:rPr>
      </w:pPr>
      <w:r>
        <w:rPr>
          <w:rFonts w:ascii="Times New Roman" w:hAnsi="Times New Roman" w:cs="Times New Roman"/>
          <w:spacing w:val="-4"/>
          <w:sz w:val="24"/>
          <w:szCs w:val="24"/>
          <w:lang w:val="en-MY"/>
        </w:rPr>
        <w:t xml:space="preserve">You, M., Guan, C., and Lai, R. 2022. "Spatial Structure of an Urban Park System Based on Fractal Theory: A Case Study of Fuzhou, China." </w:t>
      </w:r>
      <w:r>
        <w:rPr>
          <w:rFonts w:ascii="Times New Roman" w:hAnsi="Times New Roman" w:cs="Times New Roman"/>
          <w:i/>
          <w:iCs/>
          <w:spacing w:val="-4"/>
          <w:sz w:val="24"/>
          <w:szCs w:val="24"/>
          <w:lang w:val="en-MY"/>
        </w:rPr>
        <w:t>Remote Sensing</w:t>
      </w:r>
      <w:r>
        <w:rPr>
          <w:rFonts w:ascii="Times New Roman" w:hAnsi="Times New Roman" w:cs="Times New Roman"/>
          <w:spacing w:val="-4"/>
          <w:sz w:val="24"/>
          <w:szCs w:val="24"/>
          <w:lang w:val="en-MY"/>
        </w:rPr>
        <w:t xml:space="preserve"> 14, no. 9: 2144. </w:t>
      </w:r>
      <w:r>
        <w:fldChar w:fldCharType="begin"/>
      </w:r>
      <w:r>
        <w:instrText xml:space="preserve"> HYPERLINK "https://doi.org/10.3390/rs14092144" \t "_new" </w:instrText>
      </w:r>
      <w:r>
        <w:fldChar w:fldCharType="separate"/>
      </w:r>
      <w:r>
        <w:rPr>
          <w:rStyle w:val="23"/>
          <w:rFonts w:ascii="Times New Roman" w:hAnsi="Times New Roman" w:cs="Times New Roman"/>
          <w:spacing w:val="-4"/>
          <w:sz w:val="24"/>
          <w:szCs w:val="24"/>
        </w:rPr>
        <w:t>https://doi.org/10.3390/rs14092144</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4574418E">
      <w:pPr>
        <w:spacing w:line="240" w:lineRule="auto"/>
        <w:ind w:left="872" w:leftChars="0" w:hanging="872" w:hangingChars="376"/>
        <w:jc w:val="both"/>
        <w:rPr>
          <w:rFonts w:ascii="Times New Roman" w:hAnsi="Times New Roman" w:cs="Times New Roman" w:eastAsiaTheme="minorEastAsia"/>
          <w:spacing w:val="-4"/>
          <w:sz w:val="24"/>
          <w:szCs w:val="24"/>
          <w:lang w:val="en-MY" w:eastAsia="zh-CN"/>
        </w:rPr>
      </w:pPr>
      <w:r>
        <w:rPr>
          <w:rFonts w:ascii="Times New Roman" w:hAnsi="Times New Roman" w:cs="Times New Roman"/>
          <w:spacing w:val="-4"/>
          <w:sz w:val="24"/>
          <w:szCs w:val="24"/>
          <w:lang w:val="en-MY"/>
        </w:rPr>
        <w:t xml:space="preserve">Zhang, M., Tan, S., Pan, Z., Hao, D., Zhang, X., and Chen, Z. 2022. "The Spatial Spillover Effect and Nonlinear Relationship Analysis Between Land Resource Misallocation and Environmental Pollution: Evidence from China." </w:t>
      </w:r>
      <w:r>
        <w:rPr>
          <w:rFonts w:ascii="Times New Roman" w:hAnsi="Times New Roman" w:cs="Times New Roman"/>
          <w:i/>
          <w:iCs/>
          <w:spacing w:val="-4"/>
          <w:sz w:val="24"/>
          <w:szCs w:val="24"/>
          <w:lang w:val="en-MY"/>
        </w:rPr>
        <w:t>Journal of Environmental Management</w:t>
      </w:r>
      <w:r>
        <w:rPr>
          <w:rFonts w:ascii="Times New Roman" w:hAnsi="Times New Roman" w:cs="Times New Roman"/>
          <w:spacing w:val="-4"/>
          <w:sz w:val="24"/>
          <w:szCs w:val="24"/>
          <w:lang w:val="en-MY"/>
        </w:rPr>
        <w:t xml:space="preserve"> 321: 115873. </w:t>
      </w:r>
      <w:r>
        <w:fldChar w:fldCharType="begin"/>
      </w:r>
      <w:r>
        <w:instrText xml:space="preserve"> HYPERLINK "https://doi.org/10.1016/j.jenvman.2022.115873" \t "_new" </w:instrText>
      </w:r>
      <w:r>
        <w:fldChar w:fldCharType="separate"/>
      </w:r>
      <w:r>
        <w:rPr>
          <w:rStyle w:val="23"/>
          <w:rFonts w:ascii="Times New Roman" w:hAnsi="Times New Roman" w:cs="Times New Roman"/>
          <w:spacing w:val="-4"/>
          <w:sz w:val="24"/>
          <w:szCs w:val="24"/>
        </w:rPr>
        <w:t>https://doi.org/10.1016/j.jenvman.2022.115873</w:t>
      </w:r>
      <w:r>
        <w:rPr>
          <w:rStyle w:val="23"/>
          <w:rFonts w:ascii="Times New Roman" w:hAnsi="Times New Roman" w:cs="Times New Roman"/>
          <w:spacing w:val="-4"/>
          <w:sz w:val="24"/>
          <w:szCs w:val="24"/>
        </w:rPr>
        <w:fldChar w:fldCharType="end"/>
      </w:r>
      <w:r>
        <w:rPr>
          <w:rFonts w:ascii="Times New Roman" w:hAnsi="Times New Roman" w:cs="Times New Roman"/>
          <w:spacing w:val="-4"/>
          <w:sz w:val="24"/>
          <w:szCs w:val="24"/>
          <w:lang w:val="en-MY"/>
        </w:rPr>
        <w:t>.</w:t>
      </w:r>
    </w:p>
    <w:p w14:paraId="1803C41F">
      <w:pPr>
        <w:spacing w:line="240" w:lineRule="auto"/>
        <w:ind w:left="797" w:leftChars="0" w:hanging="797" w:hangingChars="376"/>
        <w:jc w:val="both"/>
        <w:rPr>
          <w:rFonts w:ascii="Times New Roman" w:hAnsi="Times New Roman" w:cs="Times New Roman" w:eastAsiaTheme="minorEastAsia"/>
          <w:lang w:eastAsia="zh-CN"/>
        </w:rPr>
      </w:pPr>
      <w:r>
        <w:rPr>
          <w:rFonts w:ascii="Times New Roman" w:hAnsi="Times New Roman" w:cs="Times New Roman" w:eastAsiaTheme="minorEastAsia"/>
          <w:spacing w:val="-4"/>
          <w:lang w:val="en-MY" w:eastAsia="zh-CN"/>
        </w:rPr>
        <w:t xml:space="preserve">Zhang, Y., </w:t>
      </w:r>
      <w:r>
        <w:rPr>
          <w:rFonts w:ascii="Times New Roman" w:hAnsi="Times New Roman" w:cs="Times New Roman"/>
          <w:spacing w:val="-4"/>
          <w:lang w:val="en-MY"/>
        </w:rPr>
        <w:t xml:space="preserve">and </w:t>
      </w:r>
      <w:r>
        <w:rPr>
          <w:rFonts w:ascii="Times New Roman" w:hAnsi="Times New Roman" w:cs="Times New Roman" w:eastAsiaTheme="minorEastAsia"/>
          <w:spacing w:val="-4"/>
          <w:lang w:val="en-MY" w:eastAsia="zh-CN"/>
        </w:rPr>
        <w:t xml:space="preserve">Xu, H. 2024. </w:t>
      </w:r>
      <w:r>
        <w:rPr>
          <w:rFonts w:ascii="Times New Roman" w:hAnsi="Times New Roman" w:cs="Times New Roman"/>
          <w:spacing w:val="-4"/>
          <w:lang w:val="en-MY"/>
        </w:rPr>
        <w:t>"The rationality of the spatial layout of Beijing Sports Parks and the evaluation of tourism experience quality</w:t>
      </w:r>
      <w:r>
        <w:rPr>
          <w:rFonts w:ascii="Times New Roman" w:hAnsi="Times New Roman" w:cs="Times New Roman" w:eastAsiaTheme="minorEastAsia"/>
          <w:spacing w:val="-4"/>
          <w:lang w:val="en-MY" w:eastAsia="zh-CN"/>
        </w:rPr>
        <w:t>.</w:t>
      </w:r>
      <w:r>
        <w:rPr>
          <w:rFonts w:ascii="Times New Roman" w:hAnsi="Times New Roman" w:cs="Times New Roman"/>
          <w:spacing w:val="-4"/>
          <w:lang w:val="en-MY"/>
        </w:rPr>
        <w:t>"</w:t>
      </w:r>
      <w:r>
        <w:rPr>
          <w:rFonts w:ascii="Times New Roman" w:hAnsi="Times New Roman" w:cs="Times New Roman" w:eastAsiaTheme="minorEastAsia"/>
          <w:spacing w:val="-4"/>
          <w:lang w:val="en-MY" w:eastAsia="zh-CN"/>
        </w:rPr>
        <w:t xml:space="preserve"> </w:t>
      </w:r>
      <w:r>
        <w:rPr>
          <w:rFonts w:ascii="Times New Roman" w:hAnsi="Times New Roman" w:cs="Times New Roman" w:eastAsiaTheme="minorEastAsia"/>
          <w:i/>
          <w:iCs/>
          <w:spacing w:val="-4"/>
          <w:lang w:val="en-MY" w:eastAsia="zh-CN"/>
        </w:rPr>
        <w:t>Journal of Resources and Ecology</w:t>
      </w:r>
      <w:r>
        <w:rPr>
          <w:rFonts w:ascii="Times New Roman" w:hAnsi="Times New Roman" w:cs="Times New Roman" w:eastAsiaTheme="minorEastAsia"/>
          <w:spacing w:val="-4"/>
          <w:lang w:val="en-MY" w:eastAsia="zh-CN"/>
        </w:rPr>
        <w:t xml:space="preserve"> 15(2): 496-509. https://doi.org/10.5814/j.issn.1674-764x.2024.02.024</w:t>
      </w:r>
    </w:p>
    <w:p w14:paraId="1EC26415">
      <w:pPr>
        <w:spacing w:after="0" w:line="240" w:lineRule="auto"/>
        <w:ind w:left="0" w:hanging="2"/>
        <w:jc w:val="both"/>
        <w:rPr>
          <w:rFonts w:ascii="Times New Roman" w:hAnsi="Times New Roman" w:eastAsia="Times New Roman" w:cs="Times New Roman"/>
          <w:sz w:val="24"/>
          <w:szCs w:val="24"/>
        </w:rPr>
      </w:pPr>
    </w:p>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pgNumType w:start="96"/>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2" w:hanging="2"/>
      </w:pPr>
      <w:r>
        <w:separator/>
      </w:r>
    </w:p>
  </w:endnote>
  <w:endnote w:type="continuationSeparator" w:id="1">
    <w:p>
      <w:pPr>
        <w:spacing w:line="240" w:lineRule="auto"/>
        <w:ind w:left="-2"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Georgia">
    <w:panose1 w:val="02040502050405020303"/>
    <w:charset w:val="00"/>
    <w:family w:val="roman"/>
    <w:pitch w:val="default"/>
    <w:sig w:usb0="00000287" w:usb1="00000000" w:usb2="00000000" w:usb3="00000000" w:csb0="2000009F" w:csb1="00000000"/>
  </w:font>
  <w:font w:name="Trebuchet MS">
    <w:panose1 w:val="020B0603020202020204"/>
    <w:charset w:val="00"/>
    <w:family w:val="swiss"/>
    <w:pitch w:val="default"/>
    <w:sig w:usb0="000006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8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 w:name="Microsoft YaHei">
    <w:panose1 w:val="020B0503020204020204"/>
    <w:charset w:val="86"/>
    <w:family w:val="auto"/>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D60E8">
    <w:pPr>
      <w:pStyle w:val="18"/>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DCC2E">
    <w:pPr>
      <w:pStyle w:val="1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CBF33">
    <w:pPr>
      <w:pStyle w:val="1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ind w:left="-2" w:hanging="2"/>
      </w:pPr>
      <w:r>
        <w:separator/>
      </w:r>
    </w:p>
  </w:footnote>
  <w:footnote w:type="continuationSeparator" w:id="1">
    <w:p>
      <w:pPr>
        <w:spacing w:before="0" w:after="0" w:line="276" w:lineRule="auto"/>
        <w:ind w:left="-2"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12FA7">
    <w:pPr>
      <w:tabs>
        <w:tab w:val="left" w:pos="720"/>
        <w:tab w:val="center" w:pos="4680"/>
        <w:tab w:val="right" w:pos="9360"/>
      </w:tabs>
      <w:spacing w:after="0" w:line="240" w:lineRule="auto"/>
      <w:ind w:left="0" w:hanging="2"/>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Geografia-Malaysian Journal of Society and Space</w:t>
    </w:r>
    <w:r>
      <w:rPr>
        <w:rFonts w:ascii="Times New Roman" w:hAnsi="Times New Roman" w:eastAsia="Times New Roman" w:cs="Times New Roman"/>
        <w:b/>
        <w:sz w:val="18"/>
        <w:szCs w:val="18"/>
      </w:rPr>
      <w:t xml:space="preserve"> </w:t>
    </w:r>
    <w:r>
      <w:rPr>
        <w:rFonts w:ascii="Times New Roman" w:hAnsi="Times New Roman" w:eastAsia="Times New Roman" w:cs="Times New Roman"/>
        <w:sz w:val="18"/>
        <w:szCs w:val="18"/>
      </w:rPr>
      <w:t>X issue</w:t>
    </w:r>
    <w:r>
      <w:rPr>
        <w:rFonts w:ascii="Times New Roman" w:hAnsi="Times New Roman" w:eastAsia="Times New Roman" w:cs="Times New Roman"/>
        <w:b/>
        <w:sz w:val="18"/>
        <w:szCs w:val="18"/>
      </w:rPr>
      <w:t xml:space="preserve"> </w:t>
    </w:r>
    <w:r>
      <w:rPr>
        <w:rFonts w:ascii="Times New Roman" w:hAnsi="Times New Roman" w:eastAsia="Times New Roman" w:cs="Times New Roman"/>
        <w:sz w:val="18"/>
        <w:szCs w:val="18"/>
      </w:rPr>
      <w:t>x</w:t>
    </w:r>
    <w:r>
      <w:rPr>
        <w:rFonts w:ascii="Times New Roman" w:hAnsi="Times New Roman" w:eastAsia="Times New Roman" w:cs="Times New Roman"/>
        <w:b/>
        <w:sz w:val="18"/>
        <w:szCs w:val="18"/>
      </w:rPr>
      <w:t xml:space="preserve"> </w:t>
    </w:r>
    <w:r>
      <w:rPr>
        <w:rFonts w:ascii="Times New Roman" w:hAnsi="Times New Roman" w:eastAsia="Times New Roman" w:cs="Times New Roman"/>
        <w:sz w:val="18"/>
        <w:szCs w:val="18"/>
      </w:rPr>
      <w:t>(x-x)</w:t>
    </w:r>
    <w:r>
      <w:rPr>
        <w:rFonts w:ascii="Times New Roman" w:hAnsi="Times New Roman" w:eastAsia="Times New Roman" w:cs="Times New Roman"/>
        <w:sz w:val="18"/>
        <w:szCs w:val="18"/>
      </w:rPr>
      <w:tab/>
    </w:r>
  </w:p>
  <w:p w14:paraId="081DDC48">
    <w:pPr>
      <w:tabs>
        <w:tab w:val="center" w:pos="4680"/>
        <w:tab w:val="right" w:pos="9360"/>
      </w:tabs>
      <w:spacing w:after="0" w:line="240" w:lineRule="auto"/>
      <w:ind w:left="0" w:hanging="2"/>
    </w:pPr>
    <w:r>
      <w:rPr>
        <w:rFonts w:ascii="Times New Roman" w:hAnsi="Times New Roman" w:eastAsia="Times New Roman" w:cs="Times New Roman"/>
        <w:sz w:val="18"/>
        <w:szCs w:val="18"/>
      </w:rPr>
      <w:t>© Year, e-ISSN 2682-7727 doi</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D1426">
    <w:pPr>
      <w:pStyle w:val="21"/>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DC291">
    <w:pPr>
      <w:pStyle w:val="21"/>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7D2092"/>
    <w:multiLevelType w:val="multilevel"/>
    <w:tmpl w:val="117D2092"/>
    <w:lvl w:ilvl="0" w:tentative="0">
      <w:start w:val="1"/>
      <w:numFmt w:val="lowerLetter"/>
      <w:lvlText w:val="%1."/>
      <w:lvlJc w:val="left"/>
      <w:pPr>
        <w:ind w:left="358" w:hanging="360"/>
      </w:pPr>
      <w:rPr>
        <w:rFonts w:hint="default"/>
      </w:rPr>
    </w:lvl>
    <w:lvl w:ilvl="1" w:tentative="0">
      <w:start w:val="1"/>
      <w:numFmt w:val="lowerLetter"/>
      <w:lvlText w:val="%2."/>
      <w:lvlJc w:val="left"/>
      <w:pPr>
        <w:ind w:left="1078" w:hanging="360"/>
      </w:pPr>
    </w:lvl>
    <w:lvl w:ilvl="2" w:tentative="0">
      <w:start w:val="1"/>
      <w:numFmt w:val="lowerRoman"/>
      <w:lvlText w:val="%3."/>
      <w:lvlJc w:val="right"/>
      <w:pPr>
        <w:ind w:left="1798" w:hanging="180"/>
      </w:pPr>
    </w:lvl>
    <w:lvl w:ilvl="3" w:tentative="0">
      <w:start w:val="1"/>
      <w:numFmt w:val="decimal"/>
      <w:lvlText w:val="%4."/>
      <w:lvlJc w:val="left"/>
      <w:pPr>
        <w:ind w:left="2518" w:hanging="360"/>
      </w:pPr>
    </w:lvl>
    <w:lvl w:ilvl="4" w:tentative="0">
      <w:start w:val="1"/>
      <w:numFmt w:val="lowerLetter"/>
      <w:lvlText w:val="%5."/>
      <w:lvlJc w:val="left"/>
      <w:pPr>
        <w:ind w:left="3238" w:hanging="360"/>
      </w:pPr>
    </w:lvl>
    <w:lvl w:ilvl="5" w:tentative="0">
      <w:start w:val="1"/>
      <w:numFmt w:val="lowerRoman"/>
      <w:lvlText w:val="%6."/>
      <w:lvlJc w:val="right"/>
      <w:pPr>
        <w:ind w:left="3958" w:hanging="180"/>
      </w:pPr>
    </w:lvl>
    <w:lvl w:ilvl="6" w:tentative="0">
      <w:start w:val="1"/>
      <w:numFmt w:val="decimal"/>
      <w:lvlText w:val="%7."/>
      <w:lvlJc w:val="left"/>
      <w:pPr>
        <w:ind w:left="4678" w:hanging="360"/>
      </w:pPr>
    </w:lvl>
    <w:lvl w:ilvl="7" w:tentative="0">
      <w:start w:val="1"/>
      <w:numFmt w:val="lowerLetter"/>
      <w:lvlText w:val="%8."/>
      <w:lvlJc w:val="left"/>
      <w:pPr>
        <w:ind w:left="5398" w:hanging="360"/>
      </w:pPr>
    </w:lvl>
    <w:lvl w:ilvl="8" w:tentative="0">
      <w:start w:val="1"/>
      <w:numFmt w:val="lowerRoman"/>
      <w:lvlText w:val="%9."/>
      <w:lvlJc w:val="right"/>
      <w:pPr>
        <w:ind w:left="6118" w:hanging="180"/>
      </w:pPr>
    </w:lvl>
  </w:abstractNum>
  <w:abstractNum w:abstractNumId="1">
    <w:nsid w:val="3C5D0C07"/>
    <w:multiLevelType w:val="multilevel"/>
    <w:tmpl w:val="3C5D0C07"/>
    <w:lvl w:ilvl="0" w:tentative="0">
      <w:start w:val="1"/>
      <w:numFmt w:val="decimal"/>
      <w:pStyle w:val="68"/>
      <w:lvlText w:val="(%1)"/>
      <w:lvlJc w:val="right"/>
      <w:pPr>
        <w:ind w:left="720" w:hanging="153"/>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22D79E2"/>
    <w:multiLevelType w:val="multilevel"/>
    <w:tmpl w:val="422D79E2"/>
    <w:lvl w:ilvl="0" w:tentative="0">
      <w:start w:val="1"/>
      <w:numFmt w:val="lowerLetter"/>
      <w:lvlText w:val="%1."/>
      <w:lvlJc w:val="left"/>
      <w:pPr>
        <w:ind w:left="358" w:hanging="360"/>
      </w:pPr>
      <w:rPr>
        <w:rFonts w:hint="default"/>
        <w:b/>
      </w:rPr>
    </w:lvl>
    <w:lvl w:ilvl="1" w:tentative="0">
      <w:start w:val="1"/>
      <w:numFmt w:val="lowerLetter"/>
      <w:lvlText w:val="%2."/>
      <w:lvlJc w:val="left"/>
      <w:pPr>
        <w:ind w:left="1078" w:hanging="360"/>
      </w:pPr>
    </w:lvl>
    <w:lvl w:ilvl="2" w:tentative="0">
      <w:start w:val="1"/>
      <w:numFmt w:val="lowerRoman"/>
      <w:lvlText w:val="%3."/>
      <w:lvlJc w:val="right"/>
      <w:pPr>
        <w:ind w:left="1798" w:hanging="180"/>
      </w:pPr>
    </w:lvl>
    <w:lvl w:ilvl="3" w:tentative="0">
      <w:start w:val="1"/>
      <w:numFmt w:val="decimal"/>
      <w:lvlText w:val="%4."/>
      <w:lvlJc w:val="left"/>
      <w:pPr>
        <w:ind w:left="2518" w:hanging="360"/>
      </w:pPr>
    </w:lvl>
    <w:lvl w:ilvl="4" w:tentative="0">
      <w:start w:val="1"/>
      <w:numFmt w:val="lowerLetter"/>
      <w:lvlText w:val="%5."/>
      <w:lvlJc w:val="left"/>
      <w:pPr>
        <w:ind w:left="3238" w:hanging="360"/>
      </w:pPr>
    </w:lvl>
    <w:lvl w:ilvl="5" w:tentative="0">
      <w:start w:val="1"/>
      <w:numFmt w:val="lowerRoman"/>
      <w:lvlText w:val="%6."/>
      <w:lvlJc w:val="right"/>
      <w:pPr>
        <w:ind w:left="3958" w:hanging="180"/>
      </w:pPr>
    </w:lvl>
    <w:lvl w:ilvl="6" w:tentative="0">
      <w:start w:val="1"/>
      <w:numFmt w:val="decimal"/>
      <w:lvlText w:val="%7."/>
      <w:lvlJc w:val="left"/>
      <w:pPr>
        <w:ind w:left="4678" w:hanging="360"/>
      </w:pPr>
    </w:lvl>
    <w:lvl w:ilvl="7" w:tentative="0">
      <w:start w:val="1"/>
      <w:numFmt w:val="lowerLetter"/>
      <w:lvlText w:val="%8."/>
      <w:lvlJc w:val="left"/>
      <w:pPr>
        <w:ind w:left="5398" w:hanging="360"/>
      </w:pPr>
    </w:lvl>
    <w:lvl w:ilvl="8" w:tentative="0">
      <w:start w:val="1"/>
      <w:numFmt w:val="lowerRoman"/>
      <w:lvlText w:val="%9."/>
      <w:lvlJc w:val="right"/>
      <w:pPr>
        <w:ind w:left="6118" w:hanging="180"/>
      </w:pPr>
    </w:lvl>
  </w:abstractNum>
  <w:abstractNum w:abstractNumId="3">
    <w:nsid w:val="5BD96BF8"/>
    <w:multiLevelType w:val="multilevel"/>
    <w:tmpl w:val="5BD96BF8"/>
    <w:lvl w:ilvl="0" w:tentative="0">
      <w:start w:val="1"/>
      <w:numFmt w:val="bullet"/>
      <w:pStyle w:val="80"/>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Aria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Arial"/>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Arial"/>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AyMzGyMLY0MDAxNTNT0lEKTi0uzszPAykwrAUAWY8epiwAAAA="/>
  </w:docVars>
  <w:rsids>
    <w:rsidRoot w:val="00E33C3C"/>
    <w:rsid w:val="00130907"/>
    <w:rsid w:val="0018044D"/>
    <w:rsid w:val="00186731"/>
    <w:rsid w:val="001B66EB"/>
    <w:rsid w:val="001D42B1"/>
    <w:rsid w:val="00304C7D"/>
    <w:rsid w:val="00387301"/>
    <w:rsid w:val="004C6A67"/>
    <w:rsid w:val="004D3948"/>
    <w:rsid w:val="005113A9"/>
    <w:rsid w:val="00533662"/>
    <w:rsid w:val="00533F8C"/>
    <w:rsid w:val="00562F4C"/>
    <w:rsid w:val="00571BB6"/>
    <w:rsid w:val="00585F0D"/>
    <w:rsid w:val="0059682A"/>
    <w:rsid w:val="005C62A5"/>
    <w:rsid w:val="00747775"/>
    <w:rsid w:val="007829E4"/>
    <w:rsid w:val="007B2027"/>
    <w:rsid w:val="007B3A05"/>
    <w:rsid w:val="007C00F3"/>
    <w:rsid w:val="00812ECB"/>
    <w:rsid w:val="00821822"/>
    <w:rsid w:val="008E61BD"/>
    <w:rsid w:val="009E7F43"/>
    <w:rsid w:val="00A02C72"/>
    <w:rsid w:val="00A42DD7"/>
    <w:rsid w:val="00A95C7C"/>
    <w:rsid w:val="00AC3078"/>
    <w:rsid w:val="00AD41CC"/>
    <w:rsid w:val="00B41BBA"/>
    <w:rsid w:val="00B548AF"/>
    <w:rsid w:val="00B93698"/>
    <w:rsid w:val="00CC304F"/>
    <w:rsid w:val="00D4267A"/>
    <w:rsid w:val="00E33C3C"/>
    <w:rsid w:val="00EF1EB8"/>
    <w:rsid w:val="00EF44BB"/>
    <w:rsid w:val="00F169F0"/>
    <w:rsid w:val="00F91FC7"/>
    <w:rsid w:val="00FA2AFC"/>
    <w:rsid w:val="00FA5AA0"/>
    <w:rsid w:val="40CF7E72"/>
    <w:rsid w:val="4F7F212C"/>
    <w:rsid w:val="5A601870"/>
    <w:rsid w:val="73E962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uiPriority="99"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0" w:semiHidden="0" w:name="Placeholder Text"/>
    <w:lsdException w:unhideWhenUsed="0" w:uiPriority="0" w:semiHidden="0" w:name="No Spacing"/>
    <w:lsdException w:unhideWhenUsed="0" w:uiPriority="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after="200" w:line="276" w:lineRule="auto"/>
      <w:ind w:left="-1" w:leftChars="-1" w:hanging="1" w:hangingChars="1"/>
      <w:textAlignment w:val="top"/>
      <w:outlineLvl w:val="0"/>
    </w:pPr>
    <w:rPr>
      <w:rFonts w:ascii="Calibri" w:hAnsi="Calibri" w:eastAsia="Calibri" w:cs="Calibri"/>
      <w:position w:val="-1"/>
      <w:sz w:val="22"/>
      <w:szCs w:val="22"/>
      <w:lang w:val="en-US" w:eastAsia="en-US" w:bidi="ar-SA"/>
    </w:rPr>
  </w:style>
  <w:style w:type="paragraph" w:styleId="2">
    <w:name w:val="heading 1"/>
    <w:basedOn w:val="1"/>
    <w:next w:val="1"/>
    <w:qFormat/>
    <w:uiPriority w:val="9"/>
    <w:pPr>
      <w:keepNext/>
      <w:keepLines/>
      <w:spacing w:before="240" w:after="0"/>
    </w:pPr>
    <w:rPr>
      <w:rFonts w:ascii="Cambria" w:hAnsi="Cambria" w:eastAsia="SimSun" w:cs="Times New Roman"/>
      <w:color w:val="365F91"/>
      <w:sz w:val="32"/>
      <w:szCs w:val="32"/>
    </w:rPr>
  </w:style>
  <w:style w:type="paragraph" w:styleId="3">
    <w:name w:val="heading 2"/>
    <w:basedOn w:val="1"/>
    <w:next w:val="1"/>
    <w:link w:val="78"/>
    <w:unhideWhenUsed/>
    <w:qFormat/>
    <w:uiPriority w:val="9"/>
    <w:pPr>
      <w:keepNext/>
      <w:keepLines/>
      <w:spacing w:before="360" w:after="80"/>
      <w:outlineLvl w:val="1"/>
    </w:pPr>
    <w:rPr>
      <w:b/>
      <w:sz w:val="36"/>
      <w:szCs w:val="36"/>
    </w:rPr>
  </w:style>
  <w:style w:type="paragraph" w:styleId="4">
    <w:name w:val="heading 3"/>
    <w:basedOn w:val="1"/>
    <w:next w:val="1"/>
    <w:link w:val="79"/>
    <w:unhideWhenUsed/>
    <w:qFormat/>
    <w:uiPriority w:val="9"/>
    <w:pPr>
      <w:keepNext/>
      <w:keepLines/>
      <w:spacing w:before="280" w:after="80"/>
      <w:outlineLvl w:val="2"/>
    </w:pPr>
    <w:rPr>
      <w:b/>
      <w:sz w:val="28"/>
      <w:szCs w:val="28"/>
    </w:rPr>
  </w:style>
  <w:style w:type="paragraph" w:styleId="5">
    <w:name w:val="heading 4"/>
    <w:basedOn w:val="1"/>
    <w:next w:val="1"/>
    <w:link w:val="81"/>
    <w:unhideWhenUsed/>
    <w:qFormat/>
    <w:uiPriority w:val="0"/>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qFormat/>
    <w:uiPriority w:val="0"/>
    <w:pPr>
      <w:spacing w:after="0" w:line="240" w:lineRule="auto"/>
    </w:pPr>
    <w:rPr>
      <w:rFonts w:ascii="Tahoma" w:hAnsi="Tahoma" w:cs="Tahoma"/>
      <w:sz w:val="16"/>
      <w:szCs w:val="16"/>
    </w:rPr>
  </w:style>
  <w:style w:type="paragraph" w:styleId="11">
    <w:name w:val="Body Text"/>
    <w:basedOn w:val="1"/>
    <w:link w:val="59"/>
    <w:qFormat/>
    <w:uiPriority w:val="1"/>
    <w:pPr>
      <w:widowControl w:val="0"/>
      <w:suppressAutoHyphens w:val="0"/>
      <w:autoSpaceDE w:val="0"/>
      <w:autoSpaceDN w:val="0"/>
      <w:spacing w:after="0" w:line="240" w:lineRule="auto"/>
      <w:ind w:left="0" w:leftChars="0" w:firstLine="0" w:firstLineChars="0"/>
      <w:textAlignment w:val="auto"/>
      <w:outlineLvl w:val="9"/>
    </w:pPr>
    <w:rPr>
      <w:rFonts w:ascii="Trebuchet MS" w:hAnsi="Trebuchet MS" w:eastAsia="Trebuchet MS" w:cs="Trebuchet MS"/>
      <w:position w:val="0"/>
      <w:sz w:val="20"/>
      <w:szCs w:val="20"/>
    </w:rPr>
  </w:style>
  <w:style w:type="character" w:styleId="12">
    <w:name w:val="annotation reference"/>
    <w:qFormat/>
    <w:uiPriority w:val="0"/>
    <w:rPr>
      <w:w w:val="100"/>
      <w:position w:val="-1"/>
      <w:sz w:val="16"/>
      <w:szCs w:val="16"/>
      <w:vertAlign w:val="baseline"/>
      <w:cs w:val="0"/>
    </w:rPr>
  </w:style>
  <w:style w:type="paragraph" w:styleId="13">
    <w:name w:val="annotation text"/>
    <w:basedOn w:val="1"/>
    <w:qFormat/>
    <w:uiPriority w:val="0"/>
    <w:pPr>
      <w:spacing w:line="240" w:lineRule="auto"/>
    </w:pPr>
    <w:rPr>
      <w:sz w:val="20"/>
      <w:szCs w:val="20"/>
    </w:rPr>
  </w:style>
  <w:style w:type="paragraph" w:styleId="14">
    <w:name w:val="annotation subject"/>
    <w:basedOn w:val="13"/>
    <w:next w:val="13"/>
    <w:qFormat/>
    <w:uiPriority w:val="0"/>
    <w:rPr>
      <w:b/>
      <w:bCs/>
    </w:rPr>
  </w:style>
  <w:style w:type="character" w:styleId="15">
    <w:name w:val="Emphasis"/>
    <w:qFormat/>
    <w:uiPriority w:val="0"/>
    <w:rPr>
      <w:b/>
      <w:iCs/>
      <w:w w:val="100"/>
      <w:position w:val="-1"/>
      <w:vertAlign w:val="baseline"/>
      <w:cs w:val="0"/>
    </w:rPr>
  </w:style>
  <w:style w:type="character" w:styleId="16">
    <w:name w:val="endnote reference"/>
    <w:qFormat/>
    <w:uiPriority w:val="0"/>
    <w:rPr>
      <w:w w:val="100"/>
      <w:position w:val="-1"/>
      <w:vertAlign w:val="superscript"/>
      <w:cs w:val="0"/>
    </w:rPr>
  </w:style>
  <w:style w:type="paragraph" w:styleId="17">
    <w:name w:val="endnote text"/>
    <w:basedOn w:val="1"/>
    <w:qFormat/>
    <w:uiPriority w:val="0"/>
    <w:pPr>
      <w:spacing w:after="0" w:line="240" w:lineRule="auto"/>
    </w:pPr>
    <w:rPr>
      <w:sz w:val="20"/>
      <w:szCs w:val="20"/>
      <w:lang w:val="en-MY"/>
    </w:rPr>
  </w:style>
  <w:style w:type="paragraph" w:styleId="18">
    <w:name w:val="footer"/>
    <w:basedOn w:val="1"/>
    <w:qFormat/>
    <w:uiPriority w:val="99"/>
    <w:pPr>
      <w:spacing w:after="0" w:line="240" w:lineRule="auto"/>
    </w:pPr>
    <w:rPr>
      <w:lang w:val="en-MY"/>
    </w:rPr>
  </w:style>
  <w:style w:type="character" w:styleId="19">
    <w:name w:val="footnote reference"/>
    <w:qFormat/>
    <w:uiPriority w:val="0"/>
    <w:rPr>
      <w:w w:val="100"/>
      <w:position w:val="-1"/>
      <w:vertAlign w:val="superscript"/>
      <w:cs w:val="0"/>
    </w:rPr>
  </w:style>
  <w:style w:type="paragraph" w:styleId="20">
    <w:name w:val="footnote text"/>
    <w:basedOn w:val="1"/>
    <w:qFormat/>
    <w:uiPriority w:val="0"/>
    <w:rPr>
      <w:sz w:val="20"/>
      <w:szCs w:val="20"/>
    </w:rPr>
  </w:style>
  <w:style w:type="paragraph" w:styleId="21">
    <w:name w:val="header"/>
    <w:basedOn w:val="1"/>
    <w:qFormat/>
    <w:uiPriority w:val="99"/>
  </w:style>
  <w:style w:type="paragraph" w:styleId="22">
    <w:name w:val="HTML Preformatted"/>
    <w:basedOn w:val="1"/>
    <w:qFormat/>
    <w:uiPriority w:val="0"/>
    <w:pPr>
      <w:spacing w:after="0" w:line="240" w:lineRule="auto"/>
    </w:pPr>
    <w:rPr>
      <w:rFonts w:ascii="Courier New" w:hAnsi="Courier New" w:eastAsia="Times New Roman" w:cs="Courier New"/>
      <w:sz w:val="20"/>
      <w:szCs w:val="20"/>
    </w:rPr>
  </w:style>
  <w:style w:type="character" w:styleId="23">
    <w:name w:val="Hyperlink"/>
    <w:qFormat/>
    <w:uiPriority w:val="99"/>
    <w:rPr>
      <w:color w:val="0000FF"/>
      <w:w w:val="100"/>
      <w:position w:val="-1"/>
      <w:u w:val="single"/>
      <w:vertAlign w:val="baseline"/>
      <w:cs w:val="0"/>
    </w:rPr>
  </w:style>
  <w:style w:type="paragraph" w:styleId="24">
    <w:name w:val="Normal (Web)"/>
    <w:basedOn w:val="1"/>
    <w:semiHidden/>
    <w:unhideWhenUsed/>
    <w:qFormat/>
    <w:uiPriority w:val="99"/>
    <w:pPr>
      <w:suppressAutoHyphens w:val="0"/>
      <w:spacing w:before="100" w:beforeAutospacing="1" w:after="100" w:afterAutospacing="1" w:line="240" w:lineRule="auto"/>
      <w:ind w:left="0" w:leftChars="0" w:firstLine="0" w:firstLineChars="0"/>
      <w:textAlignment w:val="auto"/>
      <w:outlineLvl w:val="9"/>
    </w:pPr>
    <w:rPr>
      <w:rFonts w:ascii="Times New Roman" w:hAnsi="Times New Roman" w:eastAsia="Times New Roman" w:cs="Times New Roman"/>
      <w:position w:val="0"/>
      <w:sz w:val="24"/>
      <w:szCs w:val="24"/>
      <w:lang w:val="en-MY" w:eastAsia="en-GB"/>
    </w:rPr>
  </w:style>
  <w:style w:type="paragraph" w:styleId="25">
    <w:name w:val="Normal Indent"/>
    <w:basedOn w:val="1"/>
    <w:uiPriority w:val="0"/>
    <w:pPr>
      <w:suppressAutoHyphens w:val="0"/>
      <w:spacing w:after="0" w:line="480" w:lineRule="auto"/>
      <w:ind w:left="720" w:leftChars="0" w:firstLine="0" w:firstLineChars="0"/>
      <w:textAlignment w:val="auto"/>
      <w:outlineLvl w:val="9"/>
    </w:pPr>
    <w:rPr>
      <w:rFonts w:ascii="Times New Roman" w:hAnsi="Times New Roman" w:eastAsia="Times New Roman" w:cs="Times New Roman"/>
      <w:position w:val="0"/>
      <w:sz w:val="24"/>
      <w:szCs w:val="24"/>
      <w:lang w:val="en-GB" w:eastAsia="en-GB"/>
    </w:rPr>
  </w:style>
  <w:style w:type="character" w:styleId="26">
    <w:name w:val="Strong"/>
    <w:basedOn w:val="8"/>
    <w:qFormat/>
    <w:uiPriority w:val="22"/>
    <w:rPr>
      <w:b/>
      <w:bCs/>
    </w:rPr>
  </w:style>
  <w:style w:type="paragraph" w:styleId="27">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28">
    <w:name w:val="Table Grid"/>
    <w:basedOn w:val="9"/>
    <w:qFormat/>
    <w:uiPriority w:val="0"/>
    <w:pPr>
      <w:suppressAutoHyphens/>
      <w:spacing w:after="0" w:line="240" w:lineRule="auto"/>
      <w:ind w:left="-1" w:leftChars="-1" w:hanging="1" w:hangingChars="1"/>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9">
    <w:name w:val="Title"/>
    <w:basedOn w:val="1"/>
    <w:next w:val="1"/>
    <w:link w:val="84"/>
    <w:qFormat/>
    <w:uiPriority w:val="10"/>
    <w:pPr>
      <w:keepNext/>
      <w:keepLines/>
      <w:spacing w:before="480" w:after="120"/>
    </w:pPr>
    <w:rPr>
      <w:b/>
      <w:sz w:val="72"/>
      <w:szCs w:val="72"/>
    </w:rPr>
  </w:style>
  <w:style w:type="table" w:styleId="30">
    <w:name w:val="Light Shading"/>
    <w:basedOn w:val="9"/>
    <w:uiPriority w:val="0"/>
    <w:pPr>
      <w:suppressAutoHyphens/>
      <w:spacing w:after="0" w:line="240" w:lineRule="auto"/>
      <w:ind w:left="-1" w:leftChars="-1" w:hanging="1" w:hangingChars="1"/>
      <w:textAlignment w:val="top"/>
      <w:outlineLvl w:val="0"/>
    </w:pPr>
    <w:rPr>
      <w:color w:val="000000"/>
      <w:position w:val="-1"/>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31">
    <w:name w:val="Light Shading Accent 1"/>
    <w:basedOn w:val="9"/>
    <w:uiPriority w:val="0"/>
    <w:pPr>
      <w:suppressAutoHyphens/>
      <w:spacing w:after="0" w:line="240" w:lineRule="auto"/>
      <w:ind w:left="-1" w:leftChars="-1" w:hanging="1" w:hangingChars="1"/>
      <w:textAlignment w:val="top"/>
      <w:outlineLvl w:val="0"/>
    </w:pPr>
    <w:rPr>
      <w:rFonts w:eastAsia="Times New Roman"/>
      <w:color w:val="365F91"/>
      <w:position w:val="-1"/>
      <w:lang w:eastAsia="ja-JP"/>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32">
    <w:name w:val="Endnote Text Char"/>
    <w:qFormat/>
    <w:uiPriority w:val="0"/>
    <w:rPr>
      <w:rFonts w:ascii="Calibri" w:hAnsi="Calibri" w:eastAsia="Calibri" w:cs="Times New Roman"/>
      <w:w w:val="100"/>
      <w:position w:val="-1"/>
      <w:sz w:val="20"/>
      <w:szCs w:val="20"/>
      <w:vertAlign w:val="baseline"/>
      <w:cs w:val="0"/>
      <w:lang w:val="en-MY"/>
    </w:rPr>
  </w:style>
  <w:style w:type="character" w:customStyle="1" w:styleId="33">
    <w:name w:val="Footer Char"/>
    <w:qFormat/>
    <w:uiPriority w:val="99"/>
    <w:rPr>
      <w:rFonts w:ascii="Calibri" w:hAnsi="Calibri" w:eastAsia="Calibri" w:cs="Times New Roman"/>
      <w:w w:val="100"/>
      <w:position w:val="-1"/>
      <w:vertAlign w:val="baseline"/>
      <w:cs w:val="0"/>
      <w:lang w:val="en-MY"/>
    </w:rPr>
  </w:style>
  <w:style w:type="character" w:customStyle="1" w:styleId="34">
    <w:name w:val="Footnote Text Char"/>
    <w:qFormat/>
    <w:uiPriority w:val="0"/>
    <w:rPr>
      <w:rFonts w:ascii="Calibri" w:hAnsi="Calibri" w:eastAsia="Calibri" w:cs="Times New Roman"/>
      <w:w w:val="100"/>
      <w:position w:val="-1"/>
      <w:sz w:val="20"/>
      <w:szCs w:val="20"/>
      <w:vertAlign w:val="baseline"/>
      <w:cs w:val="0"/>
    </w:rPr>
  </w:style>
  <w:style w:type="character" w:customStyle="1" w:styleId="35">
    <w:name w:val="apple-converted-space"/>
    <w:qFormat/>
    <w:uiPriority w:val="0"/>
    <w:rPr>
      <w:w w:val="100"/>
      <w:position w:val="-1"/>
      <w:vertAlign w:val="baseline"/>
      <w:cs w:val="0"/>
    </w:rPr>
  </w:style>
  <w:style w:type="character" w:customStyle="1" w:styleId="36">
    <w:name w:val="Header Char"/>
    <w:qFormat/>
    <w:uiPriority w:val="99"/>
    <w:rPr>
      <w:rFonts w:ascii="Calibri" w:hAnsi="Calibri" w:eastAsia="Calibri" w:cs="Times New Roman"/>
      <w:w w:val="100"/>
      <w:position w:val="-1"/>
      <w:vertAlign w:val="baseline"/>
      <w:cs w:val="0"/>
    </w:rPr>
  </w:style>
  <w:style w:type="character" w:customStyle="1" w:styleId="37">
    <w:name w:val="Comment Text Char"/>
    <w:qFormat/>
    <w:uiPriority w:val="0"/>
    <w:rPr>
      <w:rFonts w:ascii="Calibri" w:hAnsi="Calibri" w:eastAsia="Calibri" w:cs="Times New Roman"/>
      <w:w w:val="100"/>
      <w:position w:val="-1"/>
      <w:sz w:val="20"/>
      <w:szCs w:val="20"/>
      <w:vertAlign w:val="baseline"/>
      <w:cs w:val="0"/>
    </w:rPr>
  </w:style>
  <w:style w:type="character" w:customStyle="1" w:styleId="38">
    <w:name w:val="Balloon Text Char"/>
    <w:uiPriority w:val="0"/>
    <w:rPr>
      <w:rFonts w:ascii="Tahoma" w:hAnsi="Tahoma" w:eastAsia="Calibri" w:cs="Tahoma"/>
      <w:w w:val="100"/>
      <w:position w:val="-1"/>
      <w:sz w:val="16"/>
      <w:szCs w:val="16"/>
      <w:vertAlign w:val="baseline"/>
      <w:cs w:val="0"/>
    </w:rPr>
  </w:style>
  <w:style w:type="character" w:customStyle="1" w:styleId="39">
    <w:name w:val="Comment Subject Char"/>
    <w:uiPriority w:val="0"/>
    <w:rPr>
      <w:rFonts w:ascii="Calibri" w:hAnsi="Calibri" w:eastAsia="Calibri" w:cs="Times New Roman"/>
      <w:b/>
      <w:bCs/>
      <w:w w:val="100"/>
      <w:position w:val="-1"/>
      <w:sz w:val="20"/>
      <w:szCs w:val="20"/>
      <w:vertAlign w:val="baseline"/>
      <w:cs w:val="0"/>
      <w:lang w:val="en-US" w:eastAsia="en-US"/>
    </w:rPr>
  </w:style>
  <w:style w:type="paragraph" w:customStyle="1" w:styleId="40">
    <w:name w:val="Revision1"/>
    <w:uiPriority w:val="0"/>
    <w:pPr>
      <w:suppressAutoHyphens/>
      <w:spacing w:after="200" w:line="1" w:lineRule="atLeast"/>
      <w:ind w:left="-1" w:leftChars="-1" w:hanging="1" w:hangingChars="1"/>
      <w:textAlignment w:val="top"/>
      <w:outlineLvl w:val="0"/>
    </w:pPr>
    <w:rPr>
      <w:rFonts w:ascii="Calibri" w:hAnsi="Calibri" w:eastAsia="Calibri" w:cs="Calibri"/>
      <w:position w:val="-1"/>
      <w:sz w:val="22"/>
      <w:szCs w:val="22"/>
      <w:lang w:val="en-US" w:eastAsia="en-US" w:bidi="ar-SA"/>
    </w:rPr>
  </w:style>
  <w:style w:type="character" w:customStyle="1" w:styleId="41">
    <w:name w:val="st1"/>
    <w:uiPriority w:val="0"/>
    <w:rPr>
      <w:w w:val="100"/>
      <w:position w:val="-1"/>
      <w:vertAlign w:val="baseline"/>
      <w:cs w:val="0"/>
    </w:rPr>
  </w:style>
  <w:style w:type="character" w:customStyle="1" w:styleId="42">
    <w:name w:val="Heading 1 Char"/>
    <w:qFormat/>
    <w:uiPriority w:val="0"/>
    <w:rPr>
      <w:rFonts w:ascii="Cambria" w:hAnsi="Cambria" w:eastAsia="SimSun" w:cs="Times New Roman"/>
      <w:color w:val="365F91"/>
      <w:w w:val="100"/>
      <w:position w:val="-1"/>
      <w:sz w:val="32"/>
      <w:szCs w:val="32"/>
      <w:vertAlign w:val="baseline"/>
      <w:cs w:val="0"/>
      <w:lang w:val="en-US" w:eastAsia="en-US"/>
    </w:rPr>
  </w:style>
  <w:style w:type="paragraph" w:styleId="43">
    <w:name w:val="No Spacing"/>
    <w:uiPriority w:val="0"/>
    <w:pPr>
      <w:suppressAutoHyphens/>
      <w:spacing w:after="200" w:line="1" w:lineRule="atLeast"/>
      <w:ind w:left="-1" w:leftChars="-1" w:hanging="1" w:hangingChars="1"/>
      <w:textAlignment w:val="top"/>
      <w:outlineLvl w:val="0"/>
    </w:pPr>
    <w:rPr>
      <w:rFonts w:ascii="Calibri" w:hAnsi="Calibri" w:eastAsia="Calibri" w:cs="Calibri"/>
      <w:position w:val="-1"/>
      <w:sz w:val="22"/>
      <w:szCs w:val="22"/>
      <w:lang w:val="en-US" w:eastAsia="en-US" w:bidi="ar-SA"/>
    </w:rPr>
  </w:style>
  <w:style w:type="paragraph" w:styleId="44">
    <w:name w:val="List Paragraph"/>
    <w:basedOn w:val="1"/>
    <w:qFormat/>
    <w:uiPriority w:val="1"/>
    <w:pPr>
      <w:ind w:left="720"/>
      <w:contextualSpacing/>
    </w:pPr>
    <w:rPr>
      <w:lang w:val="ms"/>
    </w:rPr>
  </w:style>
  <w:style w:type="character" w:styleId="45">
    <w:name w:val="Placeholder Text"/>
    <w:uiPriority w:val="0"/>
    <w:rPr>
      <w:color w:val="808080"/>
      <w:w w:val="100"/>
      <w:position w:val="-1"/>
      <w:vertAlign w:val="baseline"/>
      <w:cs w:val="0"/>
    </w:rPr>
  </w:style>
  <w:style w:type="table" w:customStyle="1" w:styleId="46">
    <w:name w:val="Table Grid1"/>
    <w:basedOn w:val="9"/>
    <w:uiPriority w:val="0"/>
    <w:pPr>
      <w:suppressAutoHyphens/>
      <w:spacing w:after="0" w:line="240" w:lineRule="auto"/>
      <w:ind w:left="-1" w:leftChars="-1" w:hanging="1" w:hangingChars="1"/>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Table Grid2"/>
    <w:basedOn w:val="9"/>
    <w:uiPriority w:val="0"/>
    <w:pPr>
      <w:suppressAutoHyphens/>
      <w:spacing w:after="0" w:line="240" w:lineRule="auto"/>
      <w:ind w:left="-1" w:leftChars="-1" w:hanging="1" w:hangingChars="1"/>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
    <w:name w:val="Decimal Aligned"/>
    <w:basedOn w:val="1"/>
    <w:uiPriority w:val="0"/>
    <w:rPr>
      <w:lang w:eastAsia="ja-JP"/>
    </w:rPr>
  </w:style>
  <w:style w:type="character" w:customStyle="1" w:styleId="49">
    <w:name w:val="Subtle Emphasis"/>
    <w:uiPriority w:val="0"/>
    <w:rPr>
      <w:i/>
      <w:iCs/>
      <w:color w:val="7F7F7F"/>
      <w:w w:val="100"/>
      <w:position w:val="-1"/>
      <w:vertAlign w:val="baseline"/>
      <w:cs w:val="0"/>
    </w:rPr>
  </w:style>
  <w:style w:type="character" w:customStyle="1" w:styleId="50">
    <w:name w:val="HTML Preformatted Char"/>
    <w:uiPriority w:val="0"/>
    <w:rPr>
      <w:rFonts w:ascii="Courier New" w:hAnsi="Courier New" w:eastAsia="Times New Roman" w:cs="Courier New"/>
      <w:w w:val="100"/>
      <w:position w:val="-1"/>
      <w:vertAlign w:val="baseline"/>
      <w:cs w:val="0"/>
      <w:lang w:val="en-US" w:eastAsia="en-US"/>
    </w:rPr>
  </w:style>
  <w:style w:type="table" w:customStyle="1" w:styleId="51">
    <w:name w:val="Plain Table 4"/>
    <w:basedOn w:val="9"/>
    <w:uiPriority w:val="0"/>
    <w:pPr>
      <w:suppressAutoHyphens/>
      <w:spacing w:after="0" w:line="240" w:lineRule="auto"/>
      <w:ind w:left="-1" w:leftChars="-1" w:hanging="1" w:hangingChars="1"/>
      <w:textAlignment w:val="top"/>
      <w:outlineLvl w:val="0"/>
    </w:pPr>
    <w:rPr>
      <w:position w:val="-1"/>
    </w:rPr>
  </w:style>
  <w:style w:type="character" w:customStyle="1" w:styleId="52">
    <w:name w:val="Unresolved Mention1"/>
    <w:qFormat/>
    <w:uiPriority w:val="0"/>
    <w:rPr>
      <w:color w:val="808080"/>
      <w:w w:val="100"/>
      <w:position w:val="-1"/>
      <w:shd w:val="clear" w:color="auto" w:fill="E6E6E6"/>
      <w:vertAlign w:val="baseline"/>
      <w:cs w:val="0"/>
    </w:rPr>
  </w:style>
  <w:style w:type="paragraph" w:customStyle="1" w:styleId="53">
    <w:name w:val="Body A"/>
    <w:uiPriority w:val="0"/>
    <w:pPr>
      <w:pBdr>
        <w:top w:val="none" w:color="auto" w:sz="0" w:space="0"/>
        <w:left w:val="none" w:color="auto" w:sz="0" w:space="0"/>
        <w:bottom w:val="none" w:color="auto" w:sz="0" w:space="0"/>
        <w:right w:val="none" w:color="auto" w:sz="0" w:space="0"/>
        <w:between w:val="none" w:color="auto" w:sz="0" w:space="0"/>
      </w:pBdr>
      <w:suppressAutoHyphens/>
      <w:spacing w:after="200" w:line="1" w:lineRule="atLeast"/>
      <w:ind w:left="-1" w:leftChars="-1" w:hanging="1" w:hangingChars="1"/>
      <w:textAlignment w:val="top"/>
      <w:outlineLvl w:val="0"/>
    </w:pPr>
    <w:rPr>
      <w:rFonts w:ascii="Helvetica" w:hAnsi="Helvetica" w:eastAsia="Helvetica" w:cs="Helvetica"/>
      <w:color w:val="000000"/>
      <w:position w:val="-1"/>
      <w:sz w:val="22"/>
      <w:szCs w:val="22"/>
      <w:lang w:val="en-US" w:eastAsia="en-US" w:bidi="ar-SA"/>
    </w:rPr>
  </w:style>
  <w:style w:type="paragraph" w:customStyle="1" w:styleId="54">
    <w:name w:val="Table Style 2"/>
    <w:uiPriority w:val="0"/>
    <w:pPr>
      <w:pBdr>
        <w:top w:val="none" w:color="auto" w:sz="0" w:space="0"/>
        <w:left w:val="none" w:color="auto" w:sz="0" w:space="0"/>
        <w:bottom w:val="none" w:color="auto" w:sz="0" w:space="0"/>
        <w:right w:val="none" w:color="auto" w:sz="0" w:space="0"/>
        <w:between w:val="none" w:color="auto" w:sz="0" w:space="0"/>
      </w:pBdr>
      <w:suppressAutoHyphens/>
      <w:spacing w:after="200" w:line="1" w:lineRule="atLeast"/>
      <w:ind w:left="-1" w:leftChars="-1" w:hanging="1" w:hangingChars="1"/>
      <w:textAlignment w:val="top"/>
      <w:outlineLvl w:val="0"/>
    </w:pPr>
    <w:rPr>
      <w:rFonts w:ascii="Helvetica" w:hAnsi="Helvetica" w:eastAsia="Helvetica" w:cs="Helvetica"/>
      <w:color w:val="000000"/>
      <w:position w:val="-1"/>
      <w:sz w:val="22"/>
      <w:szCs w:val="22"/>
      <w:lang w:val="en-MY" w:eastAsia="en-MY" w:bidi="ar-SA"/>
    </w:rPr>
  </w:style>
  <w:style w:type="character" w:customStyle="1" w:styleId="55">
    <w:name w:val="Unresolved Mention"/>
    <w:qFormat/>
    <w:uiPriority w:val="99"/>
    <w:rPr>
      <w:color w:val="808080"/>
      <w:w w:val="100"/>
      <w:position w:val="-1"/>
      <w:shd w:val="clear" w:color="auto" w:fill="E6E6E6"/>
      <w:vertAlign w:val="baseline"/>
      <w:cs w:val="0"/>
    </w:rPr>
  </w:style>
  <w:style w:type="table" w:customStyle="1" w:styleId="56">
    <w:name w:val="_Style 51"/>
    <w:basedOn w:val="9"/>
    <w:uiPriority w:val="0"/>
  </w:style>
  <w:style w:type="paragraph" w:customStyle="1" w:styleId="57">
    <w:name w:val="Paragraph"/>
    <w:basedOn w:val="1"/>
    <w:next w:val="58"/>
    <w:qFormat/>
    <w:uiPriority w:val="0"/>
    <w:pPr>
      <w:widowControl w:val="0"/>
      <w:suppressAutoHyphens w:val="0"/>
      <w:spacing w:before="240" w:after="0" w:line="480" w:lineRule="auto"/>
      <w:ind w:left="0" w:leftChars="0" w:firstLine="0" w:firstLineChars="0"/>
      <w:textAlignment w:val="auto"/>
      <w:outlineLvl w:val="9"/>
    </w:pPr>
    <w:rPr>
      <w:rFonts w:ascii="Times New Roman" w:hAnsi="Times New Roman" w:eastAsia="Times New Roman" w:cs="Times New Roman"/>
      <w:position w:val="0"/>
      <w:sz w:val="24"/>
      <w:szCs w:val="24"/>
      <w:lang w:val="en-GB" w:eastAsia="en-GB"/>
    </w:rPr>
  </w:style>
  <w:style w:type="paragraph" w:customStyle="1" w:styleId="58">
    <w:name w:val="New paragraph"/>
    <w:basedOn w:val="1"/>
    <w:link w:val="83"/>
    <w:qFormat/>
    <w:uiPriority w:val="0"/>
    <w:pPr>
      <w:suppressAutoHyphens w:val="0"/>
      <w:spacing w:after="0" w:line="480" w:lineRule="auto"/>
      <w:ind w:left="0" w:leftChars="0" w:firstLine="720" w:firstLineChars="0"/>
      <w:textAlignment w:val="auto"/>
      <w:outlineLvl w:val="9"/>
    </w:pPr>
    <w:rPr>
      <w:rFonts w:ascii="Times New Roman" w:hAnsi="Times New Roman" w:eastAsia="Times New Roman" w:cs="Times New Roman"/>
      <w:position w:val="0"/>
      <w:sz w:val="24"/>
      <w:szCs w:val="24"/>
      <w:lang w:val="en-GB" w:eastAsia="en-GB"/>
    </w:rPr>
  </w:style>
  <w:style w:type="character" w:customStyle="1" w:styleId="59">
    <w:name w:val="Body Text Char"/>
    <w:basedOn w:val="8"/>
    <w:link w:val="11"/>
    <w:qFormat/>
    <w:uiPriority w:val="1"/>
    <w:rPr>
      <w:rFonts w:ascii="Trebuchet MS" w:hAnsi="Trebuchet MS" w:eastAsia="Trebuchet MS" w:cs="Trebuchet MS"/>
      <w:sz w:val="20"/>
      <w:szCs w:val="20"/>
    </w:rPr>
  </w:style>
  <w:style w:type="paragraph" w:customStyle="1" w:styleId="60">
    <w:name w:val="Article title"/>
    <w:basedOn w:val="1"/>
    <w:next w:val="1"/>
    <w:qFormat/>
    <w:uiPriority w:val="0"/>
    <w:pPr>
      <w:suppressAutoHyphens w:val="0"/>
      <w:spacing w:after="120" w:line="360" w:lineRule="auto"/>
      <w:ind w:left="0" w:leftChars="0" w:firstLine="0" w:firstLineChars="0"/>
      <w:textAlignment w:val="auto"/>
      <w:outlineLvl w:val="9"/>
    </w:pPr>
    <w:rPr>
      <w:rFonts w:ascii="Times New Roman" w:hAnsi="Times New Roman" w:eastAsia="Times New Roman" w:cs="Times New Roman"/>
      <w:b/>
      <w:position w:val="0"/>
      <w:sz w:val="28"/>
      <w:szCs w:val="24"/>
      <w:lang w:val="en-GB" w:eastAsia="en-GB"/>
    </w:rPr>
  </w:style>
  <w:style w:type="paragraph" w:customStyle="1" w:styleId="61">
    <w:name w:val="Author names"/>
    <w:basedOn w:val="1"/>
    <w:next w:val="1"/>
    <w:link w:val="86"/>
    <w:qFormat/>
    <w:uiPriority w:val="0"/>
    <w:pPr>
      <w:suppressAutoHyphens w:val="0"/>
      <w:spacing w:before="240" w:after="0" w:line="360" w:lineRule="auto"/>
      <w:ind w:left="0" w:leftChars="0" w:firstLine="0" w:firstLineChars="0"/>
      <w:textAlignment w:val="auto"/>
      <w:outlineLvl w:val="9"/>
    </w:pPr>
    <w:rPr>
      <w:rFonts w:ascii="Times New Roman" w:hAnsi="Times New Roman" w:eastAsia="Times New Roman" w:cs="Times New Roman"/>
      <w:position w:val="0"/>
      <w:sz w:val="28"/>
      <w:szCs w:val="24"/>
      <w:lang w:val="en-GB" w:eastAsia="en-GB"/>
    </w:rPr>
  </w:style>
  <w:style w:type="paragraph" w:customStyle="1" w:styleId="62">
    <w:name w:val="Affiliation"/>
    <w:basedOn w:val="1"/>
    <w:qFormat/>
    <w:uiPriority w:val="0"/>
    <w:pPr>
      <w:suppressAutoHyphens w:val="0"/>
      <w:spacing w:before="240" w:after="0" w:line="360" w:lineRule="auto"/>
      <w:ind w:left="0" w:leftChars="0" w:firstLine="0" w:firstLineChars="0"/>
      <w:textAlignment w:val="auto"/>
      <w:outlineLvl w:val="9"/>
    </w:pPr>
    <w:rPr>
      <w:rFonts w:ascii="Times New Roman" w:hAnsi="Times New Roman" w:eastAsia="Times New Roman" w:cs="Times New Roman"/>
      <w:i/>
      <w:position w:val="0"/>
      <w:sz w:val="24"/>
      <w:szCs w:val="24"/>
      <w:lang w:val="en-GB" w:eastAsia="en-GB"/>
    </w:rPr>
  </w:style>
  <w:style w:type="paragraph" w:customStyle="1" w:styleId="63">
    <w:name w:val="Received dates"/>
    <w:basedOn w:val="62"/>
    <w:next w:val="1"/>
    <w:qFormat/>
    <w:uiPriority w:val="0"/>
  </w:style>
  <w:style w:type="paragraph" w:customStyle="1" w:styleId="64">
    <w:name w:val="Abstract"/>
    <w:basedOn w:val="1"/>
    <w:next w:val="65"/>
    <w:qFormat/>
    <w:uiPriority w:val="0"/>
    <w:pPr>
      <w:suppressAutoHyphens w:val="0"/>
      <w:spacing w:before="360" w:after="300" w:line="360" w:lineRule="auto"/>
      <w:ind w:left="720" w:leftChars="0" w:right="567" w:firstLine="0" w:firstLineChars="0"/>
      <w:textAlignment w:val="auto"/>
      <w:outlineLvl w:val="9"/>
    </w:pPr>
    <w:rPr>
      <w:rFonts w:ascii="Times New Roman" w:hAnsi="Times New Roman" w:eastAsia="Times New Roman" w:cs="Times New Roman"/>
      <w:position w:val="0"/>
      <w:szCs w:val="24"/>
      <w:lang w:val="en-GB" w:eastAsia="en-GB"/>
    </w:rPr>
  </w:style>
  <w:style w:type="paragraph" w:customStyle="1" w:styleId="65">
    <w:name w:val="Keywords"/>
    <w:basedOn w:val="1"/>
    <w:next w:val="57"/>
    <w:qFormat/>
    <w:uiPriority w:val="0"/>
    <w:pPr>
      <w:suppressAutoHyphens w:val="0"/>
      <w:spacing w:before="240" w:after="240" w:line="360" w:lineRule="auto"/>
      <w:ind w:left="720" w:leftChars="0" w:right="567" w:firstLine="0" w:firstLineChars="0"/>
      <w:textAlignment w:val="auto"/>
      <w:outlineLvl w:val="9"/>
    </w:pPr>
    <w:rPr>
      <w:rFonts w:ascii="Times New Roman" w:hAnsi="Times New Roman" w:eastAsia="Times New Roman" w:cs="Times New Roman"/>
      <w:position w:val="0"/>
      <w:szCs w:val="24"/>
      <w:lang w:val="en-GB" w:eastAsia="en-GB"/>
    </w:rPr>
  </w:style>
  <w:style w:type="paragraph" w:customStyle="1" w:styleId="66">
    <w:name w:val="Correspondence details"/>
    <w:basedOn w:val="1"/>
    <w:qFormat/>
    <w:uiPriority w:val="0"/>
    <w:pPr>
      <w:suppressAutoHyphens w:val="0"/>
      <w:spacing w:before="240" w:after="0" w:line="360" w:lineRule="auto"/>
      <w:ind w:left="0" w:leftChars="0" w:firstLine="0" w:firstLineChars="0"/>
      <w:textAlignment w:val="auto"/>
      <w:outlineLvl w:val="9"/>
    </w:pPr>
    <w:rPr>
      <w:rFonts w:ascii="Times New Roman" w:hAnsi="Times New Roman" w:eastAsia="Times New Roman" w:cs="Times New Roman"/>
      <w:position w:val="0"/>
      <w:sz w:val="24"/>
      <w:szCs w:val="24"/>
      <w:lang w:val="en-GB" w:eastAsia="en-GB"/>
    </w:rPr>
  </w:style>
  <w:style w:type="paragraph" w:customStyle="1" w:styleId="67">
    <w:name w:val="Displayed quotation"/>
    <w:basedOn w:val="1"/>
    <w:qFormat/>
    <w:uiPriority w:val="0"/>
    <w:pPr>
      <w:tabs>
        <w:tab w:val="left" w:pos="1077"/>
        <w:tab w:val="left" w:pos="1440"/>
        <w:tab w:val="left" w:pos="1797"/>
        <w:tab w:val="left" w:pos="2155"/>
        <w:tab w:val="left" w:pos="2512"/>
      </w:tabs>
      <w:suppressAutoHyphens w:val="0"/>
      <w:spacing w:before="240" w:after="360" w:line="360" w:lineRule="auto"/>
      <w:ind w:left="709" w:leftChars="0" w:right="425" w:firstLine="0" w:firstLineChars="0"/>
      <w:contextualSpacing/>
      <w:textAlignment w:val="auto"/>
      <w:outlineLvl w:val="9"/>
    </w:pPr>
    <w:rPr>
      <w:rFonts w:ascii="Times New Roman" w:hAnsi="Times New Roman" w:eastAsia="Times New Roman" w:cs="Times New Roman"/>
      <w:position w:val="0"/>
      <w:szCs w:val="24"/>
      <w:lang w:val="en-GB" w:eastAsia="en-GB"/>
    </w:rPr>
  </w:style>
  <w:style w:type="paragraph" w:customStyle="1" w:styleId="68">
    <w:name w:val="Numbered list"/>
    <w:basedOn w:val="57"/>
    <w:next w:val="57"/>
    <w:link w:val="87"/>
    <w:qFormat/>
    <w:uiPriority w:val="0"/>
    <w:pPr>
      <w:widowControl/>
      <w:numPr>
        <w:ilvl w:val="0"/>
        <w:numId w:val="1"/>
      </w:numPr>
      <w:spacing w:after="240"/>
      <w:contextualSpacing/>
    </w:pPr>
  </w:style>
  <w:style w:type="paragraph" w:customStyle="1" w:styleId="69">
    <w:name w:val="Displayed equation"/>
    <w:basedOn w:val="1"/>
    <w:next w:val="57"/>
    <w:qFormat/>
    <w:uiPriority w:val="0"/>
    <w:pPr>
      <w:tabs>
        <w:tab w:val="center" w:pos="4253"/>
        <w:tab w:val="right" w:pos="8222"/>
      </w:tabs>
      <w:suppressAutoHyphens w:val="0"/>
      <w:spacing w:before="240" w:after="240" w:line="480" w:lineRule="auto"/>
      <w:ind w:left="0" w:leftChars="0" w:firstLine="0" w:firstLineChars="0"/>
      <w:jc w:val="center"/>
      <w:textAlignment w:val="auto"/>
      <w:outlineLvl w:val="9"/>
    </w:pPr>
    <w:rPr>
      <w:rFonts w:ascii="Times New Roman" w:hAnsi="Times New Roman" w:eastAsia="Times New Roman" w:cs="Times New Roman"/>
      <w:position w:val="0"/>
      <w:sz w:val="24"/>
      <w:szCs w:val="24"/>
      <w:lang w:val="en-GB" w:eastAsia="en-GB"/>
    </w:rPr>
  </w:style>
  <w:style w:type="paragraph" w:customStyle="1" w:styleId="70">
    <w:name w:val="Acknowledgements"/>
    <w:basedOn w:val="1"/>
    <w:next w:val="1"/>
    <w:qFormat/>
    <w:uiPriority w:val="0"/>
    <w:pPr>
      <w:suppressAutoHyphens w:val="0"/>
      <w:spacing w:before="120" w:after="0" w:line="360" w:lineRule="auto"/>
      <w:ind w:left="0" w:leftChars="0" w:firstLine="0" w:firstLineChars="0"/>
      <w:textAlignment w:val="auto"/>
      <w:outlineLvl w:val="9"/>
    </w:pPr>
    <w:rPr>
      <w:rFonts w:ascii="Times New Roman" w:hAnsi="Times New Roman" w:eastAsia="Times New Roman" w:cs="Times New Roman"/>
      <w:position w:val="0"/>
      <w:szCs w:val="24"/>
      <w:lang w:val="en-GB" w:eastAsia="en-GB"/>
    </w:rPr>
  </w:style>
  <w:style w:type="paragraph" w:customStyle="1" w:styleId="71">
    <w:name w:val="Table title"/>
    <w:basedOn w:val="1"/>
    <w:next w:val="1"/>
    <w:qFormat/>
    <w:uiPriority w:val="0"/>
    <w:pPr>
      <w:suppressAutoHyphens w:val="0"/>
      <w:spacing w:before="240" w:after="0" w:line="360" w:lineRule="auto"/>
      <w:ind w:left="0" w:leftChars="0" w:firstLine="0" w:firstLineChars="0"/>
      <w:textAlignment w:val="auto"/>
      <w:outlineLvl w:val="9"/>
    </w:pPr>
    <w:rPr>
      <w:rFonts w:ascii="Times New Roman" w:hAnsi="Times New Roman" w:eastAsia="Times New Roman" w:cs="Times New Roman"/>
      <w:position w:val="0"/>
      <w:sz w:val="24"/>
      <w:szCs w:val="24"/>
      <w:lang w:val="en-GB" w:eastAsia="en-GB"/>
    </w:rPr>
  </w:style>
  <w:style w:type="paragraph" w:customStyle="1" w:styleId="72">
    <w:name w:val="Figure caption"/>
    <w:basedOn w:val="1"/>
    <w:next w:val="1"/>
    <w:qFormat/>
    <w:uiPriority w:val="0"/>
    <w:pPr>
      <w:suppressAutoHyphens w:val="0"/>
      <w:spacing w:before="240" w:after="0" w:line="360" w:lineRule="auto"/>
      <w:ind w:left="0" w:leftChars="0" w:firstLine="0" w:firstLineChars="0"/>
      <w:textAlignment w:val="auto"/>
      <w:outlineLvl w:val="9"/>
    </w:pPr>
    <w:rPr>
      <w:rFonts w:ascii="Times New Roman" w:hAnsi="Times New Roman" w:eastAsia="Times New Roman" w:cs="Times New Roman"/>
      <w:position w:val="0"/>
      <w:sz w:val="24"/>
      <w:szCs w:val="24"/>
      <w:lang w:val="en-GB" w:eastAsia="en-GB"/>
    </w:rPr>
  </w:style>
  <w:style w:type="paragraph" w:customStyle="1" w:styleId="73">
    <w:name w:val="Footnotes"/>
    <w:basedOn w:val="1"/>
    <w:qFormat/>
    <w:uiPriority w:val="0"/>
    <w:pPr>
      <w:suppressAutoHyphens w:val="0"/>
      <w:spacing w:before="120" w:after="0" w:line="360" w:lineRule="auto"/>
      <w:ind w:left="482" w:leftChars="0" w:hanging="482" w:firstLineChars="0"/>
      <w:contextualSpacing/>
      <w:textAlignment w:val="auto"/>
      <w:outlineLvl w:val="9"/>
    </w:pPr>
    <w:rPr>
      <w:rFonts w:ascii="Times New Roman" w:hAnsi="Times New Roman" w:eastAsia="Times New Roman" w:cs="Times New Roman"/>
      <w:position w:val="0"/>
      <w:szCs w:val="24"/>
      <w:lang w:val="en-GB" w:eastAsia="en-GB"/>
    </w:rPr>
  </w:style>
  <w:style w:type="paragraph" w:customStyle="1" w:styleId="74">
    <w:name w:val="Notes on contributors"/>
    <w:basedOn w:val="1"/>
    <w:qFormat/>
    <w:uiPriority w:val="0"/>
    <w:pPr>
      <w:suppressAutoHyphens w:val="0"/>
      <w:spacing w:before="240" w:after="0" w:line="360" w:lineRule="auto"/>
      <w:ind w:left="0" w:leftChars="0" w:firstLine="0" w:firstLineChars="0"/>
      <w:textAlignment w:val="auto"/>
      <w:outlineLvl w:val="9"/>
    </w:pPr>
    <w:rPr>
      <w:rFonts w:ascii="Times New Roman" w:hAnsi="Times New Roman" w:eastAsia="Times New Roman" w:cs="Times New Roman"/>
      <w:position w:val="0"/>
      <w:szCs w:val="24"/>
      <w:lang w:val="en-GB" w:eastAsia="en-GB"/>
    </w:rPr>
  </w:style>
  <w:style w:type="paragraph" w:customStyle="1" w:styleId="75">
    <w:name w:val="Normal paragraph style"/>
    <w:basedOn w:val="1"/>
    <w:next w:val="1"/>
    <w:uiPriority w:val="0"/>
    <w:pPr>
      <w:suppressAutoHyphens w:val="0"/>
      <w:spacing w:after="0" w:line="480" w:lineRule="auto"/>
      <w:ind w:left="0" w:leftChars="0" w:firstLine="0" w:firstLineChars="0"/>
      <w:textAlignment w:val="auto"/>
      <w:outlineLvl w:val="9"/>
    </w:pPr>
    <w:rPr>
      <w:rFonts w:ascii="Times New Roman" w:hAnsi="Times New Roman" w:eastAsia="Times New Roman" w:cs="Times New Roman"/>
      <w:position w:val="0"/>
      <w:sz w:val="24"/>
      <w:szCs w:val="24"/>
      <w:lang w:val="en-GB" w:eastAsia="en-GB"/>
    </w:rPr>
  </w:style>
  <w:style w:type="paragraph" w:customStyle="1" w:styleId="76">
    <w:name w:val="References"/>
    <w:basedOn w:val="1"/>
    <w:qFormat/>
    <w:uiPriority w:val="0"/>
    <w:pPr>
      <w:suppressAutoHyphens w:val="0"/>
      <w:spacing w:before="120" w:after="0" w:line="360" w:lineRule="auto"/>
      <w:ind w:left="720" w:leftChars="0" w:hanging="720" w:firstLineChars="0"/>
      <w:contextualSpacing/>
      <w:textAlignment w:val="auto"/>
      <w:outlineLvl w:val="9"/>
    </w:pPr>
    <w:rPr>
      <w:rFonts w:ascii="Times New Roman" w:hAnsi="Times New Roman" w:eastAsia="Times New Roman" w:cs="Times New Roman"/>
      <w:position w:val="0"/>
      <w:sz w:val="24"/>
      <w:szCs w:val="24"/>
      <w:lang w:val="en-GB" w:eastAsia="en-GB"/>
    </w:rPr>
  </w:style>
  <w:style w:type="paragraph" w:customStyle="1" w:styleId="77">
    <w:name w:val="Subject codes"/>
    <w:basedOn w:val="65"/>
    <w:next w:val="57"/>
    <w:qFormat/>
    <w:uiPriority w:val="0"/>
  </w:style>
  <w:style w:type="character" w:customStyle="1" w:styleId="78">
    <w:name w:val="Heading 2 Char"/>
    <w:basedOn w:val="8"/>
    <w:link w:val="3"/>
    <w:qFormat/>
    <w:uiPriority w:val="9"/>
    <w:rPr>
      <w:b/>
      <w:position w:val="-1"/>
      <w:sz w:val="36"/>
      <w:szCs w:val="36"/>
    </w:rPr>
  </w:style>
  <w:style w:type="character" w:customStyle="1" w:styleId="79">
    <w:name w:val="Heading 3 Char"/>
    <w:basedOn w:val="8"/>
    <w:link w:val="4"/>
    <w:uiPriority w:val="9"/>
    <w:rPr>
      <w:b/>
      <w:position w:val="-1"/>
      <w:sz w:val="28"/>
      <w:szCs w:val="28"/>
    </w:rPr>
  </w:style>
  <w:style w:type="paragraph" w:customStyle="1" w:styleId="80">
    <w:name w:val="Bulleted list"/>
    <w:basedOn w:val="57"/>
    <w:next w:val="57"/>
    <w:qFormat/>
    <w:uiPriority w:val="0"/>
    <w:pPr>
      <w:widowControl/>
      <w:numPr>
        <w:ilvl w:val="0"/>
        <w:numId w:val="2"/>
      </w:numPr>
      <w:spacing w:after="240"/>
      <w:contextualSpacing/>
    </w:pPr>
  </w:style>
  <w:style w:type="character" w:customStyle="1" w:styleId="81">
    <w:name w:val="Heading 4 Char"/>
    <w:basedOn w:val="8"/>
    <w:link w:val="5"/>
    <w:qFormat/>
    <w:uiPriority w:val="0"/>
    <w:rPr>
      <w:b/>
      <w:position w:val="-1"/>
      <w:sz w:val="24"/>
      <w:szCs w:val="24"/>
    </w:rPr>
  </w:style>
  <w:style w:type="paragraph" w:customStyle="1" w:styleId="82">
    <w:name w:val="Heading 4 + Paragraph"/>
    <w:basedOn w:val="57"/>
    <w:next w:val="58"/>
    <w:qFormat/>
    <w:uiPriority w:val="0"/>
    <w:pPr>
      <w:widowControl/>
      <w:spacing w:before="360"/>
    </w:pPr>
  </w:style>
  <w:style w:type="character" w:customStyle="1" w:styleId="83">
    <w:name w:val="New paragraph Char"/>
    <w:link w:val="58"/>
    <w:qFormat/>
    <w:uiPriority w:val="0"/>
    <w:rPr>
      <w:rFonts w:ascii="Times New Roman" w:hAnsi="Times New Roman" w:eastAsia="Times New Roman" w:cs="Times New Roman"/>
      <w:sz w:val="24"/>
      <w:szCs w:val="24"/>
      <w:lang w:val="en-GB" w:eastAsia="en-GB"/>
    </w:rPr>
  </w:style>
  <w:style w:type="character" w:customStyle="1" w:styleId="84">
    <w:name w:val="Title Char"/>
    <w:basedOn w:val="8"/>
    <w:link w:val="29"/>
    <w:qFormat/>
    <w:uiPriority w:val="10"/>
    <w:rPr>
      <w:b/>
      <w:position w:val="-1"/>
      <w:sz w:val="72"/>
      <w:szCs w:val="72"/>
    </w:rPr>
  </w:style>
  <w:style w:type="paragraph" w:customStyle="1" w:styleId="85">
    <w:name w:val="Table Paragraph"/>
    <w:basedOn w:val="1"/>
    <w:qFormat/>
    <w:uiPriority w:val="1"/>
    <w:pPr>
      <w:widowControl w:val="0"/>
      <w:suppressAutoHyphens w:val="0"/>
      <w:autoSpaceDE w:val="0"/>
      <w:autoSpaceDN w:val="0"/>
      <w:spacing w:after="0" w:line="160" w:lineRule="exact"/>
      <w:ind w:left="0" w:leftChars="0" w:firstLine="0" w:firstLineChars="0"/>
      <w:jc w:val="center"/>
      <w:textAlignment w:val="auto"/>
      <w:outlineLvl w:val="9"/>
    </w:pPr>
    <w:rPr>
      <w:rFonts w:ascii="Trebuchet MS" w:hAnsi="Trebuchet MS" w:eastAsia="Trebuchet MS" w:cs="Trebuchet MS"/>
      <w:position w:val="0"/>
    </w:rPr>
  </w:style>
  <w:style w:type="character" w:customStyle="1" w:styleId="86">
    <w:name w:val="Author names 字符"/>
    <w:basedOn w:val="8"/>
    <w:link w:val="61"/>
    <w:qFormat/>
    <w:uiPriority w:val="0"/>
    <w:rPr>
      <w:rFonts w:ascii="Times New Roman" w:hAnsi="Times New Roman" w:eastAsia="Times New Roman" w:cs="Times New Roman"/>
      <w:sz w:val="28"/>
      <w:szCs w:val="24"/>
      <w:lang w:val="en-GB" w:eastAsia="en-GB"/>
    </w:rPr>
  </w:style>
  <w:style w:type="character" w:customStyle="1" w:styleId="87">
    <w:name w:val="Numbered list Char"/>
    <w:link w:val="68"/>
    <w:qFormat/>
    <w:uiPriority w:val="0"/>
    <w:rPr>
      <w:rFonts w:ascii="Times New Roman" w:hAnsi="Times New Roman" w:eastAsia="Times New Roman" w:cs="Times New Roman"/>
      <w:sz w:val="24"/>
      <w:szCs w:val="24"/>
      <w:lang w:val="en-GB" w:eastAsia="en-GB"/>
    </w:rPr>
  </w:style>
  <w:style w:type="character" w:customStyle="1" w:styleId="88">
    <w:name w:val="未处理的提及1"/>
    <w:basedOn w:val="8"/>
    <w:semiHidden/>
    <w:unhideWhenUsed/>
    <w:qFormat/>
    <w:uiPriority w:val="99"/>
    <w:rPr>
      <w:color w:val="605E5C"/>
      <w:shd w:val="clear" w:color="auto" w:fill="E1DFDD"/>
    </w:rPr>
  </w:style>
  <w:style w:type="paragraph" w:customStyle="1" w:styleId="89">
    <w:name w:val="修订1"/>
    <w:hidden/>
    <w:unhideWhenUsed/>
    <w:qFormat/>
    <w:uiPriority w:val="99"/>
    <w:pPr>
      <w:spacing w:after="0" w:line="240" w:lineRule="auto"/>
    </w:pPr>
    <w:rPr>
      <w:rFonts w:ascii="Times New Roman" w:hAnsi="Times New Roman" w:eastAsia="Times New Roman" w:cs="Times New Roman"/>
      <w:sz w:val="24"/>
      <w:szCs w:val="24"/>
      <w:lang w:val="en-GB" w:eastAsia="en-GB" w:bidi="ar-SA"/>
    </w:rPr>
  </w:style>
  <w:style w:type="character" w:customStyle="1" w:styleId="90">
    <w:name w:val="未处理的提及2"/>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24</Pages>
  <Words>8543</Words>
  <Characters>48701</Characters>
  <Lines>405</Lines>
  <Paragraphs>114</Paragraphs>
  <TotalTime>6</TotalTime>
  <ScaleCrop>false</ScaleCrop>
  <LinksUpToDate>false</LinksUpToDate>
  <CharactersWithSpaces>57130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2025-10-02T14:11:00Z</dcterms:created>
  <dc:creator>user</dc:creator>
  <cp:lastModifiedBy>Aznie CR</cp:lastModifiedBy>
  <dcterms:modified xsi:type="dcterms:W3CDTF">2025-10-16T08:43:24Z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748CDC09DD574BEC936B92020D95E49E_13</vt:lpwstr>
  </property>
</Properties>
</file>