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63025" w14:textId="77777777" w:rsidR="00812CB1" w:rsidRPr="00287FDF" w:rsidRDefault="00A43E67" w:rsidP="00287FDF">
      <w:pPr>
        <w:spacing w:after="0" w:line="240" w:lineRule="auto"/>
        <w:ind w:firstLine="0"/>
        <w:jc w:val="center"/>
        <w:rPr>
          <w:rFonts w:ascii="Times New Roman" w:eastAsia="Times New Roman" w:hAnsi="Times New Roman" w:cs="Times New Roman"/>
          <w:b/>
          <w:sz w:val="28"/>
          <w:szCs w:val="28"/>
        </w:rPr>
      </w:pPr>
      <w:r w:rsidRPr="00287FDF">
        <w:rPr>
          <w:rFonts w:ascii="Times New Roman" w:eastAsia="Times New Roman" w:hAnsi="Times New Roman" w:cs="Times New Roman"/>
          <w:b/>
          <w:sz w:val="28"/>
          <w:szCs w:val="28"/>
        </w:rPr>
        <w:t xml:space="preserve">Developing a strategic framework for the educational development of </w:t>
      </w:r>
      <w:proofErr w:type="spellStart"/>
      <w:r w:rsidRPr="00287FDF">
        <w:rPr>
          <w:rFonts w:ascii="Times New Roman" w:eastAsia="Times New Roman" w:hAnsi="Times New Roman" w:cs="Times New Roman"/>
          <w:b/>
          <w:sz w:val="28"/>
          <w:szCs w:val="28"/>
        </w:rPr>
        <w:t>Rohingya</w:t>
      </w:r>
      <w:proofErr w:type="spellEnd"/>
      <w:r w:rsidRPr="00287FDF">
        <w:rPr>
          <w:rFonts w:ascii="Times New Roman" w:eastAsia="Times New Roman" w:hAnsi="Times New Roman" w:cs="Times New Roman"/>
          <w:b/>
          <w:sz w:val="28"/>
          <w:szCs w:val="28"/>
        </w:rPr>
        <w:t xml:space="preserve"> refugees in Malaysia: An ISM-MICMAC approach</w:t>
      </w:r>
    </w:p>
    <w:p w14:paraId="0F920204" w14:textId="77777777" w:rsidR="00812CB1" w:rsidRPr="00287FDF" w:rsidRDefault="00812CB1" w:rsidP="00287FDF">
      <w:pPr>
        <w:pBdr>
          <w:top w:val="nil"/>
          <w:left w:val="nil"/>
          <w:bottom w:val="nil"/>
          <w:right w:val="nil"/>
          <w:between w:val="nil"/>
        </w:pBdr>
        <w:spacing w:after="0" w:line="240" w:lineRule="auto"/>
        <w:ind w:left="-4" w:hanging="2"/>
        <w:jc w:val="center"/>
        <w:rPr>
          <w:rFonts w:ascii="Times New Roman" w:eastAsia="Times New Roman" w:hAnsi="Times New Roman" w:cs="Times New Roman"/>
          <w:sz w:val="24"/>
          <w:szCs w:val="24"/>
        </w:rPr>
      </w:pPr>
    </w:p>
    <w:p w14:paraId="6F640F9E" w14:textId="77777777" w:rsidR="00812CB1" w:rsidRPr="00287FDF" w:rsidRDefault="00A43E67" w:rsidP="00287FDF">
      <w:pPr>
        <w:spacing w:after="0" w:line="240" w:lineRule="auto"/>
        <w:ind w:firstLine="0"/>
        <w:jc w:val="center"/>
        <w:rPr>
          <w:rFonts w:ascii="Times New Roman" w:eastAsia="Times New Roman" w:hAnsi="Times New Roman" w:cs="Times New Roman"/>
          <w:sz w:val="24"/>
          <w:szCs w:val="24"/>
          <w:vertAlign w:val="superscript"/>
        </w:rPr>
      </w:pPr>
      <w:proofErr w:type="spellStart"/>
      <w:r w:rsidRPr="00287FDF">
        <w:rPr>
          <w:rFonts w:ascii="Times New Roman" w:eastAsia="Times New Roman" w:hAnsi="Times New Roman" w:cs="Times New Roman"/>
          <w:sz w:val="24"/>
          <w:szCs w:val="24"/>
        </w:rPr>
        <w:t>Mashitah</w:t>
      </w:r>
      <w:proofErr w:type="spellEnd"/>
      <w:r w:rsidRPr="00287FDF">
        <w:rPr>
          <w:rFonts w:ascii="Times New Roman" w:eastAsia="Times New Roman" w:hAnsi="Times New Roman" w:cs="Times New Roman"/>
          <w:sz w:val="24"/>
          <w:szCs w:val="24"/>
        </w:rPr>
        <w:t xml:space="preserve"> Sabdin</w:t>
      </w:r>
      <w:r w:rsidRPr="00287FDF">
        <w:rPr>
          <w:rFonts w:ascii="Times New Roman" w:eastAsia="Times New Roman" w:hAnsi="Times New Roman" w:cs="Times New Roman"/>
          <w:sz w:val="24"/>
          <w:szCs w:val="24"/>
          <w:vertAlign w:val="superscript"/>
        </w:rPr>
        <w:t>1</w:t>
      </w:r>
      <w:r w:rsidRPr="00287FDF">
        <w:rPr>
          <w:rFonts w:ascii="Times New Roman" w:eastAsia="Times New Roman" w:hAnsi="Times New Roman" w:cs="Times New Roman"/>
          <w:sz w:val="24"/>
          <w:szCs w:val="24"/>
        </w:rPr>
        <w:t xml:space="preserve">, </w:t>
      </w:r>
      <w:proofErr w:type="spellStart"/>
      <w:r w:rsidRPr="00287FDF">
        <w:rPr>
          <w:rFonts w:ascii="Times New Roman" w:eastAsia="Times New Roman" w:hAnsi="Times New Roman" w:cs="Times New Roman"/>
          <w:sz w:val="24"/>
          <w:szCs w:val="24"/>
        </w:rPr>
        <w:t>Mohd</w:t>
      </w:r>
      <w:proofErr w:type="spellEnd"/>
      <w:r w:rsidRPr="00287FDF">
        <w:rPr>
          <w:rFonts w:ascii="Times New Roman" w:eastAsia="Times New Roman" w:hAnsi="Times New Roman" w:cs="Times New Roman"/>
          <w:sz w:val="24"/>
          <w:szCs w:val="24"/>
        </w:rPr>
        <w:t xml:space="preserve"> </w:t>
      </w:r>
      <w:proofErr w:type="spellStart"/>
      <w:r w:rsidRPr="00287FDF">
        <w:rPr>
          <w:rFonts w:ascii="Times New Roman" w:eastAsia="Times New Roman" w:hAnsi="Times New Roman" w:cs="Times New Roman"/>
          <w:sz w:val="24"/>
          <w:szCs w:val="24"/>
        </w:rPr>
        <w:t>Ikhwan</w:t>
      </w:r>
      <w:proofErr w:type="spellEnd"/>
      <w:r w:rsidRPr="00287FDF">
        <w:rPr>
          <w:rFonts w:ascii="Times New Roman" w:eastAsia="Times New Roman" w:hAnsi="Times New Roman" w:cs="Times New Roman"/>
          <w:sz w:val="24"/>
          <w:szCs w:val="24"/>
        </w:rPr>
        <w:t xml:space="preserve"> </w:t>
      </w:r>
      <w:proofErr w:type="spellStart"/>
      <w:r w:rsidRPr="00287FDF">
        <w:rPr>
          <w:rFonts w:ascii="Times New Roman" w:eastAsia="Times New Roman" w:hAnsi="Times New Roman" w:cs="Times New Roman"/>
          <w:sz w:val="24"/>
          <w:szCs w:val="24"/>
        </w:rPr>
        <w:t>Izzat</w:t>
      </w:r>
      <w:proofErr w:type="spellEnd"/>
      <w:r w:rsidRPr="00287FDF">
        <w:rPr>
          <w:rFonts w:ascii="Times New Roman" w:eastAsia="Times New Roman" w:hAnsi="Times New Roman" w:cs="Times New Roman"/>
          <w:sz w:val="24"/>
          <w:szCs w:val="24"/>
        </w:rPr>
        <w:t xml:space="preserve"> Zulkefli</w:t>
      </w:r>
      <w:r w:rsidRPr="00287FDF">
        <w:rPr>
          <w:rFonts w:ascii="Times New Roman" w:eastAsia="Times New Roman" w:hAnsi="Times New Roman" w:cs="Times New Roman"/>
          <w:sz w:val="24"/>
          <w:szCs w:val="24"/>
          <w:vertAlign w:val="superscript"/>
        </w:rPr>
        <w:t>2</w:t>
      </w:r>
      <w:r w:rsidRPr="00287FDF">
        <w:rPr>
          <w:rFonts w:ascii="Times New Roman" w:eastAsia="Times New Roman" w:hAnsi="Times New Roman" w:cs="Times New Roman"/>
          <w:sz w:val="24"/>
          <w:szCs w:val="24"/>
        </w:rPr>
        <w:t xml:space="preserve">, Farrah </w:t>
      </w:r>
      <w:proofErr w:type="spellStart"/>
      <w:r w:rsidRPr="00287FDF">
        <w:rPr>
          <w:rFonts w:ascii="Times New Roman" w:eastAsia="Times New Roman" w:hAnsi="Times New Roman" w:cs="Times New Roman"/>
          <w:sz w:val="24"/>
          <w:szCs w:val="24"/>
        </w:rPr>
        <w:t>Ilyani</w:t>
      </w:r>
      <w:proofErr w:type="spellEnd"/>
      <w:r w:rsidRPr="00287FDF">
        <w:rPr>
          <w:rFonts w:ascii="Times New Roman" w:eastAsia="Times New Roman" w:hAnsi="Times New Roman" w:cs="Times New Roman"/>
          <w:sz w:val="24"/>
          <w:szCs w:val="24"/>
        </w:rPr>
        <w:t xml:space="preserve"> </w:t>
      </w:r>
      <w:proofErr w:type="spellStart"/>
      <w:r w:rsidRPr="00287FDF">
        <w:rPr>
          <w:rFonts w:ascii="Times New Roman" w:eastAsia="Times New Roman" w:hAnsi="Times New Roman" w:cs="Times New Roman"/>
          <w:sz w:val="24"/>
          <w:szCs w:val="24"/>
        </w:rPr>
        <w:t>Che</w:t>
      </w:r>
      <w:proofErr w:type="spellEnd"/>
      <w:r w:rsidRPr="00287FDF">
        <w:rPr>
          <w:rFonts w:ascii="Times New Roman" w:eastAsia="Times New Roman" w:hAnsi="Times New Roman" w:cs="Times New Roman"/>
          <w:sz w:val="24"/>
          <w:szCs w:val="24"/>
        </w:rPr>
        <w:t xml:space="preserve"> Jamaludin</w:t>
      </w:r>
      <w:r w:rsidRPr="00287FDF">
        <w:rPr>
          <w:rFonts w:ascii="Times New Roman" w:eastAsia="Times New Roman" w:hAnsi="Times New Roman" w:cs="Times New Roman"/>
          <w:sz w:val="24"/>
          <w:szCs w:val="24"/>
          <w:vertAlign w:val="superscript"/>
        </w:rPr>
        <w:t>2</w:t>
      </w:r>
      <w:r w:rsidRPr="00287FDF">
        <w:rPr>
          <w:rFonts w:ascii="Times New Roman" w:eastAsia="Times New Roman" w:hAnsi="Times New Roman" w:cs="Times New Roman"/>
          <w:sz w:val="24"/>
          <w:szCs w:val="24"/>
        </w:rPr>
        <w:t xml:space="preserve">, </w:t>
      </w:r>
      <w:proofErr w:type="spellStart"/>
      <w:r w:rsidRPr="00287FDF">
        <w:rPr>
          <w:rFonts w:ascii="Times New Roman" w:eastAsia="Times New Roman" w:hAnsi="Times New Roman" w:cs="Times New Roman"/>
          <w:sz w:val="24"/>
          <w:szCs w:val="24"/>
        </w:rPr>
        <w:t>Syaaibah</w:t>
      </w:r>
      <w:proofErr w:type="spellEnd"/>
      <w:r w:rsidRPr="00287FDF">
        <w:rPr>
          <w:rFonts w:ascii="Times New Roman" w:eastAsia="Times New Roman" w:hAnsi="Times New Roman" w:cs="Times New Roman"/>
          <w:sz w:val="24"/>
          <w:szCs w:val="24"/>
        </w:rPr>
        <w:t xml:space="preserve"> Zulkipli</w:t>
      </w:r>
      <w:r w:rsidRPr="00287FDF">
        <w:rPr>
          <w:rFonts w:ascii="Times New Roman" w:eastAsia="Times New Roman" w:hAnsi="Times New Roman" w:cs="Times New Roman"/>
          <w:sz w:val="24"/>
          <w:szCs w:val="24"/>
          <w:vertAlign w:val="superscript"/>
        </w:rPr>
        <w:t>2</w:t>
      </w:r>
    </w:p>
    <w:p w14:paraId="6CB81B21" w14:textId="77777777" w:rsidR="00812CB1" w:rsidRPr="00287FDF" w:rsidRDefault="00A43E67" w:rsidP="00287FDF">
      <w:pPr>
        <w:spacing w:after="0" w:line="240" w:lineRule="auto"/>
        <w:ind w:firstLine="0"/>
        <w:jc w:val="center"/>
        <w:rPr>
          <w:rFonts w:ascii="Times New Roman" w:eastAsia="Times New Roman" w:hAnsi="Times New Roman" w:cs="Times New Roman"/>
          <w:sz w:val="24"/>
          <w:szCs w:val="24"/>
        </w:rPr>
      </w:pPr>
      <w:r w:rsidRPr="00287FDF">
        <w:rPr>
          <w:rFonts w:ascii="Times New Roman" w:eastAsia="Times New Roman" w:hAnsi="Times New Roman" w:cs="Times New Roman"/>
          <w:sz w:val="24"/>
          <w:szCs w:val="24"/>
        </w:rPr>
        <w:t xml:space="preserve"> </w:t>
      </w:r>
    </w:p>
    <w:p w14:paraId="6DF5AF35" w14:textId="58FF05C0" w:rsidR="00812CB1" w:rsidRPr="00287FDF" w:rsidRDefault="00A43E67" w:rsidP="00287FDF">
      <w:pPr>
        <w:spacing w:after="0" w:line="240" w:lineRule="auto"/>
        <w:ind w:firstLine="0"/>
        <w:jc w:val="center"/>
        <w:rPr>
          <w:rFonts w:ascii="Times New Roman" w:eastAsia="Times New Roman" w:hAnsi="Times New Roman" w:cs="Times New Roman"/>
          <w:sz w:val="24"/>
          <w:szCs w:val="24"/>
        </w:rPr>
      </w:pPr>
      <w:r w:rsidRPr="00287FDF">
        <w:rPr>
          <w:rFonts w:ascii="Times New Roman" w:eastAsia="Times New Roman" w:hAnsi="Times New Roman" w:cs="Times New Roman"/>
          <w:sz w:val="24"/>
          <w:szCs w:val="24"/>
          <w:vertAlign w:val="superscript"/>
        </w:rPr>
        <w:t>1</w:t>
      </w:r>
      <w:r w:rsidRPr="00287FDF">
        <w:rPr>
          <w:rFonts w:ascii="Times New Roman" w:eastAsia="Times New Roman" w:hAnsi="Times New Roman" w:cs="Times New Roman"/>
          <w:sz w:val="24"/>
          <w:szCs w:val="24"/>
        </w:rPr>
        <w:t xml:space="preserve">Faculty of Science, Management &amp; Computing, </w:t>
      </w:r>
      <w:proofErr w:type="spellStart"/>
      <w:r w:rsidRPr="00287FDF">
        <w:rPr>
          <w:rFonts w:ascii="Times New Roman" w:eastAsia="Times New Roman" w:hAnsi="Times New Roman" w:cs="Times New Roman"/>
          <w:sz w:val="24"/>
          <w:szCs w:val="24"/>
        </w:rPr>
        <w:t>Universiti</w:t>
      </w:r>
      <w:proofErr w:type="spellEnd"/>
      <w:r w:rsidRPr="00287FDF">
        <w:rPr>
          <w:rFonts w:ascii="Times New Roman" w:eastAsia="Times New Roman" w:hAnsi="Times New Roman" w:cs="Times New Roman"/>
          <w:sz w:val="24"/>
          <w:szCs w:val="24"/>
        </w:rPr>
        <w:t xml:space="preserve"> </w:t>
      </w:r>
      <w:proofErr w:type="spellStart"/>
      <w:r w:rsidRPr="00287FDF">
        <w:rPr>
          <w:rFonts w:ascii="Times New Roman" w:eastAsia="Times New Roman" w:hAnsi="Times New Roman" w:cs="Times New Roman"/>
          <w:sz w:val="24"/>
          <w:szCs w:val="24"/>
        </w:rPr>
        <w:t>Teknologi</w:t>
      </w:r>
      <w:proofErr w:type="spellEnd"/>
      <w:r w:rsidRPr="00287FDF">
        <w:rPr>
          <w:rFonts w:ascii="Times New Roman" w:eastAsia="Times New Roman" w:hAnsi="Times New Roman" w:cs="Times New Roman"/>
          <w:sz w:val="24"/>
          <w:szCs w:val="24"/>
        </w:rPr>
        <w:t xml:space="preserve"> PETRONAS</w:t>
      </w:r>
    </w:p>
    <w:p w14:paraId="054F6597" w14:textId="4A8C7AA1" w:rsidR="00812CB1" w:rsidRPr="00287FDF" w:rsidRDefault="00A43E67" w:rsidP="00287FDF">
      <w:pPr>
        <w:spacing w:after="0" w:line="240" w:lineRule="auto"/>
        <w:ind w:firstLine="0"/>
        <w:jc w:val="center"/>
        <w:rPr>
          <w:rFonts w:ascii="Times New Roman" w:eastAsia="Times New Roman" w:hAnsi="Times New Roman" w:cs="Times New Roman"/>
          <w:sz w:val="24"/>
          <w:szCs w:val="24"/>
        </w:rPr>
      </w:pPr>
      <w:r w:rsidRPr="00287FDF">
        <w:rPr>
          <w:rFonts w:ascii="Times New Roman" w:eastAsia="Times New Roman" w:hAnsi="Times New Roman" w:cs="Times New Roman"/>
          <w:sz w:val="24"/>
          <w:szCs w:val="24"/>
          <w:vertAlign w:val="superscript"/>
        </w:rPr>
        <w:t>2</w:t>
      </w:r>
      <w:r w:rsidRPr="00287FDF">
        <w:rPr>
          <w:rFonts w:ascii="Times New Roman" w:eastAsia="Times New Roman" w:hAnsi="Times New Roman" w:cs="Times New Roman"/>
          <w:sz w:val="24"/>
          <w:szCs w:val="24"/>
        </w:rPr>
        <w:t xml:space="preserve">Department of Management, </w:t>
      </w:r>
      <w:proofErr w:type="spellStart"/>
      <w:r w:rsidRPr="00287FDF">
        <w:rPr>
          <w:rFonts w:ascii="Times New Roman" w:eastAsia="Times New Roman" w:hAnsi="Times New Roman" w:cs="Times New Roman"/>
          <w:sz w:val="24"/>
          <w:szCs w:val="24"/>
        </w:rPr>
        <w:t>Universiti</w:t>
      </w:r>
      <w:proofErr w:type="spellEnd"/>
      <w:r w:rsidRPr="00287FDF">
        <w:rPr>
          <w:rFonts w:ascii="Times New Roman" w:eastAsia="Times New Roman" w:hAnsi="Times New Roman" w:cs="Times New Roman"/>
          <w:sz w:val="24"/>
          <w:szCs w:val="24"/>
        </w:rPr>
        <w:t xml:space="preserve"> </w:t>
      </w:r>
      <w:proofErr w:type="spellStart"/>
      <w:r w:rsidRPr="00287FDF">
        <w:rPr>
          <w:rFonts w:ascii="Times New Roman" w:eastAsia="Times New Roman" w:hAnsi="Times New Roman" w:cs="Times New Roman"/>
          <w:sz w:val="24"/>
          <w:szCs w:val="24"/>
        </w:rPr>
        <w:t>Teknologi</w:t>
      </w:r>
      <w:proofErr w:type="spellEnd"/>
      <w:r w:rsidRPr="00287FDF">
        <w:rPr>
          <w:rFonts w:ascii="Times New Roman" w:eastAsia="Times New Roman" w:hAnsi="Times New Roman" w:cs="Times New Roman"/>
          <w:sz w:val="24"/>
          <w:szCs w:val="24"/>
        </w:rPr>
        <w:t xml:space="preserve"> PETRONAS</w:t>
      </w:r>
    </w:p>
    <w:p w14:paraId="51F90388" w14:textId="77777777" w:rsidR="00812CB1" w:rsidRPr="00287FDF" w:rsidRDefault="00A43E67" w:rsidP="00287FDF">
      <w:pPr>
        <w:spacing w:after="0" w:line="240" w:lineRule="auto"/>
        <w:ind w:firstLine="0"/>
        <w:jc w:val="center"/>
        <w:rPr>
          <w:rFonts w:ascii="Times New Roman" w:eastAsia="Times New Roman" w:hAnsi="Times New Roman" w:cs="Times New Roman"/>
          <w:sz w:val="24"/>
          <w:szCs w:val="24"/>
        </w:rPr>
      </w:pPr>
      <w:r w:rsidRPr="00287FDF">
        <w:rPr>
          <w:rFonts w:ascii="Times New Roman" w:eastAsia="Times New Roman" w:hAnsi="Times New Roman" w:cs="Times New Roman"/>
          <w:sz w:val="24"/>
          <w:szCs w:val="24"/>
        </w:rPr>
        <w:t xml:space="preserve"> </w:t>
      </w:r>
    </w:p>
    <w:p w14:paraId="590962A7" w14:textId="77777777" w:rsidR="00812CB1" w:rsidRPr="00287FDF" w:rsidRDefault="00A43E67" w:rsidP="00287FDF">
      <w:pPr>
        <w:spacing w:after="0" w:line="240" w:lineRule="auto"/>
        <w:ind w:firstLine="0"/>
        <w:jc w:val="center"/>
        <w:rPr>
          <w:rFonts w:ascii="Times New Roman" w:eastAsia="Times New Roman" w:hAnsi="Times New Roman" w:cs="Times New Roman"/>
          <w:sz w:val="24"/>
          <w:szCs w:val="24"/>
        </w:rPr>
      </w:pPr>
      <w:r w:rsidRPr="00287FDF">
        <w:rPr>
          <w:rFonts w:ascii="Times New Roman" w:eastAsia="Times New Roman" w:hAnsi="Times New Roman" w:cs="Times New Roman"/>
          <w:sz w:val="24"/>
          <w:szCs w:val="24"/>
        </w:rPr>
        <w:t xml:space="preserve">Correspondence: </w:t>
      </w:r>
      <w:proofErr w:type="spellStart"/>
      <w:r w:rsidRPr="00287FDF">
        <w:rPr>
          <w:rFonts w:ascii="Times New Roman" w:eastAsia="Times New Roman" w:hAnsi="Times New Roman" w:cs="Times New Roman"/>
          <w:sz w:val="24"/>
          <w:szCs w:val="24"/>
        </w:rPr>
        <w:t>Mashitah</w:t>
      </w:r>
      <w:proofErr w:type="spellEnd"/>
      <w:r w:rsidRPr="00287FDF">
        <w:rPr>
          <w:rFonts w:ascii="Times New Roman" w:eastAsia="Times New Roman" w:hAnsi="Times New Roman" w:cs="Times New Roman"/>
          <w:sz w:val="24"/>
          <w:szCs w:val="24"/>
        </w:rPr>
        <w:t xml:space="preserve"> </w:t>
      </w:r>
      <w:proofErr w:type="spellStart"/>
      <w:r w:rsidRPr="00287FDF">
        <w:rPr>
          <w:rFonts w:ascii="Times New Roman" w:eastAsia="Times New Roman" w:hAnsi="Times New Roman" w:cs="Times New Roman"/>
          <w:sz w:val="24"/>
          <w:szCs w:val="24"/>
        </w:rPr>
        <w:t>Sabdin</w:t>
      </w:r>
      <w:proofErr w:type="spellEnd"/>
      <w:r w:rsidRPr="00287FDF">
        <w:rPr>
          <w:rFonts w:ascii="Times New Roman" w:eastAsia="Times New Roman" w:hAnsi="Times New Roman" w:cs="Times New Roman"/>
          <w:sz w:val="24"/>
          <w:szCs w:val="24"/>
        </w:rPr>
        <w:t xml:space="preserve"> (email: mashitah_sabdin@utp.edu.my)</w:t>
      </w:r>
    </w:p>
    <w:p w14:paraId="0E1C3966" w14:textId="77777777" w:rsidR="00812CB1" w:rsidRPr="00287FDF" w:rsidRDefault="00812CB1" w:rsidP="00287FDF">
      <w:pPr>
        <w:spacing w:after="0" w:line="240" w:lineRule="auto"/>
        <w:ind w:firstLine="0"/>
        <w:rPr>
          <w:rFonts w:ascii="Times New Roman" w:eastAsia="Times New Roman" w:hAnsi="Times New Roman" w:cs="Times New Roman"/>
          <w:sz w:val="24"/>
          <w:szCs w:val="24"/>
        </w:rPr>
      </w:pPr>
    </w:p>
    <w:p w14:paraId="6BD2AB3C" w14:textId="77777777" w:rsidR="00812CB1" w:rsidRPr="00287FDF" w:rsidRDefault="00A43E67" w:rsidP="00287FDF">
      <w:pPr>
        <w:spacing w:after="0" w:line="240" w:lineRule="auto"/>
        <w:ind w:left="2" w:hanging="2"/>
        <w:jc w:val="both"/>
        <w:rPr>
          <w:rFonts w:ascii="Times New Roman" w:eastAsia="Times New Roman" w:hAnsi="Times New Roman" w:cs="Times New Roman"/>
          <w:sz w:val="24"/>
          <w:szCs w:val="24"/>
        </w:rPr>
      </w:pPr>
      <w:r w:rsidRPr="00287FDF">
        <w:rPr>
          <w:rFonts w:ascii="Times New Roman" w:eastAsia="Times New Roman" w:hAnsi="Times New Roman" w:cs="Times New Roman"/>
          <w:sz w:val="24"/>
          <w:szCs w:val="24"/>
        </w:rPr>
        <w:t>Received: 9 June 2025; Accepted: 13 July 2025; Published: 20 November 2025</w:t>
      </w:r>
    </w:p>
    <w:p w14:paraId="0C000AF2" w14:textId="77777777" w:rsidR="00812CB1" w:rsidRDefault="00812CB1" w:rsidP="00287FDF">
      <w:pPr>
        <w:spacing w:after="0" w:line="240" w:lineRule="auto"/>
        <w:ind w:hanging="2"/>
        <w:jc w:val="both"/>
        <w:rPr>
          <w:rFonts w:ascii="Times New Roman" w:eastAsia="Times New Roman" w:hAnsi="Times New Roman" w:cs="Times New Roman"/>
          <w:color w:val="000000"/>
          <w:sz w:val="24"/>
          <w:szCs w:val="24"/>
        </w:rPr>
      </w:pPr>
    </w:p>
    <w:p w14:paraId="78B099FC" w14:textId="77777777" w:rsidR="00812CB1" w:rsidRDefault="00A43E67" w:rsidP="00287FDF">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A1061F8" w14:textId="77777777" w:rsidR="00812CB1" w:rsidRDefault="00A43E67" w:rsidP="00287FDF">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518B1FAA" w14:textId="77777777" w:rsidR="00812CB1" w:rsidRDefault="00A43E67" w:rsidP="00287FDF">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614A9BEA" w14:textId="77777777" w:rsidR="00812CB1" w:rsidRDefault="00A43E67" w:rsidP="00287FDF">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Since 2010, the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community in Myanmar has been subjected to ethnic cleansing and genocide, prompting many to flee and seek refuge in neighbouring countries such as Malaysia, Bangladesh and Thailand. However, refugees residing in countries such as Malaysia, which has not ratified the Refugee Convention, face significant challenges in accessing formal education. Limited educational opportunities often result in high dropout rates among refugee children, which previous studies have linked to increased crime and social problems. Thus, this study aims to develop a framework for the educational development of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refugees in Malaysia. The study engaged 12 experts to develop the framework using Interpretive Structural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(ISM) and MICMAC analysis to prioritize and categorize the main contributing factors. The results showed that 11 factors were identified for inclusion in the framework. Further analysis highlighted several critical factors, including ‘Awareness and Cooperation Among the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Community on the Importance of Children’s Education,’ ‘Sustainability of Funds for School Development,’ ‘Fund Management,’ ‘Integrated Curriculum and Syllabus’ and ‘Teaching Staff.’ Among these factors, ‘Awareness and Cooperation Among the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Community on the Importance of Children’s Education’ emerged as the most critical in promoting sustainable educational development. Hence, the framework is designed to serve as a practical guide for relevant stakeholders, such as local authorities and non-governmental organizations (NGOs), to help them better coordinate their efforts and provide accessible and continuous educational opportunities for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refugee children in Malaysia.</w:t>
      </w:r>
    </w:p>
    <w:p w14:paraId="064C5413" w14:textId="77777777" w:rsidR="00812CB1" w:rsidRDefault="00A43E67" w:rsidP="00287FDF">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9421E3E" w14:textId="77777777" w:rsidR="00812CB1" w:rsidRDefault="00A43E67" w:rsidP="00287FDF">
      <w:pPr>
        <w:spacing w:after="0" w:line="240" w:lineRule="auto"/>
        <w:ind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 xml:space="preserve">Educational development, Interpretive Structural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(ISM), Malaysia, MICMAC,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refugees, strategic framework </w:t>
      </w:r>
    </w:p>
    <w:p w14:paraId="388EF2FC" w14:textId="77777777" w:rsidR="00812CB1" w:rsidRDefault="00A43E67" w:rsidP="00287FDF">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F0C8BCE" w14:textId="77777777" w:rsidR="00812CB1" w:rsidRDefault="00A43E67" w:rsidP="00287FDF">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7F5C4B01" w14:textId="77777777" w:rsidR="00812CB1" w:rsidRDefault="00A43E67" w:rsidP="00287FDF">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14:paraId="12B65828" w14:textId="77777777" w:rsidR="00812CB1" w:rsidRDefault="00812CB1" w:rsidP="00287FDF">
      <w:pPr>
        <w:spacing w:after="0" w:line="240" w:lineRule="auto"/>
        <w:ind w:hanging="2"/>
        <w:jc w:val="both"/>
        <w:rPr>
          <w:rFonts w:ascii="Times New Roman" w:eastAsia="Times New Roman" w:hAnsi="Times New Roman" w:cs="Times New Roman"/>
          <w:color w:val="000000"/>
          <w:sz w:val="24"/>
          <w:szCs w:val="24"/>
        </w:rPr>
      </w:pPr>
    </w:p>
    <w:p w14:paraId="7860B47E" w14:textId="77777777" w:rsidR="00812CB1" w:rsidRDefault="00A43E67" w:rsidP="00287FDF">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Malaysia is one of the primary host countries for refugees, particularly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due to its strategic geographic location, accessible entry points and shared Islamic faith (</w:t>
      </w:r>
      <w:proofErr w:type="spellStart"/>
      <w:r>
        <w:rPr>
          <w:rFonts w:ascii="Times New Roman" w:eastAsia="Times New Roman" w:hAnsi="Times New Roman" w:cs="Times New Roman"/>
          <w:sz w:val="24"/>
          <w:szCs w:val="24"/>
        </w:rPr>
        <w:t>Ehmer</w:t>
      </w:r>
      <w:proofErr w:type="spellEnd"/>
      <w:r>
        <w:rPr>
          <w:rFonts w:ascii="Times New Roman" w:eastAsia="Times New Roman" w:hAnsi="Times New Roman" w:cs="Times New Roman"/>
          <w:sz w:val="24"/>
          <w:szCs w:val="24"/>
        </w:rPr>
        <w:t xml:space="preserve"> &amp; Kothari, 2021). As of April 2025, approximately 198,430 refugees and asylum seekers were registered with the United Nations High Commissioner for Refugees (UNHCR) in Malaysia. Of these, 177,110 </w:t>
      </w:r>
      <w:r>
        <w:rPr>
          <w:rFonts w:ascii="Times New Roman" w:eastAsia="Times New Roman" w:hAnsi="Times New Roman" w:cs="Times New Roman"/>
          <w:sz w:val="24"/>
          <w:szCs w:val="24"/>
        </w:rPr>
        <w:lastRenderedPageBreak/>
        <w:t xml:space="preserve">individuals were from Myanmar, including around 116,020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alongside 29,450 Chin and 31,640 from other ethnic groups fleeing conflict or persecution (UNHCR, 2025).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a Muslim minority in Myanmar, have faced systemic ethnic cleansing and genocide since 2010 (O’Brien &amp; </w:t>
      </w:r>
      <w:proofErr w:type="spellStart"/>
      <w:r>
        <w:rPr>
          <w:rFonts w:ascii="Times New Roman" w:eastAsia="Times New Roman" w:hAnsi="Times New Roman" w:cs="Times New Roman"/>
          <w:sz w:val="24"/>
          <w:szCs w:val="24"/>
        </w:rPr>
        <w:t>Hoffstaedter</w:t>
      </w:r>
      <w:proofErr w:type="spellEnd"/>
      <w:r>
        <w:rPr>
          <w:rFonts w:ascii="Times New Roman" w:eastAsia="Times New Roman" w:hAnsi="Times New Roman" w:cs="Times New Roman"/>
          <w:sz w:val="24"/>
          <w:szCs w:val="24"/>
        </w:rPr>
        <w:t xml:space="preserve">, 2020). Myanmar’s discriminatory citizenship laws have rendered nearly all of them stateless, making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the largest stateless ethnic group in the world (</w:t>
      </w:r>
      <w:proofErr w:type="spellStart"/>
      <w:r>
        <w:rPr>
          <w:rFonts w:ascii="Times New Roman" w:eastAsia="Times New Roman" w:hAnsi="Times New Roman" w:cs="Times New Roman"/>
          <w:sz w:val="24"/>
          <w:szCs w:val="24"/>
        </w:rPr>
        <w:t>Haque</w:t>
      </w:r>
      <w:proofErr w:type="spellEnd"/>
      <w:r>
        <w:rPr>
          <w:rFonts w:ascii="Times New Roman" w:eastAsia="Times New Roman" w:hAnsi="Times New Roman" w:cs="Times New Roman"/>
          <w:sz w:val="24"/>
          <w:szCs w:val="24"/>
        </w:rPr>
        <w:t xml:space="preserve"> et al., 2023). Despite not being a signatory to the 1951 Refugee Convention or its 1967 Protocol, Malaysia continues to serve as a major destination for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 (</w:t>
      </w:r>
      <w:proofErr w:type="spellStart"/>
      <w:r>
        <w:rPr>
          <w:rFonts w:ascii="Times New Roman" w:eastAsia="Times New Roman" w:hAnsi="Times New Roman" w:cs="Times New Roman"/>
          <w:sz w:val="24"/>
          <w:szCs w:val="24"/>
        </w:rPr>
        <w:t>Yusoff</w:t>
      </w:r>
      <w:proofErr w:type="spellEnd"/>
      <w:r>
        <w:rPr>
          <w:rFonts w:ascii="Times New Roman" w:eastAsia="Times New Roman" w:hAnsi="Times New Roman" w:cs="Times New Roman"/>
          <w:sz w:val="24"/>
          <w:szCs w:val="24"/>
        </w:rPr>
        <w:t xml:space="preserve"> et al., 2022). However, in the absence of legal recognition and protection under Malaysian law, these refugees, particularly children, face significant vulnerabilities, including limited access to basic education. </w:t>
      </w:r>
    </w:p>
    <w:p w14:paraId="30F94E4B" w14:textId="77777777" w:rsidR="00812CB1" w:rsidRDefault="00A43E67" w:rsidP="00287FD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 children in Malaysia are continuously denied access to formal education, they receive non-formal education through learning centres operated by the UN Refugee Agency and local non-governmental organizations (NGOs) (Lee &amp; </w:t>
      </w:r>
      <w:proofErr w:type="spellStart"/>
      <w:r>
        <w:rPr>
          <w:rFonts w:ascii="Times New Roman" w:eastAsia="Times New Roman" w:hAnsi="Times New Roman" w:cs="Times New Roman"/>
          <w:sz w:val="24"/>
          <w:szCs w:val="24"/>
        </w:rPr>
        <w:t>Hoque</w:t>
      </w:r>
      <w:proofErr w:type="spellEnd"/>
      <w:r>
        <w:rPr>
          <w:rFonts w:ascii="Times New Roman" w:eastAsia="Times New Roman" w:hAnsi="Times New Roman" w:cs="Times New Roman"/>
          <w:sz w:val="24"/>
          <w:szCs w:val="24"/>
        </w:rPr>
        <w:t>, 2024). The educational situation is complex due to their lack of legal recognition, which excludes them from public schooling and forces reliance on community-based and NGO-supported programs (</w:t>
      </w:r>
      <w:proofErr w:type="spellStart"/>
      <w:r>
        <w:rPr>
          <w:rFonts w:ascii="Times New Roman" w:eastAsia="Times New Roman" w:hAnsi="Times New Roman" w:cs="Times New Roman"/>
          <w:sz w:val="24"/>
          <w:szCs w:val="24"/>
        </w:rPr>
        <w:t>Haque</w:t>
      </w:r>
      <w:proofErr w:type="spellEnd"/>
      <w:r>
        <w:rPr>
          <w:rFonts w:ascii="Times New Roman" w:eastAsia="Times New Roman" w:hAnsi="Times New Roman" w:cs="Times New Roman"/>
          <w:sz w:val="24"/>
          <w:szCs w:val="24"/>
        </w:rPr>
        <w:t xml:space="preserve"> et al., 2025). According to UNHCR, approximately 80 percent of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children do not attend public schools due to systemic segregation within the education system (</w:t>
      </w:r>
      <w:proofErr w:type="spellStart"/>
      <w:r>
        <w:rPr>
          <w:rFonts w:ascii="Times New Roman" w:eastAsia="Times New Roman" w:hAnsi="Times New Roman" w:cs="Times New Roman"/>
          <w:sz w:val="24"/>
          <w:szCs w:val="24"/>
        </w:rPr>
        <w:t>Pazil</w:t>
      </w:r>
      <w:proofErr w:type="spellEnd"/>
      <w:r>
        <w:rPr>
          <w:rFonts w:ascii="Times New Roman" w:eastAsia="Times New Roman" w:hAnsi="Times New Roman" w:cs="Times New Roman"/>
          <w:sz w:val="24"/>
          <w:szCs w:val="24"/>
        </w:rPr>
        <w:t xml:space="preserve">, 2020). Only a small proportion of children receive informal education through NGOs, unregistered community schools, religious institutions or private tutoring centres. This limited access is resulting in a generation of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who remain illiterate and face a bleak, uncertain future. In the absence of proper schools for the community, the informal education provided by NGOs is insufficient to adequately prepare students for higher education, including university studies (</w:t>
      </w:r>
      <w:proofErr w:type="spellStart"/>
      <w:r>
        <w:rPr>
          <w:rFonts w:ascii="Times New Roman" w:eastAsia="Times New Roman" w:hAnsi="Times New Roman" w:cs="Times New Roman"/>
          <w:sz w:val="24"/>
          <w:szCs w:val="24"/>
        </w:rPr>
        <w:t>Togoo</w:t>
      </w:r>
      <w:proofErr w:type="spellEnd"/>
      <w:r>
        <w:rPr>
          <w:rFonts w:ascii="Times New Roman" w:eastAsia="Times New Roman" w:hAnsi="Times New Roman" w:cs="Times New Roman"/>
          <w:sz w:val="24"/>
          <w:szCs w:val="24"/>
        </w:rPr>
        <w:t xml:space="preserve"> &amp; Ismail, 2021). Moreover, the lack of a national policy on refugee education in Malaysia has resulted in a fragmented system, leaving many children with poor-quality learning experiences.</w:t>
      </w:r>
    </w:p>
    <w:p w14:paraId="673D6B49" w14:textId="38C8BFBB" w:rsidR="00812CB1" w:rsidRDefault="00A43E67" w:rsidP="00287FD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is a life-saving, life-sustaining and life-transforming process that serves as the foundation for a child’s future. It equips children with the knowledge, understanding and skills needed to build better lives for themselves and their communities (</w:t>
      </w:r>
      <w:proofErr w:type="spellStart"/>
      <w:r>
        <w:rPr>
          <w:rFonts w:ascii="Times New Roman" w:eastAsia="Times New Roman" w:hAnsi="Times New Roman" w:cs="Times New Roman"/>
          <w:sz w:val="24"/>
          <w:szCs w:val="24"/>
        </w:rPr>
        <w:t>Shohel</w:t>
      </w:r>
      <w:proofErr w:type="spellEnd"/>
      <w:r>
        <w:rPr>
          <w:rFonts w:ascii="Times New Roman" w:eastAsia="Times New Roman" w:hAnsi="Times New Roman" w:cs="Times New Roman"/>
          <w:sz w:val="24"/>
          <w:szCs w:val="24"/>
        </w:rPr>
        <w:t>, 2022). Its importance is further underscored by studies indicating that school dropout among refugee children can lead to long-term social issues, including rising crime rates in Malaysia (</w:t>
      </w:r>
      <w:proofErr w:type="spellStart"/>
      <w:r>
        <w:rPr>
          <w:rFonts w:ascii="Times New Roman" w:eastAsia="Times New Roman" w:hAnsi="Times New Roman" w:cs="Times New Roman"/>
          <w:sz w:val="24"/>
          <w:szCs w:val="24"/>
        </w:rPr>
        <w:t>Samsudin</w:t>
      </w:r>
      <w:proofErr w:type="spellEnd"/>
      <w:r>
        <w:rPr>
          <w:rFonts w:ascii="Times New Roman" w:eastAsia="Times New Roman" w:hAnsi="Times New Roman" w:cs="Times New Roman"/>
          <w:sz w:val="24"/>
          <w:szCs w:val="24"/>
        </w:rPr>
        <w:t xml:space="preserve"> &amp; Ismail, 2021). Reports reveal that some refugee children, unable to attend school, become involved in criminal activities such as theft and begging. The presence of begging syndicates in areas like Penang and </w:t>
      </w:r>
      <w:proofErr w:type="spellStart"/>
      <w:r>
        <w:rPr>
          <w:rFonts w:ascii="Times New Roman" w:eastAsia="Times New Roman" w:hAnsi="Times New Roman" w:cs="Times New Roman"/>
          <w:sz w:val="24"/>
          <w:szCs w:val="24"/>
        </w:rPr>
        <w:t>Klang</w:t>
      </w:r>
      <w:proofErr w:type="spellEnd"/>
      <w:r>
        <w:rPr>
          <w:rFonts w:ascii="Times New Roman" w:eastAsia="Times New Roman" w:hAnsi="Times New Roman" w:cs="Times New Roman"/>
          <w:sz w:val="24"/>
          <w:szCs w:val="24"/>
        </w:rPr>
        <w:t xml:space="preserve"> has been partly attributed to this lack of educational opportunity (</w:t>
      </w:r>
      <w:proofErr w:type="spellStart"/>
      <w:r>
        <w:rPr>
          <w:rFonts w:ascii="Times New Roman" w:eastAsia="Times New Roman" w:hAnsi="Times New Roman" w:cs="Times New Roman"/>
          <w:sz w:val="24"/>
          <w:szCs w:val="24"/>
        </w:rPr>
        <w:t>Pazil</w:t>
      </w:r>
      <w:proofErr w:type="spellEnd"/>
      <w:r>
        <w:rPr>
          <w:rFonts w:ascii="Times New Roman" w:eastAsia="Times New Roman" w:hAnsi="Times New Roman" w:cs="Times New Roman"/>
          <w:sz w:val="24"/>
          <w:szCs w:val="24"/>
        </w:rPr>
        <w:t xml:space="preserve">, 2020). Granting educational rights to refugee children can protect them from exploitation, including child labour and can reduce the growing dropout rates among refugee and stateless children. Without intervention, the continued denial of access to quality education threatens to exacerbate the cycle of poverty, marginalization and social exclusion among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 in Malaysia, with long-term implications for national cohesion and human development.</w:t>
      </w:r>
    </w:p>
    <w:p w14:paraId="3A49B9C5" w14:textId="77777777" w:rsidR="00812CB1" w:rsidRDefault="00A43E67" w:rsidP="00287FD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existing literature emphasizes that, in the absence of formal access, alternative educational programmes serve as the main avenue for refugee education in Malaysia. UNHCR, NGOs, community-based organizations and madrassas operate more than 130 community learning centres under a non-formal parallel education system (</w:t>
      </w:r>
      <w:proofErr w:type="spellStart"/>
      <w:r>
        <w:rPr>
          <w:rFonts w:ascii="Times New Roman" w:eastAsia="Times New Roman" w:hAnsi="Times New Roman" w:cs="Times New Roman"/>
          <w:sz w:val="24"/>
          <w:szCs w:val="24"/>
        </w:rPr>
        <w:t>Palik</w:t>
      </w:r>
      <w:proofErr w:type="spellEnd"/>
      <w:r>
        <w:rPr>
          <w:rFonts w:ascii="Times New Roman" w:eastAsia="Times New Roman" w:hAnsi="Times New Roman" w:cs="Times New Roman"/>
          <w:sz w:val="24"/>
          <w:szCs w:val="24"/>
        </w:rPr>
        <w:t xml:space="preserve">, 2020; Todd et al., 2019). These centres rely heavily on donations and international aid and are often managed by NGOs, charities and the refugee community itself. As such, they face significant operational challenges, including funding shortages, staff retention, communication issues with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children and internal cultural and social tensions within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w:t>
      </w:r>
      <w:proofErr w:type="spellStart"/>
      <w:r>
        <w:rPr>
          <w:rFonts w:ascii="Times New Roman" w:eastAsia="Times New Roman" w:hAnsi="Times New Roman" w:cs="Times New Roman"/>
          <w:sz w:val="24"/>
          <w:szCs w:val="24"/>
        </w:rPr>
        <w:t>Samsudin</w:t>
      </w:r>
      <w:proofErr w:type="spellEnd"/>
      <w:r>
        <w:rPr>
          <w:rFonts w:ascii="Times New Roman" w:eastAsia="Times New Roman" w:hAnsi="Times New Roman" w:cs="Times New Roman"/>
          <w:sz w:val="24"/>
          <w:szCs w:val="24"/>
        </w:rPr>
        <w:t xml:space="preserve"> &amp; Ismail, 2022).  These institutions do not receive financial support from the government. For example, while the UNHCR office in Malaysia attempts to allocate some funds, it must also support other learning centres </w:t>
      </w:r>
      <w:r>
        <w:rPr>
          <w:rFonts w:ascii="Times New Roman" w:eastAsia="Times New Roman" w:hAnsi="Times New Roman" w:cs="Times New Roman"/>
          <w:sz w:val="24"/>
          <w:szCs w:val="24"/>
        </w:rPr>
        <w:lastRenderedPageBreak/>
        <w:t>across the country (</w:t>
      </w:r>
      <w:proofErr w:type="spellStart"/>
      <w:r>
        <w:rPr>
          <w:rFonts w:ascii="Times New Roman" w:eastAsia="Times New Roman" w:hAnsi="Times New Roman" w:cs="Times New Roman"/>
          <w:sz w:val="24"/>
          <w:szCs w:val="24"/>
        </w:rPr>
        <w:t>Khairi</w:t>
      </w:r>
      <w:proofErr w:type="spellEnd"/>
      <w:r>
        <w:rPr>
          <w:rFonts w:ascii="Times New Roman" w:eastAsia="Times New Roman" w:hAnsi="Times New Roman" w:cs="Times New Roman"/>
          <w:sz w:val="24"/>
          <w:szCs w:val="24"/>
        </w:rPr>
        <w:t xml:space="preserve"> et al., 2023). Community schools managed by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Organization (RCO) similarly face financial and staffing constraints. One such school employs only three paid teachers (receiving RM1,000–RM1,200 monthly from UNHCR) and three unpaid volunteers to serve 84 students (</w:t>
      </w:r>
      <w:proofErr w:type="spellStart"/>
      <w:r>
        <w:rPr>
          <w:rFonts w:ascii="Times New Roman" w:eastAsia="Times New Roman" w:hAnsi="Times New Roman" w:cs="Times New Roman"/>
          <w:sz w:val="24"/>
          <w:szCs w:val="24"/>
        </w:rPr>
        <w:t>Farzana</w:t>
      </w:r>
      <w:proofErr w:type="spellEnd"/>
      <w:r>
        <w:rPr>
          <w:rFonts w:ascii="Times New Roman" w:eastAsia="Times New Roman" w:hAnsi="Times New Roman" w:cs="Times New Roman"/>
          <w:sz w:val="24"/>
          <w:szCs w:val="24"/>
        </w:rPr>
        <w:t xml:space="preserve"> et al., 2020). These are common challenges faced by community schools in delivering education to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children, highlighting the need for coordinated stakeholder collaboration to improve access. Additionally, most existing studies focus on describing the challenges faced by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 without proposing a strategic, evidence-based educational development framework tailored to the Malaysian context.</w:t>
      </w:r>
    </w:p>
    <w:p w14:paraId="396883C6" w14:textId="77777777" w:rsidR="00812CB1" w:rsidRDefault="00A43E67" w:rsidP="00287FD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urgent need for educational reform, existing programmes for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 in Malaysia remain largely unsustainable due to short-term funding and a lack of stakeholder coordination. These limitations hinder efforts to achieve Sustainable Development Goal (SDG) 4, which focuses on ensuring inclusive and equitable quality education and promoting lifelong learning opportunities for all, particularly vulnerable groups (</w:t>
      </w:r>
      <w:proofErr w:type="spellStart"/>
      <w:r>
        <w:rPr>
          <w:rFonts w:ascii="Times New Roman" w:eastAsia="Times New Roman" w:hAnsi="Times New Roman" w:cs="Times New Roman"/>
          <w:sz w:val="24"/>
          <w:szCs w:val="24"/>
        </w:rPr>
        <w:t>Shohel</w:t>
      </w:r>
      <w:proofErr w:type="spellEnd"/>
      <w:r>
        <w:rPr>
          <w:rFonts w:ascii="Times New Roman" w:eastAsia="Times New Roman" w:hAnsi="Times New Roman" w:cs="Times New Roman"/>
          <w:sz w:val="24"/>
          <w:szCs w:val="24"/>
        </w:rPr>
        <w:t xml:space="preserve">, 2022) such as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 children. Therefore, there is a critical research gap in identifying practical and long-term solutions that can strengthen educational access and outcomes for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children. In response to these challenges, this study aims to develop a strategic framework for the educational development of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 in Malaysia. By addressing this gap, the study contributes not only to academic understanding but also offers practical recommendations to inform future refugee education policy, inter-agency coordination and sustainable educational planning. This framework is expected to guide relevant stakeholders in building a more sustainable, inclusive and coordinated educational system that meets the unique needs of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 children in Malaysia. </w:t>
      </w:r>
    </w:p>
    <w:p w14:paraId="79940829" w14:textId="77777777" w:rsidR="00812CB1" w:rsidRDefault="00812CB1" w:rsidP="00287FDF">
      <w:pPr>
        <w:spacing w:after="0" w:line="240" w:lineRule="auto"/>
        <w:ind w:firstLine="0"/>
        <w:jc w:val="both"/>
        <w:rPr>
          <w:rFonts w:ascii="Times New Roman" w:eastAsia="Times New Roman" w:hAnsi="Times New Roman" w:cs="Times New Roman"/>
          <w:color w:val="000000"/>
          <w:sz w:val="24"/>
          <w:szCs w:val="24"/>
        </w:rPr>
      </w:pPr>
    </w:p>
    <w:p w14:paraId="3F0A06CE" w14:textId="77777777" w:rsidR="00812CB1" w:rsidRDefault="00812CB1" w:rsidP="00287FDF">
      <w:pPr>
        <w:spacing w:after="0" w:line="240" w:lineRule="auto"/>
        <w:ind w:firstLine="0"/>
        <w:jc w:val="both"/>
        <w:rPr>
          <w:rFonts w:ascii="Times New Roman" w:eastAsia="Times New Roman" w:hAnsi="Times New Roman" w:cs="Times New Roman"/>
          <w:color w:val="000000"/>
          <w:sz w:val="24"/>
          <w:szCs w:val="24"/>
        </w:rPr>
      </w:pPr>
    </w:p>
    <w:p w14:paraId="7EB3D4B0" w14:textId="77777777" w:rsidR="00812CB1" w:rsidRDefault="00A43E67" w:rsidP="00287FDF">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w:t>
      </w:r>
    </w:p>
    <w:p w14:paraId="53F36B8F" w14:textId="77777777" w:rsidR="00812CB1" w:rsidRDefault="00A43E67" w:rsidP="00287FDF">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C721E19" w14:textId="08704D91" w:rsidR="00812CB1" w:rsidRDefault="00A43E67" w:rsidP="00287FDF">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employed Interpretive Structural Modelling (ISM) to develop a framework for the educational development of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 in Malaysia, analysing the factors that influence their educational progress. Introduced by Warfield (1973), ISM is a computer-aided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technique designed to solve complex problems by structuring expert knowledge and forming a hierarchy of elements (</w:t>
      </w:r>
      <w:proofErr w:type="spellStart"/>
      <w:r>
        <w:rPr>
          <w:rFonts w:ascii="Times New Roman" w:eastAsia="Times New Roman" w:hAnsi="Times New Roman" w:cs="Times New Roman"/>
          <w:sz w:val="24"/>
          <w:szCs w:val="24"/>
        </w:rPr>
        <w:t>Jamaludin</w:t>
      </w:r>
      <w:proofErr w:type="spellEnd"/>
      <w:r>
        <w:rPr>
          <w:rFonts w:ascii="Times New Roman" w:eastAsia="Times New Roman" w:hAnsi="Times New Roman" w:cs="Times New Roman"/>
          <w:sz w:val="24"/>
          <w:szCs w:val="24"/>
        </w:rPr>
        <w:t xml:space="preserve"> et al., 2025).</w:t>
      </w:r>
      <w:r>
        <w:t xml:space="preserve"> </w:t>
      </w:r>
      <w:r>
        <w:rPr>
          <w:rFonts w:ascii="Times New Roman" w:eastAsia="Times New Roman" w:hAnsi="Times New Roman" w:cs="Times New Roman"/>
          <w:sz w:val="24"/>
          <w:szCs w:val="24"/>
        </w:rPr>
        <w:t xml:space="preserve">It applies the principles of graph theory to construct network representations that capture complex contextual relationships using theoretical, conceptual and computational resources </w:t>
      </w:r>
      <w:r>
        <w:rPr>
          <w:rFonts w:ascii="Times New Roman" w:eastAsia="Times New Roman" w:hAnsi="Times New Roman" w:cs="Times New Roman"/>
          <w:color w:val="000000"/>
          <w:sz w:val="24"/>
          <w:szCs w:val="24"/>
        </w:rPr>
        <w:t>(Abdullah, 2014).</w:t>
      </w:r>
      <w:r>
        <w:rPr>
          <w:rFonts w:ascii="Times New Roman" w:eastAsia="Times New Roman" w:hAnsi="Times New Roman" w:cs="Times New Roman"/>
          <w:sz w:val="24"/>
          <w:szCs w:val="24"/>
        </w:rPr>
        <w:t xml:space="preserve"> ISM integrates word, mathematical and graphical; and uses expert knowledge to establish interrelationships among elements in a specific domain </w:t>
      </w:r>
      <w:r>
        <w:rPr>
          <w:rFonts w:ascii="Times New Roman" w:eastAsia="Times New Roman" w:hAnsi="Times New Roman" w:cs="Times New Roman"/>
          <w:color w:val="000000"/>
          <w:sz w:val="24"/>
          <w:szCs w:val="24"/>
        </w:rPr>
        <w:t xml:space="preserve">(Ahmad &amp; </w:t>
      </w:r>
      <w:proofErr w:type="spellStart"/>
      <w:r>
        <w:rPr>
          <w:rFonts w:ascii="Times New Roman" w:eastAsia="Times New Roman" w:hAnsi="Times New Roman" w:cs="Times New Roman"/>
          <w:color w:val="000000"/>
          <w:sz w:val="24"/>
          <w:szCs w:val="24"/>
        </w:rPr>
        <w:t>Qahmash</w:t>
      </w:r>
      <w:proofErr w:type="spellEnd"/>
      <w:r>
        <w:rPr>
          <w:rFonts w:ascii="Times New Roman" w:eastAsia="Times New Roman" w:hAnsi="Times New Roman" w:cs="Times New Roman"/>
          <w:color w:val="000000"/>
          <w:sz w:val="24"/>
          <w:szCs w:val="24"/>
        </w:rPr>
        <w:t>, 2021)</w:t>
      </w:r>
      <w:r>
        <w:rPr>
          <w:rFonts w:ascii="Times New Roman" w:eastAsia="Times New Roman" w:hAnsi="Times New Roman" w:cs="Times New Roman"/>
          <w:sz w:val="24"/>
          <w:szCs w:val="24"/>
        </w:rPr>
        <w:t>. Through pairwise comparisons, it generates a structural model that visually represents the relationships between factors in the form of a hierarchy (</w:t>
      </w:r>
      <w:proofErr w:type="spellStart"/>
      <w:r>
        <w:rPr>
          <w:rFonts w:ascii="Times New Roman" w:eastAsia="Times New Roman" w:hAnsi="Times New Roman" w:cs="Times New Roman"/>
          <w:sz w:val="24"/>
          <w:szCs w:val="24"/>
        </w:rPr>
        <w:t>Zulkefli</w:t>
      </w:r>
      <w:proofErr w:type="spellEnd"/>
      <w:r>
        <w:rPr>
          <w:rFonts w:ascii="Times New Roman" w:eastAsia="Times New Roman" w:hAnsi="Times New Roman" w:cs="Times New Roman"/>
          <w:sz w:val="24"/>
          <w:szCs w:val="24"/>
        </w:rPr>
        <w:t xml:space="preserve"> et al., 2024). This hierarchy not only identifies the driving and dependent factors but also ranks them according to their influence, thus providing a better understanding of the structure and relative importance of factors contributing to the educational development of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 in Malaysia. </w:t>
      </w:r>
    </w:p>
    <w:p w14:paraId="00F97410" w14:textId="77777777" w:rsidR="00812CB1" w:rsidRDefault="00812CB1" w:rsidP="00287FDF">
      <w:pPr>
        <w:spacing w:after="0" w:line="240" w:lineRule="auto"/>
        <w:ind w:left="2" w:hanging="2"/>
        <w:jc w:val="both"/>
        <w:rPr>
          <w:rFonts w:ascii="Times New Roman" w:eastAsia="Times New Roman" w:hAnsi="Times New Roman" w:cs="Times New Roman"/>
          <w:sz w:val="24"/>
          <w:szCs w:val="24"/>
        </w:rPr>
      </w:pPr>
    </w:p>
    <w:p w14:paraId="7CE62828" w14:textId="77777777" w:rsidR="00812CB1" w:rsidRDefault="00A43E67" w:rsidP="00287FDF">
      <w:pPr>
        <w:spacing w:after="0" w:line="240" w:lineRule="auto"/>
        <w:ind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Sampling and data collection</w:t>
      </w:r>
    </w:p>
    <w:p w14:paraId="249F7607" w14:textId="77777777" w:rsidR="00812CB1" w:rsidRDefault="00812CB1" w:rsidP="00287FDF">
      <w:pPr>
        <w:spacing w:after="0" w:line="240" w:lineRule="auto"/>
        <w:ind w:firstLine="0"/>
        <w:jc w:val="both"/>
        <w:rPr>
          <w:rFonts w:ascii="Times New Roman" w:eastAsia="Times New Roman" w:hAnsi="Times New Roman" w:cs="Times New Roman"/>
          <w:i/>
          <w:sz w:val="24"/>
          <w:szCs w:val="24"/>
        </w:rPr>
      </w:pPr>
    </w:p>
    <w:p w14:paraId="147FB45A" w14:textId="77777777" w:rsidR="00812CB1" w:rsidRDefault="00A43E67" w:rsidP="00287FDF">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used purposive sampling to select 12 participants who served as an expert panel. According to Janes (1988), the ISM method is most effective with the participation of 8 to 15 experts, making the chosen sample size appropriate for this study. The experts consisted of </w:t>
      </w:r>
      <w:r>
        <w:rPr>
          <w:rFonts w:ascii="Times New Roman" w:eastAsia="Times New Roman" w:hAnsi="Times New Roman" w:cs="Times New Roman"/>
          <w:sz w:val="24"/>
          <w:szCs w:val="24"/>
        </w:rPr>
        <w:lastRenderedPageBreak/>
        <w:t xml:space="preserve">policymakers, academics, representatives of non-governmental organizations (NGOs) and community leaders from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The selection of experts was guided by criteria adapted from </w:t>
      </w:r>
      <w:proofErr w:type="spellStart"/>
      <w:r>
        <w:rPr>
          <w:rFonts w:ascii="Times New Roman" w:eastAsia="Times New Roman" w:hAnsi="Times New Roman" w:cs="Times New Roman"/>
          <w:sz w:val="24"/>
          <w:szCs w:val="24"/>
        </w:rPr>
        <w:t>Zulkefli</w:t>
      </w:r>
      <w:proofErr w:type="spellEnd"/>
      <w:r>
        <w:rPr>
          <w:rFonts w:ascii="Times New Roman" w:eastAsia="Times New Roman" w:hAnsi="Times New Roman" w:cs="Times New Roman"/>
          <w:sz w:val="24"/>
          <w:szCs w:val="24"/>
        </w:rPr>
        <w:t xml:space="preserve"> et al. (2025), which included: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holding at least a bachelor’s degree, with academics required to hold a doctoral degree; (ii) possessing knowledge relevant to the study; (iii) having a minimum of five years of experience in their respective fields; (iv) demonstrating strong communication skills; and (v) demonstrating a commitment to the duration of the study. The profiles of the experts who participated in the study are summarised and presented in Table 1.</w:t>
      </w:r>
    </w:p>
    <w:p w14:paraId="023690F4" w14:textId="77777777" w:rsidR="00812CB1" w:rsidRDefault="00812CB1">
      <w:pPr>
        <w:spacing w:after="0" w:line="240" w:lineRule="auto"/>
        <w:ind w:hanging="2"/>
        <w:jc w:val="both"/>
        <w:rPr>
          <w:rFonts w:ascii="Times New Roman" w:eastAsia="Times New Roman" w:hAnsi="Times New Roman" w:cs="Times New Roman"/>
          <w:sz w:val="24"/>
          <w:szCs w:val="24"/>
        </w:rPr>
      </w:pPr>
    </w:p>
    <w:p w14:paraId="02639339" w14:textId="77777777" w:rsidR="00812CB1" w:rsidRDefault="00A43E67">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1.  </w:t>
      </w:r>
      <w:r>
        <w:rPr>
          <w:rFonts w:ascii="Times New Roman" w:eastAsia="Times New Roman" w:hAnsi="Times New Roman" w:cs="Times New Roman"/>
          <w:sz w:val="24"/>
          <w:szCs w:val="24"/>
        </w:rPr>
        <w:t>Profile of the experts</w:t>
      </w:r>
    </w:p>
    <w:p w14:paraId="41139620" w14:textId="77777777" w:rsidR="00812CB1" w:rsidRDefault="00812CB1">
      <w:pPr>
        <w:spacing w:after="0" w:line="240" w:lineRule="auto"/>
        <w:ind w:hanging="2"/>
        <w:jc w:val="center"/>
        <w:rPr>
          <w:rFonts w:ascii="Times New Roman" w:eastAsia="Times New Roman" w:hAnsi="Times New Roman" w:cs="Times New Roman"/>
          <w:b/>
          <w:sz w:val="24"/>
          <w:szCs w:val="24"/>
        </w:rPr>
      </w:pPr>
    </w:p>
    <w:tbl>
      <w:tblPr>
        <w:tblStyle w:val="a"/>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1701"/>
        <w:gridCol w:w="3402"/>
      </w:tblGrid>
      <w:tr w:rsidR="00812CB1" w14:paraId="118D2F49" w14:textId="77777777" w:rsidTr="00812C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000000"/>
              <w:left w:val="nil"/>
              <w:bottom w:val="single" w:sz="4" w:space="0" w:color="000000"/>
              <w:right w:val="nil"/>
            </w:tcBorders>
            <w:shd w:val="clear" w:color="auto" w:fill="8DB3E2"/>
          </w:tcPr>
          <w:p w14:paraId="27731EBE" w14:textId="77777777" w:rsidR="00812CB1" w:rsidRDefault="00A43E67">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Category of experts</w:t>
            </w:r>
          </w:p>
        </w:tc>
        <w:tc>
          <w:tcPr>
            <w:tcW w:w="1701" w:type="dxa"/>
            <w:tcBorders>
              <w:top w:val="single" w:sz="4" w:space="0" w:color="000000"/>
              <w:left w:val="nil"/>
              <w:bottom w:val="single" w:sz="4" w:space="0" w:color="000000"/>
              <w:right w:val="nil"/>
            </w:tcBorders>
            <w:shd w:val="clear" w:color="auto" w:fill="8DB3E2"/>
          </w:tcPr>
          <w:p w14:paraId="066F180C" w14:textId="77777777" w:rsidR="00812CB1" w:rsidRDefault="00A43E67">
            <w:pPr>
              <w:spacing w:after="0" w:line="240" w:lineRule="auto"/>
              <w:ind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No. of experts</w:t>
            </w:r>
          </w:p>
        </w:tc>
        <w:tc>
          <w:tcPr>
            <w:tcW w:w="3402" w:type="dxa"/>
            <w:tcBorders>
              <w:top w:val="single" w:sz="4" w:space="0" w:color="000000"/>
              <w:left w:val="nil"/>
              <w:bottom w:val="single" w:sz="4" w:space="0" w:color="000000"/>
              <w:right w:val="nil"/>
            </w:tcBorders>
            <w:shd w:val="clear" w:color="auto" w:fill="8DB3E2"/>
          </w:tcPr>
          <w:p w14:paraId="6EFA4099" w14:textId="77777777" w:rsidR="00812CB1" w:rsidRDefault="00A43E67">
            <w:pPr>
              <w:spacing w:after="0" w:line="240" w:lineRule="auto"/>
              <w:ind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Working experience (Years)</w:t>
            </w:r>
          </w:p>
        </w:tc>
      </w:tr>
      <w:tr w:rsidR="00812CB1" w14:paraId="79DAB746" w14:textId="77777777" w:rsidTr="00812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000000"/>
              <w:left w:val="nil"/>
              <w:bottom w:val="nil"/>
              <w:right w:val="nil"/>
            </w:tcBorders>
          </w:tcPr>
          <w:p w14:paraId="705BC72D" w14:textId="77777777" w:rsidR="00812CB1" w:rsidRDefault="00A43E67">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Policy makers</w:t>
            </w:r>
          </w:p>
        </w:tc>
        <w:tc>
          <w:tcPr>
            <w:tcW w:w="1701" w:type="dxa"/>
            <w:tcBorders>
              <w:top w:val="single" w:sz="4" w:space="0" w:color="000000"/>
              <w:left w:val="nil"/>
              <w:bottom w:val="nil"/>
              <w:right w:val="nil"/>
            </w:tcBorders>
          </w:tcPr>
          <w:p w14:paraId="0BF50A61" w14:textId="77777777" w:rsidR="00812CB1" w:rsidRDefault="00A43E67">
            <w:pPr>
              <w:spacing w:after="0" w:line="240" w:lineRule="auto"/>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vMerge w:val="restart"/>
            <w:tcBorders>
              <w:top w:val="single" w:sz="4" w:space="0" w:color="000000"/>
              <w:left w:val="nil"/>
              <w:bottom w:val="single" w:sz="4" w:space="0" w:color="000000"/>
              <w:right w:val="nil"/>
            </w:tcBorders>
          </w:tcPr>
          <w:p w14:paraId="529BD69F" w14:textId="77777777" w:rsidR="00812CB1" w:rsidRDefault="00812CB1">
            <w:pPr>
              <w:spacing w:after="0" w:line="240" w:lineRule="auto"/>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3F85721F" w14:textId="77777777" w:rsidR="00812CB1" w:rsidRDefault="00812CB1">
            <w:pPr>
              <w:spacing w:after="0" w:line="240" w:lineRule="auto"/>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7D77D95D" w14:textId="77777777" w:rsidR="00812CB1" w:rsidRDefault="00A43E67">
            <w:pPr>
              <w:spacing w:after="0" w:line="240" w:lineRule="auto"/>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10-20 and above</w:t>
            </w:r>
          </w:p>
        </w:tc>
      </w:tr>
      <w:tr w:rsidR="00812CB1" w14:paraId="289D619D" w14:textId="77777777" w:rsidTr="00812CB1">
        <w:tc>
          <w:tcPr>
            <w:cnfStyle w:val="001000000000" w:firstRow="0" w:lastRow="0" w:firstColumn="1" w:lastColumn="0" w:oddVBand="0" w:evenVBand="0" w:oddHBand="0" w:evenHBand="0" w:firstRowFirstColumn="0" w:firstRowLastColumn="0" w:lastRowFirstColumn="0" w:lastRowLastColumn="0"/>
            <w:tcW w:w="4253" w:type="dxa"/>
            <w:tcBorders>
              <w:top w:val="nil"/>
              <w:left w:val="nil"/>
              <w:bottom w:val="nil"/>
              <w:right w:val="nil"/>
            </w:tcBorders>
          </w:tcPr>
          <w:p w14:paraId="56B5E73F" w14:textId="77777777" w:rsidR="00812CB1" w:rsidRDefault="00A43E67">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Academicians</w:t>
            </w:r>
          </w:p>
        </w:tc>
        <w:tc>
          <w:tcPr>
            <w:tcW w:w="1701" w:type="dxa"/>
            <w:tcBorders>
              <w:top w:val="nil"/>
              <w:left w:val="nil"/>
              <w:bottom w:val="nil"/>
              <w:right w:val="nil"/>
            </w:tcBorders>
          </w:tcPr>
          <w:p w14:paraId="1B754E9B" w14:textId="77777777" w:rsidR="00812CB1" w:rsidRDefault="00A43E67">
            <w:pPr>
              <w:spacing w:after="0" w:line="240" w:lineRule="auto"/>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02" w:type="dxa"/>
            <w:vMerge/>
            <w:tcBorders>
              <w:top w:val="single" w:sz="4" w:space="0" w:color="000000"/>
              <w:left w:val="nil"/>
              <w:bottom w:val="single" w:sz="4" w:space="0" w:color="000000"/>
              <w:right w:val="nil"/>
            </w:tcBorders>
          </w:tcPr>
          <w:p w14:paraId="7E55474D" w14:textId="77777777" w:rsidR="00812CB1" w:rsidRDefault="00812CB1">
            <w:pPr>
              <w:widowControl w:val="0"/>
              <w:pBdr>
                <w:top w:val="nil"/>
                <w:left w:val="nil"/>
                <w:bottom w:val="nil"/>
                <w:right w:val="nil"/>
                <w:between w:val="nil"/>
              </w:pBd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812CB1" w14:paraId="59C3EAE4" w14:textId="77777777" w:rsidTr="00812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nil"/>
              <w:left w:val="nil"/>
              <w:bottom w:val="nil"/>
              <w:right w:val="nil"/>
            </w:tcBorders>
          </w:tcPr>
          <w:p w14:paraId="38B69BA1" w14:textId="77777777" w:rsidR="00812CB1" w:rsidRDefault="00A43E67">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Non-Governmental Organisation (NGO)</w:t>
            </w:r>
          </w:p>
        </w:tc>
        <w:tc>
          <w:tcPr>
            <w:tcW w:w="1701" w:type="dxa"/>
            <w:tcBorders>
              <w:top w:val="nil"/>
              <w:left w:val="nil"/>
              <w:bottom w:val="nil"/>
              <w:right w:val="nil"/>
            </w:tcBorders>
          </w:tcPr>
          <w:p w14:paraId="507D2FED" w14:textId="77777777" w:rsidR="00812CB1" w:rsidRDefault="00A43E67">
            <w:pPr>
              <w:spacing w:after="0" w:line="240" w:lineRule="auto"/>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02" w:type="dxa"/>
            <w:vMerge/>
            <w:tcBorders>
              <w:top w:val="single" w:sz="4" w:space="0" w:color="000000"/>
              <w:left w:val="nil"/>
              <w:bottom w:val="single" w:sz="4" w:space="0" w:color="000000"/>
              <w:right w:val="nil"/>
            </w:tcBorders>
          </w:tcPr>
          <w:p w14:paraId="6DA47907" w14:textId="77777777" w:rsidR="00812CB1" w:rsidRDefault="00812CB1">
            <w:pPr>
              <w:widowControl w:val="0"/>
              <w:pBdr>
                <w:top w:val="nil"/>
                <w:left w:val="nil"/>
                <w:bottom w:val="nil"/>
                <w:right w:val="nil"/>
                <w:between w:val="nil"/>
              </w:pBd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812CB1" w14:paraId="66659D7E" w14:textId="77777777" w:rsidTr="00812CB1">
        <w:tc>
          <w:tcPr>
            <w:cnfStyle w:val="001000000000" w:firstRow="0" w:lastRow="0" w:firstColumn="1" w:lastColumn="0" w:oddVBand="0" w:evenVBand="0" w:oddHBand="0" w:evenHBand="0" w:firstRowFirstColumn="0" w:firstRowLastColumn="0" w:lastRowFirstColumn="0" w:lastRowLastColumn="0"/>
            <w:tcW w:w="4253" w:type="dxa"/>
            <w:tcBorders>
              <w:top w:val="nil"/>
              <w:left w:val="nil"/>
              <w:bottom w:val="single" w:sz="4" w:space="0" w:color="000000"/>
              <w:right w:val="nil"/>
            </w:tcBorders>
          </w:tcPr>
          <w:p w14:paraId="4C1715A7" w14:textId="77777777" w:rsidR="00812CB1" w:rsidRDefault="00A43E67">
            <w:pPr>
              <w:spacing w:after="0" w:line="240" w:lineRule="auto"/>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val="0"/>
                <w:sz w:val="24"/>
                <w:szCs w:val="24"/>
              </w:rPr>
              <w:t>Rohingya</w:t>
            </w:r>
            <w:proofErr w:type="spellEnd"/>
            <w:r>
              <w:rPr>
                <w:rFonts w:ascii="Times New Roman" w:eastAsia="Times New Roman" w:hAnsi="Times New Roman" w:cs="Times New Roman"/>
                <w:b w:val="0"/>
                <w:sz w:val="24"/>
                <w:szCs w:val="24"/>
              </w:rPr>
              <w:t xml:space="preserve"> community leaders</w:t>
            </w:r>
          </w:p>
        </w:tc>
        <w:tc>
          <w:tcPr>
            <w:tcW w:w="1701" w:type="dxa"/>
            <w:tcBorders>
              <w:top w:val="nil"/>
              <w:left w:val="nil"/>
              <w:bottom w:val="single" w:sz="4" w:space="0" w:color="000000"/>
              <w:right w:val="nil"/>
            </w:tcBorders>
          </w:tcPr>
          <w:p w14:paraId="2CA685EE" w14:textId="77777777" w:rsidR="00812CB1" w:rsidRDefault="00A43E67">
            <w:pPr>
              <w:spacing w:after="0" w:line="240" w:lineRule="auto"/>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vMerge/>
            <w:tcBorders>
              <w:top w:val="single" w:sz="4" w:space="0" w:color="000000"/>
              <w:left w:val="nil"/>
              <w:bottom w:val="single" w:sz="4" w:space="0" w:color="000000"/>
              <w:right w:val="nil"/>
            </w:tcBorders>
          </w:tcPr>
          <w:p w14:paraId="0B6CC246" w14:textId="77777777" w:rsidR="00812CB1" w:rsidRDefault="00812CB1">
            <w:pPr>
              <w:widowControl w:val="0"/>
              <w:pBdr>
                <w:top w:val="nil"/>
                <w:left w:val="nil"/>
                <w:bottom w:val="nil"/>
                <w:right w:val="nil"/>
                <w:between w:val="nil"/>
              </w:pBd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6357CF1A" w14:textId="77777777" w:rsidR="00812CB1" w:rsidRDefault="00812CB1">
      <w:pPr>
        <w:spacing w:after="0" w:line="240" w:lineRule="auto"/>
        <w:ind w:hanging="2"/>
        <w:jc w:val="both"/>
        <w:rPr>
          <w:rFonts w:ascii="Times New Roman" w:eastAsia="Times New Roman" w:hAnsi="Times New Roman" w:cs="Times New Roman"/>
        </w:rPr>
      </w:pPr>
    </w:p>
    <w:p w14:paraId="3AB0FA9A" w14:textId="77777777" w:rsidR="00812CB1" w:rsidRDefault="00A43E67">
      <w:pPr>
        <w:spacing w:after="0" w:line="24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 analysis</w:t>
      </w:r>
    </w:p>
    <w:p w14:paraId="328ABDD6" w14:textId="77777777" w:rsidR="00812CB1" w:rsidRDefault="00812CB1">
      <w:pPr>
        <w:spacing w:after="0" w:line="240" w:lineRule="auto"/>
        <w:ind w:hanging="2"/>
        <w:jc w:val="both"/>
        <w:rPr>
          <w:rFonts w:ascii="Times New Roman" w:eastAsia="Times New Roman" w:hAnsi="Times New Roman" w:cs="Times New Roman"/>
          <w:i/>
          <w:sz w:val="24"/>
          <w:szCs w:val="24"/>
        </w:rPr>
      </w:pPr>
    </w:p>
    <w:p w14:paraId="0FA1970F" w14:textId="77777777" w:rsidR="00812CB1" w:rsidRDefault="00A43E67">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framework for this study was developed using Interpretive Structural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(ISM) with the aid of Concept Star software (</w:t>
      </w:r>
      <w:proofErr w:type="spellStart"/>
      <w:r>
        <w:rPr>
          <w:rFonts w:ascii="Times New Roman" w:eastAsia="Times New Roman" w:hAnsi="Times New Roman" w:cs="Times New Roman"/>
          <w:color w:val="000000"/>
          <w:sz w:val="24"/>
          <w:szCs w:val="24"/>
        </w:rPr>
        <w:t>Zulkefli</w:t>
      </w:r>
      <w:proofErr w:type="spellEnd"/>
      <w:r>
        <w:rPr>
          <w:rFonts w:ascii="Times New Roman" w:eastAsia="Times New Roman" w:hAnsi="Times New Roman" w:cs="Times New Roman"/>
          <w:color w:val="000000"/>
          <w:sz w:val="24"/>
          <w:szCs w:val="24"/>
        </w:rPr>
        <w:t xml:space="preserve"> et al., 2024). The ISM analysis generated a structural map illustrating the hierarchical relationships between factors influencing educational development. Thus, the ISM steps are as follows:</w:t>
      </w:r>
    </w:p>
    <w:p w14:paraId="452CC588" w14:textId="77777777" w:rsidR="00812CB1" w:rsidRDefault="00812CB1">
      <w:pPr>
        <w:spacing w:after="0" w:line="240" w:lineRule="auto"/>
        <w:ind w:hanging="2"/>
        <w:jc w:val="both"/>
        <w:rPr>
          <w:rFonts w:ascii="Times New Roman" w:eastAsia="Times New Roman" w:hAnsi="Times New Roman" w:cs="Times New Roman"/>
          <w:color w:val="000000"/>
          <w:sz w:val="24"/>
          <w:szCs w:val="24"/>
        </w:rPr>
      </w:pPr>
    </w:p>
    <w:p w14:paraId="61A2DD41" w14:textId="77777777" w:rsidR="00812CB1" w:rsidRDefault="00A43E67">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1: Identifying the factors of educational development</w:t>
      </w:r>
    </w:p>
    <w:p w14:paraId="400EE134" w14:textId="77777777" w:rsidR="00812CB1" w:rsidRDefault="00812CB1">
      <w:pPr>
        <w:spacing w:after="0" w:line="240" w:lineRule="auto"/>
        <w:ind w:hanging="2"/>
        <w:jc w:val="both"/>
        <w:rPr>
          <w:rFonts w:ascii="Times New Roman" w:eastAsia="Times New Roman" w:hAnsi="Times New Roman" w:cs="Times New Roman"/>
          <w:sz w:val="24"/>
          <w:szCs w:val="24"/>
        </w:rPr>
      </w:pPr>
    </w:p>
    <w:p w14:paraId="15E25286" w14:textId="77777777" w:rsidR="00812CB1" w:rsidRDefault="00A43E67">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step was to identify factors relevant to educational development using the Nominal Group Technique (NGT) through expert group discussions. NGT is a structured small group discussion method designed to achieve consensus among experts (</w:t>
      </w:r>
      <w:proofErr w:type="spellStart"/>
      <w:r>
        <w:rPr>
          <w:rFonts w:ascii="Times New Roman" w:eastAsia="Times New Roman" w:hAnsi="Times New Roman" w:cs="Times New Roman"/>
          <w:sz w:val="24"/>
          <w:szCs w:val="24"/>
        </w:rPr>
        <w:t>Vahedian-Shahroodi</w:t>
      </w:r>
      <w:proofErr w:type="spellEnd"/>
      <w:r>
        <w:rPr>
          <w:rFonts w:ascii="Times New Roman" w:eastAsia="Times New Roman" w:hAnsi="Times New Roman" w:cs="Times New Roman"/>
          <w:sz w:val="24"/>
          <w:szCs w:val="24"/>
        </w:rPr>
        <w:t xml:space="preserve"> et al., 2023). It facilitates the collection of ideas from experts and allows them to make informed suggestions regarding the research under study (</w:t>
      </w:r>
      <w:proofErr w:type="spellStart"/>
      <w:r>
        <w:rPr>
          <w:rFonts w:ascii="Times New Roman" w:eastAsia="Times New Roman" w:hAnsi="Times New Roman" w:cs="Times New Roman"/>
          <w:sz w:val="24"/>
          <w:szCs w:val="24"/>
        </w:rPr>
        <w:t>Zulkefli</w:t>
      </w:r>
      <w:proofErr w:type="spellEnd"/>
      <w:r>
        <w:rPr>
          <w:rFonts w:ascii="Times New Roman" w:eastAsia="Times New Roman" w:hAnsi="Times New Roman" w:cs="Times New Roman"/>
          <w:sz w:val="24"/>
          <w:szCs w:val="24"/>
        </w:rPr>
        <w:t xml:space="preserve"> et al., 2023). Based on the NGT method, this study identified a preliminary list of 11 factors to be used in developing the framework, as shown in Table 2.</w:t>
      </w:r>
    </w:p>
    <w:p w14:paraId="26848EDC" w14:textId="77777777" w:rsidR="00812CB1" w:rsidRDefault="00812CB1">
      <w:pPr>
        <w:spacing w:after="0" w:line="240" w:lineRule="auto"/>
        <w:ind w:hanging="2"/>
        <w:jc w:val="both"/>
        <w:rPr>
          <w:rFonts w:ascii="Times New Roman" w:eastAsia="Times New Roman" w:hAnsi="Times New Roman" w:cs="Times New Roman"/>
          <w:sz w:val="24"/>
          <w:szCs w:val="24"/>
        </w:rPr>
      </w:pPr>
    </w:p>
    <w:p w14:paraId="46695FE5" w14:textId="77777777" w:rsidR="00812CB1" w:rsidRDefault="00A43E67">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 </w:t>
      </w:r>
      <w:r>
        <w:rPr>
          <w:rFonts w:ascii="Times New Roman" w:eastAsia="Times New Roman" w:hAnsi="Times New Roman" w:cs="Times New Roman"/>
          <w:sz w:val="24"/>
          <w:szCs w:val="24"/>
        </w:rPr>
        <w:t>Preliminary list of factors of educational development</w:t>
      </w:r>
    </w:p>
    <w:p w14:paraId="5390A317" w14:textId="77777777" w:rsidR="00812CB1" w:rsidRDefault="00812CB1">
      <w:pPr>
        <w:spacing w:after="0" w:line="240" w:lineRule="auto"/>
        <w:ind w:hanging="2"/>
        <w:jc w:val="center"/>
        <w:rPr>
          <w:rFonts w:ascii="Times New Roman" w:eastAsia="Times New Roman" w:hAnsi="Times New Roman" w:cs="Times New Roman"/>
          <w:b/>
          <w:sz w:val="24"/>
          <w:szCs w:val="24"/>
        </w:rPr>
      </w:pPr>
    </w:p>
    <w:tbl>
      <w:tblPr>
        <w:tblStyle w:val="a0"/>
        <w:tblW w:w="9356" w:type="dxa"/>
        <w:jc w:val="center"/>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709"/>
        <w:gridCol w:w="8647"/>
      </w:tblGrid>
      <w:tr w:rsidR="00812CB1" w14:paraId="6F09243A" w14:textId="77777777">
        <w:trPr>
          <w:jc w:val="center"/>
        </w:trPr>
        <w:tc>
          <w:tcPr>
            <w:tcW w:w="709" w:type="dxa"/>
            <w:tcBorders>
              <w:top w:val="single" w:sz="4" w:space="0" w:color="000000"/>
              <w:bottom w:val="single" w:sz="4" w:space="0" w:color="000000"/>
            </w:tcBorders>
            <w:shd w:val="clear" w:color="auto" w:fill="8DB3E2"/>
          </w:tcPr>
          <w:p w14:paraId="6ECD8D75" w14:textId="77777777" w:rsidR="00812CB1" w:rsidRDefault="00A43E67">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8647" w:type="dxa"/>
            <w:tcBorders>
              <w:top w:val="single" w:sz="4" w:space="0" w:color="000000"/>
              <w:bottom w:val="single" w:sz="4" w:space="0" w:color="000000"/>
            </w:tcBorders>
            <w:shd w:val="clear" w:color="auto" w:fill="8DB3E2"/>
          </w:tcPr>
          <w:p w14:paraId="5EB8B51E" w14:textId="77777777" w:rsidR="00812CB1" w:rsidRDefault="00A43E67">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Factors</w:t>
            </w:r>
          </w:p>
        </w:tc>
      </w:tr>
      <w:tr w:rsidR="00812CB1" w14:paraId="7DFF006B" w14:textId="77777777">
        <w:trPr>
          <w:jc w:val="center"/>
        </w:trPr>
        <w:tc>
          <w:tcPr>
            <w:tcW w:w="709" w:type="dxa"/>
            <w:tcBorders>
              <w:top w:val="single" w:sz="4" w:space="0" w:color="000000"/>
            </w:tcBorders>
          </w:tcPr>
          <w:p w14:paraId="4CBFA73A" w14:textId="77777777" w:rsidR="00812CB1" w:rsidRDefault="00A43E67">
            <w:pPr>
              <w:spacing w:after="0" w:line="240" w:lineRule="auto"/>
              <w:ind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w:t>
            </w:r>
          </w:p>
        </w:tc>
        <w:tc>
          <w:tcPr>
            <w:tcW w:w="8647" w:type="dxa"/>
            <w:tcBorders>
              <w:top w:val="single" w:sz="4" w:space="0" w:color="000000"/>
            </w:tcBorders>
          </w:tcPr>
          <w:p w14:paraId="6F7F341C" w14:textId="77777777" w:rsidR="00812CB1" w:rsidRDefault="00A43E67">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Infrastructure</w:t>
            </w:r>
          </w:p>
        </w:tc>
      </w:tr>
      <w:tr w:rsidR="00812CB1" w14:paraId="1CFB93B8" w14:textId="77777777">
        <w:trPr>
          <w:jc w:val="center"/>
        </w:trPr>
        <w:tc>
          <w:tcPr>
            <w:tcW w:w="709" w:type="dxa"/>
          </w:tcPr>
          <w:p w14:paraId="3ABFF897" w14:textId="77777777" w:rsidR="00812CB1" w:rsidRDefault="00A43E67">
            <w:pPr>
              <w:spacing w:after="0" w:line="240" w:lineRule="auto"/>
              <w:ind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2.</w:t>
            </w:r>
          </w:p>
        </w:tc>
        <w:tc>
          <w:tcPr>
            <w:tcW w:w="8647" w:type="dxa"/>
          </w:tcPr>
          <w:p w14:paraId="71B08C19" w14:textId="77777777" w:rsidR="00812CB1" w:rsidRDefault="00A43E67">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Teaching staff</w:t>
            </w:r>
          </w:p>
        </w:tc>
      </w:tr>
      <w:tr w:rsidR="00812CB1" w14:paraId="71047B7A" w14:textId="77777777">
        <w:trPr>
          <w:jc w:val="center"/>
        </w:trPr>
        <w:tc>
          <w:tcPr>
            <w:tcW w:w="709" w:type="dxa"/>
          </w:tcPr>
          <w:p w14:paraId="7A5EBE66" w14:textId="77777777" w:rsidR="00812CB1" w:rsidRDefault="00A43E67">
            <w:pPr>
              <w:spacing w:after="0" w:line="240" w:lineRule="auto"/>
              <w:ind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3.</w:t>
            </w:r>
          </w:p>
        </w:tc>
        <w:tc>
          <w:tcPr>
            <w:tcW w:w="8647" w:type="dxa"/>
          </w:tcPr>
          <w:p w14:paraId="1FBB56FA" w14:textId="77777777" w:rsidR="00812CB1" w:rsidRDefault="00A43E67">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Integrated curriculum and syllabus</w:t>
            </w:r>
          </w:p>
        </w:tc>
      </w:tr>
      <w:tr w:rsidR="00812CB1" w14:paraId="4FB898BC" w14:textId="77777777">
        <w:trPr>
          <w:jc w:val="center"/>
        </w:trPr>
        <w:tc>
          <w:tcPr>
            <w:tcW w:w="709" w:type="dxa"/>
          </w:tcPr>
          <w:p w14:paraId="5401DC2C" w14:textId="77777777" w:rsidR="00812CB1" w:rsidRDefault="00A43E67">
            <w:pPr>
              <w:spacing w:after="0" w:line="240" w:lineRule="auto"/>
              <w:ind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4.</w:t>
            </w:r>
          </w:p>
        </w:tc>
        <w:tc>
          <w:tcPr>
            <w:tcW w:w="8647" w:type="dxa"/>
          </w:tcPr>
          <w:p w14:paraId="666870B4" w14:textId="77777777" w:rsidR="00812CB1" w:rsidRDefault="00A43E67">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Governance of the school system</w:t>
            </w:r>
          </w:p>
        </w:tc>
      </w:tr>
      <w:tr w:rsidR="00812CB1" w14:paraId="2B7CCDF3" w14:textId="77777777">
        <w:trPr>
          <w:jc w:val="center"/>
        </w:trPr>
        <w:tc>
          <w:tcPr>
            <w:tcW w:w="709" w:type="dxa"/>
          </w:tcPr>
          <w:p w14:paraId="77C83AFC" w14:textId="77777777" w:rsidR="00812CB1" w:rsidRDefault="00A43E67">
            <w:pPr>
              <w:spacing w:after="0" w:line="240" w:lineRule="auto"/>
              <w:ind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5.</w:t>
            </w:r>
          </w:p>
        </w:tc>
        <w:tc>
          <w:tcPr>
            <w:tcW w:w="8647" w:type="dxa"/>
          </w:tcPr>
          <w:p w14:paraId="578BDBD1" w14:textId="77777777" w:rsidR="00812CB1" w:rsidRDefault="00A43E67">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Cooperation and approval from the authority</w:t>
            </w:r>
          </w:p>
        </w:tc>
      </w:tr>
      <w:tr w:rsidR="00812CB1" w14:paraId="0D62356A" w14:textId="77777777">
        <w:trPr>
          <w:jc w:val="center"/>
        </w:trPr>
        <w:tc>
          <w:tcPr>
            <w:tcW w:w="709" w:type="dxa"/>
          </w:tcPr>
          <w:p w14:paraId="6DF5A1C4" w14:textId="77777777" w:rsidR="00812CB1" w:rsidRDefault="00A43E67">
            <w:pPr>
              <w:spacing w:after="0" w:line="240" w:lineRule="auto"/>
              <w:ind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6.</w:t>
            </w:r>
          </w:p>
        </w:tc>
        <w:tc>
          <w:tcPr>
            <w:tcW w:w="8647" w:type="dxa"/>
          </w:tcPr>
          <w:p w14:paraId="034BC8C7" w14:textId="77777777" w:rsidR="00812CB1" w:rsidRDefault="00A43E67">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Awareness and cooperation among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on the importance of children’s education</w:t>
            </w:r>
          </w:p>
        </w:tc>
      </w:tr>
      <w:tr w:rsidR="00812CB1" w14:paraId="1613756E" w14:textId="77777777">
        <w:trPr>
          <w:jc w:val="center"/>
        </w:trPr>
        <w:tc>
          <w:tcPr>
            <w:tcW w:w="709" w:type="dxa"/>
            <w:tcBorders>
              <w:bottom w:val="nil"/>
            </w:tcBorders>
          </w:tcPr>
          <w:p w14:paraId="0BA7E30E" w14:textId="77777777" w:rsidR="00812CB1" w:rsidRDefault="00A43E67">
            <w:pPr>
              <w:spacing w:after="0" w:line="240" w:lineRule="auto"/>
              <w:ind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7.</w:t>
            </w:r>
          </w:p>
        </w:tc>
        <w:tc>
          <w:tcPr>
            <w:tcW w:w="8647" w:type="dxa"/>
            <w:tcBorders>
              <w:bottom w:val="nil"/>
            </w:tcBorders>
          </w:tcPr>
          <w:p w14:paraId="42BE3567" w14:textId="77777777" w:rsidR="00812CB1" w:rsidRDefault="00A43E67">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Local community awareness and support</w:t>
            </w:r>
          </w:p>
        </w:tc>
      </w:tr>
      <w:tr w:rsidR="00812CB1" w14:paraId="00196686" w14:textId="77777777">
        <w:trPr>
          <w:jc w:val="center"/>
        </w:trPr>
        <w:tc>
          <w:tcPr>
            <w:tcW w:w="709" w:type="dxa"/>
            <w:tcBorders>
              <w:top w:val="nil"/>
            </w:tcBorders>
          </w:tcPr>
          <w:p w14:paraId="038CBB9B" w14:textId="77777777" w:rsidR="00812CB1" w:rsidRDefault="00A43E67">
            <w:pPr>
              <w:spacing w:after="0" w:line="240" w:lineRule="auto"/>
              <w:ind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8.</w:t>
            </w:r>
          </w:p>
        </w:tc>
        <w:tc>
          <w:tcPr>
            <w:tcW w:w="8647" w:type="dxa"/>
            <w:tcBorders>
              <w:top w:val="nil"/>
            </w:tcBorders>
          </w:tcPr>
          <w:p w14:paraId="4905D717" w14:textId="77777777" w:rsidR="00812CB1" w:rsidRDefault="00A43E67">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Establishment of Parent and Teacher Association (PIBG) in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schools</w:t>
            </w:r>
          </w:p>
        </w:tc>
      </w:tr>
      <w:tr w:rsidR="00812CB1" w14:paraId="77D28B63" w14:textId="77777777">
        <w:trPr>
          <w:jc w:val="center"/>
        </w:trPr>
        <w:tc>
          <w:tcPr>
            <w:tcW w:w="709" w:type="dxa"/>
            <w:tcBorders>
              <w:top w:val="nil"/>
            </w:tcBorders>
          </w:tcPr>
          <w:p w14:paraId="697EDBFF" w14:textId="77777777" w:rsidR="00812CB1" w:rsidRDefault="00A43E67">
            <w:pPr>
              <w:spacing w:after="0" w:line="240" w:lineRule="auto"/>
              <w:ind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9.</w:t>
            </w:r>
          </w:p>
        </w:tc>
        <w:tc>
          <w:tcPr>
            <w:tcW w:w="8647" w:type="dxa"/>
            <w:tcBorders>
              <w:top w:val="nil"/>
            </w:tcBorders>
          </w:tcPr>
          <w:p w14:paraId="42CAC41E" w14:textId="77777777" w:rsidR="00812CB1" w:rsidRDefault="00A43E67">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Internal affairs management within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w:t>
            </w:r>
          </w:p>
        </w:tc>
      </w:tr>
      <w:tr w:rsidR="00812CB1" w14:paraId="4BA6FFA4" w14:textId="77777777">
        <w:trPr>
          <w:jc w:val="center"/>
        </w:trPr>
        <w:tc>
          <w:tcPr>
            <w:tcW w:w="709" w:type="dxa"/>
            <w:tcBorders>
              <w:top w:val="nil"/>
            </w:tcBorders>
          </w:tcPr>
          <w:p w14:paraId="633A42A8" w14:textId="77777777" w:rsidR="00812CB1" w:rsidRDefault="00A43E67">
            <w:pPr>
              <w:spacing w:after="0" w:line="240" w:lineRule="auto"/>
              <w:ind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10.</w:t>
            </w:r>
          </w:p>
        </w:tc>
        <w:tc>
          <w:tcPr>
            <w:tcW w:w="8647" w:type="dxa"/>
            <w:tcBorders>
              <w:top w:val="nil"/>
            </w:tcBorders>
          </w:tcPr>
          <w:p w14:paraId="4D1C243C" w14:textId="77777777" w:rsidR="00812CB1" w:rsidRDefault="00A43E67">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Fund management</w:t>
            </w:r>
          </w:p>
        </w:tc>
      </w:tr>
      <w:tr w:rsidR="00812CB1" w14:paraId="0477D3ED" w14:textId="77777777">
        <w:trPr>
          <w:jc w:val="center"/>
        </w:trPr>
        <w:tc>
          <w:tcPr>
            <w:tcW w:w="709" w:type="dxa"/>
            <w:tcBorders>
              <w:top w:val="nil"/>
              <w:bottom w:val="single" w:sz="4" w:space="0" w:color="000000"/>
            </w:tcBorders>
          </w:tcPr>
          <w:p w14:paraId="60AA1B5B" w14:textId="77777777" w:rsidR="00812CB1" w:rsidRDefault="00A43E67">
            <w:pPr>
              <w:spacing w:after="0" w:line="240" w:lineRule="auto"/>
              <w:ind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11.</w:t>
            </w:r>
          </w:p>
        </w:tc>
        <w:tc>
          <w:tcPr>
            <w:tcW w:w="8647" w:type="dxa"/>
            <w:tcBorders>
              <w:top w:val="nil"/>
              <w:bottom w:val="single" w:sz="4" w:space="0" w:color="000000"/>
            </w:tcBorders>
          </w:tcPr>
          <w:p w14:paraId="78E857A9" w14:textId="77777777" w:rsidR="00812CB1" w:rsidRDefault="00A43E67">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Sustainability of funds for school development</w:t>
            </w:r>
          </w:p>
        </w:tc>
      </w:tr>
    </w:tbl>
    <w:p w14:paraId="111E44E5" w14:textId="77777777" w:rsidR="00A30EF5" w:rsidRDefault="00A30EF5">
      <w:pPr>
        <w:spacing w:after="0" w:line="240" w:lineRule="auto"/>
        <w:ind w:firstLine="0"/>
        <w:rPr>
          <w:rFonts w:ascii="Times New Roman" w:eastAsia="Times New Roman" w:hAnsi="Times New Roman" w:cs="Times New Roman"/>
          <w:sz w:val="24"/>
          <w:szCs w:val="24"/>
        </w:rPr>
      </w:pPr>
    </w:p>
    <w:p w14:paraId="0409E35F" w14:textId="069805AC" w:rsidR="00812CB1" w:rsidRDefault="00A43E67">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 2: Determining the contextual and relation phrase </w:t>
      </w:r>
    </w:p>
    <w:p w14:paraId="0A6476CD" w14:textId="77777777" w:rsidR="00812CB1" w:rsidRDefault="00812CB1">
      <w:pPr>
        <w:spacing w:after="0" w:line="240" w:lineRule="auto"/>
        <w:ind w:hanging="2"/>
        <w:rPr>
          <w:rFonts w:ascii="Times New Roman" w:eastAsia="Times New Roman" w:hAnsi="Times New Roman" w:cs="Times New Roman"/>
          <w:sz w:val="24"/>
          <w:szCs w:val="24"/>
        </w:rPr>
      </w:pPr>
    </w:p>
    <w:p w14:paraId="4B2E4E4B" w14:textId="77777777" w:rsidR="00812CB1" w:rsidRDefault="00A43E67">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step was to establish</w:t>
      </w:r>
      <w:r>
        <w:t xml:space="preserve"> </w:t>
      </w:r>
      <w:r>
        <w:rPr>
          <w:rFonts w:ascii="Times New Roman" w:eastAsia="Times New Roman" w:hAnsi="Times New Roman" w:cs="Times New Roman"/>
          <w:sz w:val="24"/>
          <w:szCs w:val="24"/>
        </w:rPr>
        <w:t>the contextual relationships between the identified factors of educational development. It clarifies how these factors should be logically connected in the framework development. The relationships between factors were determined by expert consensus, with the panel providing advice on appropriate contextual relationships and relational expressions, which define how factors interconnect and influence each other within the framework (</w:t>
      </w:r>
      <w:proofErr w:type="spellStart"/>
      <w:r>
        <w:rPr>
          <w:rFonts w:ascii="Times New Roman" w:eastAsia="Times New Roman" w:hAnsi="Times New Roman" w:cs="Times New Roman"/>
          <w:sz w:val="24"/>
          <w:szCs w:val="24"/>
        </w:rPr>
        <w:t>Jamaludin</w:t>
      </w:r>
      <w:proofErr w:type="spellEnd"/>
      <w:r>
        <w:rPr>
          <w:rFonts w:ascii="Times New Roman" w:eastAsia="Times New Roman" w:hAnsi="Times New Roman" w:cs="Times New Roman"/>
          <w:sz w:val="24"/>
          <w:szCs w:val="24"/>
        </w:rPr>
        <w:t xml:space="preserve"> et al., 2025). </w:t>
      </w:r>
    </w:p>
    <w:p w14:paraId="4A7E7973" w14:textId="77777777" w:rsidR="00812CB1" w:rsidRDefault="00812CB1">
      <w:pPr>
        <w:spacing w:after="0" w:line="240" w:lineRule="auto"/>
        <w:ind w:hanging="2"/>
        <w:jc w:val="both"/>
        <w:rPr>
          <w:rFonts w:ascii="Times New Roman" w:eastAsia="Times New Roman" w:hAnsi="Times New Roman" w:cs="Times New Roman"/>
          <w:sz w:val="24"/>
          <w:szCs w:val="24"/>
        </w:rPr>
      </w:pPr>
    </w:p>
    <w:p w14:paraId="71060153" w14:textId="77777777" w:rsidR="00812CB1" w:rsidRDefault="00A43E67">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3: Constructing a structural self-interaction matrix (SSIM) using the ISM software</w:t>
      </w:r>
    </w:p>
    <w:p w14:paraId="0E6DB11C" w14:textId="77777777" w:rsidR="00812CB1" w:rsidRDefault="00812CB1">
      <w:pPr>
        <w:spacing w:after="0" w:line="240" w:lineRule="auto"/>
        <w:ind w:hanging="2"/>
        <w:jc w:val="both"/>
        <w:rPr>
          <w:rFonts w:ascii="Times New Roman" w:eastAsia="Times New Roman" w:hAnsi="Times New Roman" w:cs="Times New Roman"/>
          <w:sz w:val="24"/>
          <w:szCs w:val="24"/>
        </w:rPr>
      </w:pPr>
    </w:p>
    <w:p w14:paraId="21303EA3" w14:textId="77777777" w:rsidR="00812CB1" w:rsidRDefault="00A43E67">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step, a SSIM was constructed to determine the relationship between the different factors influencing educational development. To facilitate this process, the study used the ISM software called Concept Star. This software presents the factors in pairs to the experts and invites them to vote on the relationship between each pair before moving on the next (Abdullah et al., 2017). The procedure is repeated until all factors are matched and the relationships are established.  </w:t>
      </w:r>
    </w:p>
    <w:p w14:paraId="52DFC749" w14:textId="77777777" w:rsidR="00812CB1" w:rsidRDefault="00812CB1">
      <w:pPr>
        <w:spacing w:after="0" w:line="240" w:lineRule="auto"/>
        <w:ind w:hanging="2"/>
        <w:jc w:val="both"/>
        <w:rPr>
          <w:rFonts w:ascii="Times New Roman" w:eastAsia="Times New Roman" w:hAnsi="Times New Roman" w:cs="Times New Roman"/>
          <w:sz w:val="24"/>
          <w:szCs w:val="24"/>
        </w:rPr>
      </w:pPr>
    </w:p>
    <w:p w14:paraId="6DED0DB7" w14:textId="77777777" w:rsidR="00812CB1" w:rsidRDefault="00A43E67">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4: Generating an ISM model</w:t>
      </w:r>
    </w:p>
    <w:p w14:paraId="3A340949" w14:textId="77777777" w:rsidR="00812CB1" w:rsidRDefault="00812CB1">
      <w:pPr>
        <w:spacing w:after="0" w:line="240" w:lineRule="auto"/>
        <w:ind w:hanging="2"/>
        <w:jc w:val="both"/>
        <w:rPr>
          <w:rFonts w:ascii="Times New Roman" w:eastAsia="Times New Roman" w:hAnsi="Times New Roman" w:cs="Times New Roman"/>
          <w:sz w:val="24"/>
          <w:szCs w:val="24"/>
        </w:rPr>
      </w:pPr>
    </w:p>
    <w:p w14:paraId="79550D42" w14:textId="77777777" w:rsidR="00812CB1" w:rsidRDefault="00A43E67">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factor pairing process was completed, the ISM software generated the initial structural model.</w:t>
      </w:r>
      <w:r>
        <w:t xml:space="preserve"> </w:t>
      </w:r>
      <w:sdt>
        <w:sdtPr>
          <w:tag w:val="goog_rdk_0"/>
          <w:id w:val="1380154363"/>
        </w:sdtPr>
        <w:sdtEndPr/>
        <w:sdtContent>
          <w:r>
            <w:rPr>
              <w:rFonts w:ascii="Cardo" w:eastAsia="Cardo" w:hAnsi="Cardo" w:cs="Cardo"/>
              <w:sz w:val="24"/>
              <w:szCs w:val="24"/>
            </w:rPr>
            <w:t>This model was developed using pairwise comparisons and the application of transitive logic (</w:t>
          </w:r>
          <w:proofErr w:type="spellStart"/>
          <w:r>
            <w:rPr>
              <w:rFonts w:ascii="Cardo" w:eastAsia="Cardo" w:hAnsi="Cardo" w:cs="Cardo"/>
              <w:sz w:val="24"/>
              <w:szCs w:val="24"/>
            </w:rPr>
            <w:t>Zulkefli</w:t>
          </w:r>
          <w:proofErr w:type="spellEnd"/>
          <w:r>
            <w:rPr>
              <w:rFonts w:ascii="Cardo" w:eastAsia="Cardo" w:hAnsi="Cardo" w:cs="Cardo"/>
              <w:sz w:val="24"/>
              <w:szCs w:val="24"/>
            </w:rPr>
            <w:t xml:space="preserve"> et al., 2022). Transitive logic postulates that if three elements (A, B and C) have the following relationships: A → B and B → C, then A is also related to C (A → C or A → B → C). In addition, the generated ISM model then underwent an expert review process. During this step, the expert panel reviewed the model to identify any conceptual inconsistencies and recommended necessary changes (</w:t>
          </w:r>
          <w:proofErr w:type="spellStart"/>
          <w:r>
            <w:rPr>
              <w:rFonts w:ascii="Cardo" w:eastAsia="Cardo" w:hAnsi="Cardo" w:cs="Cardo"/>
              <w:sz w:val="24"/>
              <w:szCs w:val="24"/>
            </w:rPr>
            <w:t>Zulkefli</w:t>
          </w:r>
          <w:proofErr w:type="spellEnd"/>
          <w:r>
            <w:rPr>
              <w:rFonts w:ascii="Cardo" w:eastAsia="Cardo" w:hAnsi="Cardo" w:cs="Cardo"/>
              <w:sz w:val="24"/>
              <w:szCs w:val="24"/>
            </w:rPr>
            <w:t xml:space="preserve"> et al., 2024). However, only minor adjustments were allowed, as the model was developed through a rigorous and systematic process based on expert discussion and consensus (</w:t>
          </w:r>
          <w:proofErr w:type="spellStart"/>
          <w:r>
            <w:rPr>
              <w:rFonts w:ascii="Cardo" w:eastAsia="Cardo" w:hAnsi="Cardo" w:cs="Cardo"/>
              <w:sz w:val="24"/>
              <w:szCs w:val="24"/>
            </w:rPr>
            <w:t>Jamaludin</w:t>
          </w:r>
          <w:proofErr w:type="spellEnd"/>
          <w:r>
            <w:rPr>
              <w:rFonts w:ascii="Cardo" w:eastAsia="Cardo" w:hAnsi="Cardo" w:cs="Cardo"/>
              <w:sz w:val="24"/>
              <w:szCs w:val="24"/>
            </w:rPr>
            <w:t xml:space="preserve"> et al., 2025). </w:t>
          </w:r>
        </w:sdtContent>
      </w:sdt>
    </w:p>
    <w:p w14:paraId="4EEA91B7" w14:textId="77777777" w:rsidR="00812CB1" w:rsidRDefault="00812CB1">
      <w:pPr>
        <w:spacing w:after="0" w:line="240" w:lineRule="auto"/>
        <w:ind w:hanging="2"/>
        <w:jc w:val="both"/>
        <w:rPr>
          <w:rFonts w:ascii="Times New Roman" w:eastAsia="Times New Roman" w:hAnsi="Times New Roman" w:cs="Times New Roman"/>
          <w:sz w:val="24"/>
          <w:szCs w:val="24"/>
        </w:rPr>
      </w:pPr>
    </w:p>
    <w:p w14:paraId="17E4F352" w14:textId="77777777" w:rsidR="00812CB1" w:rsidRDefault="00A43E67">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5: Evaluating the ISM model using MICMAC analysis</w:t>
      </w:r>
    </w:p>
    <w:p w14:paraId="45576276" w14:textId="77777777" w:rsidR="00812CB1" w:rsidRDefault="00812CB1">
      <w:pPr>
        <w:spacing w:after="0" w:line="240" w:lineRule="auto"/>
        <w:ind w:hanging="2"/>
        <w:jc w:val="both"/>
        <w:rPr>
          <w:rFonts w:ascii="Times New Roman" w:eastAsia="Times New Roman" w:hAnsi="Times New Roman" w:cs="Times New Roman"/>
          <w:sz w:val="24"/>
          <w:szCs w:val="24"/>
        </w:rPr>
      </w:pPr>
    </w:p>
    <w:p w14:paraId="44692242" w14:textId="77777777" w:rsidR="00812CB1" w:rsidRDefault="00A43E67">
      <w:pPr>
        <w:spacing w:after="0" w:line="240" w:lineRule="auto"/>
        <w:ind w:hanging="2"/>
        <w:jc w:val="both"/>
        <w:rPr>
          <w:rFonts w:ascii="Times New Roman" w:eastAsia="Times New Roman" w:hAnsi="Times New Roman" w:cs="Times New Roman"/>
          <w:sz w:val="24"/>
          <w:szCs w:val="24"/>
        </w:rPr>
      </w:pPr>
      <w:bookmarkStart w:id="1" w:name="_heading=h.nd1msu8ca8qo" w:colFirst="0" w:colLast="0"/>
      <w:bookmarkEnd w:id="1"/>
      <w:r>
        <w:rPr>
          <w:rFonts w:ascii="Times New Roman" w:eastAsia="Times New Roman" w:hAnsi="Times New Roman" w:cs="Times New Roman"/>
          <w:sz w:val="24"/>
          <w:szCs w:val="24"/>
        </w:rPr>
        <w:t>The final step was to evaluate the ISM model using the</w:t>
      </w:r>
      <w:r>
        <w:t xml:space="preserve"> </w:t>
      </w:r>
      <w:r>
        <w:rPr>
          <w:rFonts w:ascii="Times New Roman" w:eastAsia="Times New Roman" w:hAnsi="Times New Roman" w:cs="Times New Roman"/>
          <w:sz w:val="24"/>
          <w:szCs w:val="24"/>
        </w:rPr>
        <w:t>Matrix of Cross-Impact Multiplications Applied to Classification (MICMAC) analysis method (</w:t>
      </w:r>
      <w:proofErr w:type="spellStart"/>
      <w:r>
        <w:rPr>
          <w:rFonts w:ascii="Times New Roman" w:eastAsia="Times New Roman" w:hAnsi="Times New Roman" w:cs="Times New Roman"/>
          <w:sz w:val="24"/>
          <w:szCs w:val="24"/>
        </w:rPr>
        <w:t>Jamaludin</w:t>
      </w:r>
      <w:proofErr w:type="spellEnd"/>
      <w:r>
        <w:rPr>
          <w:rFonts w:ascii="Times New Roman" w:eastAsia="Times New Roman" w:hAnsi="Times New Roman" w:cs="Times New Roman"/>
          <w:sz w:val="24"/>
          <w:szCs w:val="24"/>
        </w:rPr>
        <w:t xml:space="preserve"> et al., 2025). MICMAC was applied to analyse and classify the factors identified through ISM based on their driving power and dependence power (</w:t>
      </w:r>
      <w:proofErr w:type="spellStart"/>
      <w:r>
        <w:rPr>
          <w:rFonts w:ascii="Times New Roman" w:eastAsia="Times New Roman" w:hAnsi="Times New Roman" w:cs="Times New Roman"/>
          <w:sz w:val="24"/>
          <w:szCs w:val="24"/>
        </w:rPr>
        <w:t>Zulkefli</w:t>
      </w:r>
      <w:proofErr w:type="spellEnd"/>
      <w:r>
        <w:rPr>
          <w:rFonts w:ascii="Times New Roman" w:eastAsia="Times New Roman" w:hAnsi="Times New Roman" w:cs="Times New Roman"/>
          <w:sz w:val="24"/>
          <w:szCs w:val="24"/>
        </w:rPr>
        <w:t xml:space="preserve"> et al., 2024). This method classifies the factors into four groups: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Independent factors: strong driving power but weak dependence power, (ii) Linkage factors: both strong driving and strong dependence power, (iii) Autonomous factors: weak driving power and weak dependence power and (iv) Dependent factors: weak driving power but strong dependence power (</w:t>
      </w:r>
      <w:proofErr w:type="spellStart"/>
      <w:r>
        <w:rPr>
          <w:rFonts w:ascii="Times New Roman" w:eastAsia="Times New Roman" w:hAnsi="Times New Roman" w:cs="Times New Roman"/>
          <w:sz w:val="24"/>
          <w:szCs w:val="24"/>
        </w:rPr>
        <w:t>Zulkefli</w:t>
      </w:r>
      <w:proofErr w:type="spellEnd"/>
      <w:r>
        <w:rPr>
          <w:rFonts w:ascii="Times New Roman" w:eastAsia="Times New Roman" w:hAnsi="Times New Roman" w:cs="Times New Roman"/>
          <w:sz w:val="24"/>
          <w:szCs w:val="24"/>
        </w:rPr>
        <w:t xml:space="preserve"> et al., 2024). In this study, MICMAC analysis was used to analyse the degree of interrelationships between the factors in developing the educational development framework. </w:t>
      </w:r>
    </w:p>
    <w:p w14:paraId="10540C34" w14:textId="77777777" w:rsidR="00812CB1" w:rsidRDefault="00812CB1">
      <w:pPr>
        <w:spacing w:after="0" w:line="240" w:lineRule="auto"/>
        <w:ind w:firstLine="0"/>
        <w:jc w:val="both"/>
        <w:rPr>
          <w:rFonts w:ascii="Times New Roman" w:eastAsia="Times New Roman" w:hAnsi="Times New Roman" w:cs="Times New Roman"/>
          <w:color w:val="000000"/>
          <w:sz w:val="24"/>
          <w:szCs w:val="24"/>
        </w:rPr>
      </w:pPr>
    </w:p>
    <w:p w14:paraId="0364F2A6" w14:textId="77777777" w:rsidR="00812CB1" w:rsidRDefault="00812CB1">
      <w:pPr>
        <w:spacing w:after="0" w:line="240" w:lineRule="auto"/>
        <w:ind w:firstLine="0"/>
        <w:jc w:val="both"/>
        <w:rPr>
          <w:rFonts w:ascii="Times New Roman" w:eastAsia="Times New Roman" w:hAnsi="Times New Roman" w:cs="Times New Roman"/>
          <w:color w:val="000000"/>
          <w:sz w:val="24"/>
          <w:szCs w:val="24"/>
        </w:rPr>
      </w:pPr>
    </w:p>
    <w:p w14:paraId="52BD6FEB" w14:textId="77777777" w:rsidR="00812CB1" w:rsidRDefault="00A43E67">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Results </w:t>
      </w:r>
    </w:p>
    <w:p w14:paraId="487B6B41" w14:textId="77777777" w:rsidR="00812CB1" w:rsidRDefault="00A43E67">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1CE7122" w14:textId="77777777" w:rsidR="00812CB1" w:rsidRDefault="00A43E67">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framework, presented in Figure 1, is based on the results of an ISM session with a panel of experts. It illustrates the interdependence of different factors influencing the educational development of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 with the aim of supporting the creation of a sustainable education system in Malaysia. The arrows in the framework represent the sequence or flow from one factor to another, forming a structured map describing how these factors interact within an overall system. In addition, the model shows which factors need to be addressed first before moving on to others. Based on the findings, some of the critical factors that should be prioritised include ‘Awareness and Cooperation Among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on the Importance of Children’s Education’, ‘Sustainability of Funds for School Development’, ‘Fund Management’, ‘Integrated Curriculum and Syllabus’ and ‘Teaching Staff’. Among these, ‘Awareness and Cooperation Among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on the Importance of Children’s Education’ is located at the top of the ISM hierarchy. This suggests it is the most crucial factor to address first. Once this factor is properly managed, it can support the implementation of other related factors.</w:t>
      </w:r>
    </w:p>
    <w:p w14:paraId="27D6FAFF" w14:textId="77777777" w:rsidR="00812CB1" w:rsidRDefault="00812CB1">
      <w:pPr>
        <w:spacing w:after="0" w:line="240" w:lineRule="auto"/>
        <w:ind w:hanging="2"/>
        <w:jc w:val="both"/>
        <w:rPr>
          <w:rFonts w:ascii="Times New Roman" w:eastAsia="Times New Roman" w:hAnsi="Times New Roman" w:cs="Times New Roman"/>
          <w:sz w:val="24"/>
          <w:szCs w:val="24"/>
        </w:rPr>
      </w:pPr>
    </w:p>
    <w:p w14:paraId="7D67D3B6" w14:textId="77777777" w:rsidR="00812CB1" w:rsidRDefault="00A43E67">
      <w:pPr>
        <w:spacing w:after="0" w:line="240" w:lineRule="auto"/>
        <w:ind w:left="1" w:hanging="3"/>
        <w:jc w:val="center"/>
        <w:rPr>
          <w:rFonts w:ascii="Times New Roman" w:eastAsia="Times New Roman" w:hAnsi="Times New Roman" w:cs="Times New Roman"/>
          <w:sz w:val="32"/>
          <w:szCs w:val="32"/>
        </w:rPr>
      </w:pPr>
      <w:r>
        <w:rPr>
          <w:noProof/>
          <w:sz w:val="28"/>
          <w:szCs w:val="28"/>
          <w:lang w:val="en-MY"/>
        </w:rPr>
        <w:drawing>
          <wp:inline distT="0" distB="0" distL="0" distR="0" wp14:anchorId="6FB91D7C" wp14:editId="2BAD1290">
            <wp:extent cx="5311068" cy="3868558"/>
            <wp:effectExtent l="0" t="0" r="0" b="0"/>
            <wp:docPr id="16428698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311068" cy="3868558"/>
                    </a:xfrm>
                    <a:prstGeom prst="rect">
                      <a:avLst/>
                    </a:prstGeom>
                    <a:ln/>
                  </pic:spPr>
                </pic:pic>
              </a:graphicData>
            </a:graphic>
          </wp:inline>
        </w:drawing>
      </w:r>
    </w:p>
    <w:p w14:paraId="1331ED79" w14:textId="77777777" w:rsidR="00812CB1" w:rsidRDefault="00812CB1">
      <w:pPr>
        <w:spacing w:after="0" w:line="240" w:lineRule="auto"/>
        <w:ind w:hanging="2"/>
        <w:jc w:val="center"/>
        <w:rPr>
          <w:rFonts w:ascii="Times New Roman" w:eastAsia="Times New Roman" w:hAnsi="Times New Roman" w:cs="Times New Roman"/>
          <w:b/>
          <w:sz w:val="24"/>
          <w:szCs w:val="24"/>
        </w:rPr>
      </w:pPr>
    </w:p>
    <w:p w14:paraId="7D6FF446" w14:textId="77777777" w:rsidR="00812CB1" w:rsidRDefault="00A43E67">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 xml:space="preserve">Strategic framework for educational development of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 in Malaysia</w:t>
      </w:r>
    </w:p>
    <w:p w14:paraId="4AFB1FE9" w14:textId="77777777" w:rsidR="00812CB1" w:rsidRDefault="00812CB1">
      <w:pPr>
        <w:spacing w:after="0" w:line="240" w:lineRule="auto"/>
        <w:ind w:hanging="2"/>
        <w:jc w:val="center"/>
        <w:rPr>
          <w:rFonts w:ascii="Times New Roman" w:eastAsia="Times New Roman" w:hAnsi="Times New Roman" w:cs="Times New Roman"/>
          <w:b/>
          <w:sz w:val="24"/>
          <w:szCs w:val="24"/>
        </w:rPr>
      </w:pPr>
    </w:p>
    <w:p w14:paraId="1F03F880" w14:textId="77777777" w:rsidR="00812CB1" w:rsidRDefault="00A43E6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 factors within framework for educational development of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 were categorized into three main groups based on their driving and dependent power. As illustrated in Figure 2 and detailed in Table 3, the framework groups the factors into: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Independent factors, (ii) Autonomous factors and (iii) Dependent factors. </w:t>
      </w:r>
    </w:p>
    <w:p w14:paraId="76610B95" w14:textId="77777777" w:rsidR="00812CB1" w:rsidRDefault="00A43E67">
      <w:pPr>
        <w:spacing w:after="0" w:line="240" w:lineRule="auto"/>
        <w:ind w:hanging="2"/>
        <w:jc w:val="center"/>
        <w:rPr>
          <w:rFonts w:ascii="Times New Roman" w:eastAsia="Times New Roman" w:hAnsi="Times New Roman" w:cs="Times New Roman"/>
          <w:sz w:val="24"/>
          <w:szCs w:val="24"/>
        </w:rPr>
      </w:pPr>
      <w:r>
        <w:rPr>
          <w:noProof/>
          <w:sz w:val="24"/>
          <w:szCs w:val="24"/>
          <w:lang w:val="en-MY"/>
        </w:rPr>
        <w:lastRenderedPageBreak/>
        <w:drawing>
          <wp:inline distT="0" distB="0" distL="0" distR="0" wp14:anchorId="29ADE32C" wp14:editId="4F0776FC">
            <wp:extent cx="4378960" cy="2190750"/>
            <wp:effectExtent l="0" t="0" r="2540" b="0"/>
            <wp:docPr id="16428698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5982"/>
                    <a:stretch>
                      <a:fillRect/>
                    </a:stretch>
                  </pic:blipFill>
                  <pic:spPr>
                    <a:xfrm>
                      <a:off x="0" y="0"/>
                      <a:ext cx="4379446" cy="2190993"/>
                    </a:xfrm>
                    <a:prstGeom prst="rect">
                      <a:avLst/>
                    </a:prstGeom>
                    <a:ln/>
                  </pic:spPr>
                </pic:pic>
              </a:graphicData>
            </a:graphic>
          </wp:inline>
        </w:drawing>
      </w:r>
    </w:p>
    <w:p w14:paraId="04063F1B" w14:textId="77777777" w:rsidR="00812CB1" w:rsidRDefault="00812CB1">
      <w:pPr>
        <w:spacing w:after="0" w:line="240" w:lineRule="auto"/>
        <w:ind w:hanging="2"/>
        <w:jc w:val="center"/>
        <w:rPr>
          <w:rFonts w:ascii="Times New Roman" w:eastAsia="Times New Roman" w:hAnsi="Times New Roman" w:cs="Times New Roman"/>
          <w:b/>
          <w:sz w:val="24"/>
          <w:szCs w:val="24"/>
        </w:rPr>
      </w:pPr>
    </w:p>
    <w:p w14:paraId="7EAF988A" w14:textId="77777777" w:rsidR="00812CB1" w:rsidRDefault="00A43E67">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2. </w:t>
      </w:r>
      <w:proofErr w:type="spellStart"/>
      <w:r>
        <w:rPr>
          <w:rFonts w:ascii="Times New Roman" w:eastAsia="Times New Roman" w:hAnsi="Times New Roman" w:cs="Times New Roman"/>
          <w:sz w:val="24"/>
          <w:szCs w:val="24"/>
        </w:rPr>
        <w:t>Conica</w:t>
      </w:r>
      <w:proofErr w:type="spellEnd"/>
      <w:r>
        <w:rPr>
          <w:rFonts w:ascii="Times New Roman" w:eastAsia="Times New Roman" w:hAnsi="Times New Roman" w:cs="Times New Roman"/>
          <w:sz w:val="24"/>
          <w:szCs w:val="24"/>
        </w:rPr>
        <w:t xml:space="preserve"> matrix of the educational development of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w:t>
      </w:r>
    </w:p>
    <w:p w14:paraId="317BED01" w14:textId="77777777" w:rsidR="00812CB1" w:rsidRDefault="00812CB1">
      <w:pPr>
        <w:spacing w:after="0" w:line="240" w:lineRule="auto"/>
        <w:ind w:hanging="2"/>
        <w:jc w:val="center"/>
        <w:rPr>
          <w:rFonts w:ascii="Times New Roman" w:eastAsia="Times New Roman" w:hAnsi="Times New Roman" w:cs="Times New Roman"/>
          <w:b/>
          <w:sz w:val="24"/>
          <w:szCs w:val="24"/>
        </w:rPr>
      </w:pPr>
    </w:p>
    <w:p w14:paraId="7A401767" w14:textId="77777777" w:rsidR="00812CB1" w:rsidRDefault="00A43E6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categorization of educational development factors is essential for building a sustainable education framework for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in Malaysia. As illustrated in Figure 2, the Driver-Dependency Matrix categorizes these factors based on their driving and dependence power. The first group (independent factor) includes ‘Awareness and Cooperation Among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on the Importance of Children’s Education’, ‘Sustainability of Funds for School Development’, ‘Fund Management’ and ‘Integrated Curriculum and Syllabus’.</w:t>
      </w:r>
      <w:r>
        <w:rPr>
          <w:sz w:val="24"/>
          <w:szCs w:val="24"/>
        </w:rPr>
        <w:t xml:space="preserve"> </w:t>
      </w:r>
      <w:r>
        <w:rPr>
          <w:rFonts w:ascii="Times New Roman" w:eastAsia="Times New Roman" w:hAnsi="Times New Roman" w:cs="Times New Roman"/>
          <w:sz w:val="24"/>
          <w:szCs w:val="24"/>
        </w:rPr>
        <w:t xml:space="preserve">These factors form the foundation of educational development as they strongly influence the system and must be prioritized. The second group (linkage factor) includes only one factor: ‘Cooperation and Approval from the Authority’, highlighting their vital role in connecting with other factors. </w:t>
      </w:r>
    </w:p>
    <w:p w14:paraId="07CEB4AC" w14:textId="77777777" w:rsidR="00812CB1" w:rsidRDefault="00A43E6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group (dependent factors) includes ‘Infrastructure’, ‘Governance of the School System’, ‘Local Community Awareness and Support’, ‘The Establishment of Parent and Teacher Association (PIBG) in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Schools’ and Internal Affairs</w:t>
      </w:r>
      <w:r>
        <w:rPr>
          <w:sz w:val="24"/>
          <w:szCs w:val="24"/>
        </w:rPr>
        <w:t xml:space="preserve"> </w:t>
      </w:r>
      <w:r>
        <w:rPr>
          <w:rFonts w:ascii="Times New Roman" w:eastAsia="Times New Roman" w:hAnsi="Times New Roman" w:cs="Times New Roman"/>
          <w:sz w:val="24"/>
          <w:szCs w:val="24"/>
        </w:rPr>
        <w:t xml:space="preserve">Management within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These factors are important, but they depend on other factors. Finally, the fourth group (autonomous factors) was not represented in this study. Based on these groupings, the framework is divided into three phases: initiation (independent group), intervening (linkage group) and sustaining (dependent group), as shown in the framework in Figure 1.</w:t>
      </w:r>
    </w:p>
    <w:p w14:paraId="1FF5CD7A" w14:textId="77777777" w:rsidR="00812CB1" w:rsidRDefault="00812CB1">
      <w:pPr>
        <w:spacing w:after="0"/>
        <w:ind w:firstLine="720"/>
        <w:jc w:val="center"/>
        <w:rPr>
          <w:rFonts w:ascii="Times New Roman" w:eastAsia="Times New Roman" w:hAnsi="Times New Roman" w:cs="Times New Roman"/>
          <w:sz w:val="24"/>
          <w:szCs w:val="24"/>
        </w:rPr>
      </w:pPr>
    </w:p>
    <w:p w14:paraId="33D8947E" w14:textId="77777777" w:rsidR="00812CB1" w:rsidRDefault="00A43E67">
      <w:pPr>
        <w:spacing w:after="0"/>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 </w:t>
      </w:r>
      <w:r>
        <w:rPr>
          <w:rFonts w:ascii="Times New Roman" w:eastAsia="Times New Roman" w:hAnsi="Times New Roman" w:cs="Times New Roman"/>
          <w:sz w:val="24"/>
          <w:szCs w:val="24"/>
        </w:rPr>
        <w:t xml:space="preserve">Summary of educational development categories for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 based on MICMAC analysis</w:t>
      </w:r>
    </w:p>
    <w:p w14:paraId="16C57114" w14:textId="77777777" w:rsidR="00812CB1" w:rsidRDefault="00812CB1">
      <w:pPr>
        <w:spacing w:after="0"/>
        <w:ind w:left="2" w:hanging="2"/>
        <w:jc w:val="center"/>
        <w:rPr>
          <w:rFonts w:ascii="Times New Roman" w:eastAsia="Times New Roman" w:hAnsi="Times New Roman" w:cs="Times New Roman"/>
          <w:b/>
          <w:sz w:val="24"/>
          <w:szCs w:val="24"/>
        </w:rPr>
      </w:pPr>
    </w:p>
    <w:tbl>
      <w:tblPr>
        <w:tblStyle w:val="a1"/>
        <w:tblW w:w="9351" w:type="dxa"/>
        <w:tblBorders>
          <w:top w:val="nil"/>
          <w:left w:val="nil"/>
          <w:bottom w:val="nil"/>
          <w:right w:val="nil"/>
          <w:insideH w:val="nil"/>
          <w:insideV w:val="nil"/>
        </w:tblBorders>
        <w:tblLayout w:type="fixed"/>
        <w:tblLook w:val="0400" w:firstRow="0" w:lastRow="0" w:firstColumn="0" w:lastColumn="0" w:noHBand="0" w:noVBand="1"/>
      </w:tblPr>
      <w:tblGrid>
        <w:gridCol w:w="570"/>
        <w:gridCol w:w="2402"/>
        <w:gridCol w:w="4536"/>
        <w:gridCol w:w="1843"/>
      </w:tblGrid>
      <w:tr w:rsidR="00812CB1" w14:paraId="3821B181" w14:textId="77777777">
        <w:tc>
          <w:tcPr>
            <w:tcW w:w="570" w:type="dxa"/>
            <w:tcBorders>
              <w:top w:val="single" w:sz="4" w:space="0" w:color="000000"/>
              <w:bottom w:val="single" w:sz="4" w:space="0" w:color="000000"/>
            </w:tcBorders>
            <w:shd w:val="clear" w:color="auto" w:fill="8DB3E2"/>
          </w:tcPr>
          <w:p w14:paraId="2F8FD4CC" w14:textId="77777777" w:rsidR="00812CB1" w:rsidRDefault="00A43E67">
            <w:pPr>
              <w:spacing w:after="0" w:line="240" w:lineRule="auto"/>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402" w:type="dxa"/>
            <w:tcBorders>
              <w:top w:val="single" w:sz="4" w:space="0" w:color="000000"/>
              <w:bottom w:val="single" w:sz="4" w:space="0" w:color="000000"/>
            </w:tcBorders>
            <w:shd w:val="clear" w:color="auto" w:fill="8DB3E2"/>
          </w:tcPr>
          <w:p w14:paraId="3BE3695B" w14:textId="77777777" w:rsidR="00812CB1" w:rsidRDefault="00A43E67">
            <w:pPr>
              <w:spacing w:after="0" w:line="240" w:lineRule="auto"/>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w:t>
            </w:r>
          </w:p>
        </w:tc>
        <w:tc>
          <w:tcPr>
            <w:tcW w:w="4536" w:type="dxa"/>
            <w:tcBorders>
              <w:top w:val="single" w:sz="4" w:space="0" w:color="000000"/>
              <w:bottom w:val="single" w:sz="4" w:space="0" w:color="000000"/>
            </w:tcBorders>
            <w:shd w:val="clear" w:color="auto" w:fill="8DB3E2"/>
          </w:tcPr>
          <w:p w14:paraId="1E4D9A55" w14:textId="77777777" w:rsidR="00812CB1" w:rsidRDefault="00A43E67">
            <w:pPr>
              <w:spacing w:after="0" w:line="240" w:lineRule="auto"/>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Characteristics</w:t>
            </w:r>
          </w:p>
        </w:tc>
        <w:tc>
          <w:tcPr>
            <w:tcW w:w="1843" w:type="dxa"/>
            <w:tcBorders>
              <w:top w:val="single" w:sz="4" w:space="0" w:color="000000"/>
              <w:bottom w:val="single" w:sz="4" w:space="0" w:color="000000"/>
            </w:tcBorders>
            <w:shd w:val="clear" w:color="auto" w:fill="8DB3E2"/>
          </w:tcPr>
          <w:p w14:paraId="2226734A" w14:textId="77777777" w:rsidR="00812CB1" w:rsidRDefault="00A43E67">
            <w:pPr>
              <w:spacing w:after="0" w:line="240" w:lineRule="auto"/>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Factors</w:t>
            </w:r>
          </w:p>
        </w:tc>
      </w:tr>
      <w:tr w:rsidR="00812CB1" w14:paraId="53A209D2" w14:textId="77777777">
        <w:tc>
          <w:tcPr>
            <w:tcW w:w="570" w:type="dxa"/>
            <w:tcBorders>
              <w:top w:val="single" w:sz="4" w:space="0" w:color="000000"/>
            </w:tcBorders>
          </w:tcPr>
          <w:p w14:paraId="7FA3709C" w14:textId="77777777" w:rsidR="00812CB1" w:rsidRDefault="00A43E67">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2" w:type="dxa"/>
            <w:tcBorders>
              <w:top w:val="single" w:sz="4" w:space="0" w:color="000000"/>
            </w:tcBorders>
          </w:tcPr>
          <w:p w14:paraId="3C240D34" w14:textId="77777777" w:rsidR="00812CB1" w:rsidRDefault="00A43E67">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 factor</w:t>
            </w:r>
          </w:p>
        </w:tc>
        <w:tc>
          <w:tcPr>
            <w:tcW w:w="4536" w:type="dxa"/>
            <w:tcBorders>
              <w:top w:val="single" w:sz="4" w:space="0" w:color="000000"/>
            </w:tcBorders>
          </w:tcPr>
          <w:p w14:paraId="4E1B5988" w14:textId="77777777" w:rsidR="00812CB1" w:rsidRDefault="00A43E67">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 factors that need to be addressed before others due to their high driving power</w:t>
            </w:r>
          </w:p>
        </w:tc>
        <w:tc>
          <w:tcPr>
            <w:tcW w:w="1843" w:type="dxa"/>
            <w:tcBorders>
              <w:top w:val="single" w:sz="4" w:space="0" w:color="000000"/>
            </w:tcBorders>
          </w:tcPr>
          <w:p w14:paraId="0A46A7DA" w14:textId="77777777" w:rsidR="00812CB1" w:rsidRDefault="00A43E67">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2,3,6,10,11</w:t>
            </w:r>
          </w:p>
        </w:tc>
      </w:tr>
      <w:tr w:rsidR="00812CB1" w14:paraId="192DBF0E" w14:textId="77777777">
        <w:tc>
          <w:tcPr>
            <w:tcW w:w="570" w:type="dxa"/>
          </w:tcPr>
          <w:p w14:paraId="0A5F9CE7" w14:textId="77777777" w:rsidR="00812CB1" w:rsidRDefault="00A43E67">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2" w:type="dxa"/>
          </w:tcPr>
          <w:p w14:paraId="1112F4B5" w14:textId="77777777" w:rsidR="00812CB1" w:rsidRDefault="00A43E67">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Linkage factor</w:t>
            </w:r>
          </w:p>
        </w:tc>
        <w:tc>
          <w:tcPr>
            <w:tcW w:w="4536" w:type="dxa"/>
          </w:tcPr>
          <w:p w14:paraId="1F426C5E" w14:textId="77777777" w:rsidR="00812CB1" w:rsidRDefault="00A43E67">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Factors that serve as a link between independent and dependent factors</w:t>
            </w:r>
          </w:p>
        </w:tc>
        <w:tc>
          <w:tcPr>
            <w:tcW w:w="1843" w:type="dxa"/>
          </w:tcPr>
          <w:p w14:paraId="524416DB" w14:textId="77777777" w:rsidR="00812CB1" w:rsidRDefault="00A43E67">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12CB1" w14:paraId="79CE3864" w14:textId="77777777">
        <w:tc>
          <w:tcPr>
            <w:tcW w:w="570" w:type="dxa"/>
          </w:tcPr>
          <w:p w14:paraId="0B073A5B" w14:textId="77777777" w:rsidR="00812CB1" w:rsidRDefault="00A43E67">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02" w:type="dxa"/>
          </w:tcPr>
          <w:p w14:paraId="2F56665D" w14:textId="77777777" w:rsidR="00812CB1" w:rsidRDefault="00A43E67">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Autonomous factor</w:t>
            </w:r>
          </w:p>
        </w:tc>
        <w:tc>
          <w:tcPr>
            <w:tcW w:w="4536" w:type="dxa"/>
          </w:tcPr>
          <w:p w14:paraId="20A1C532" w14:textId="77777777" w:rsidR="00812CB1" w:rsidRDefault="00A43E67">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Factors with low driving and dependence power; less connected to the other factors</w:t>
            </w:r>
          </w:p>
        </w:tc>
        <w:tc>
          <w:tcPr>
            <w:tcW w:w="1843" w:type="dxa"/>
          </w:tcPr>
          <w:p w14:paraId="7916C69C" w14:textId="77777777" w:rsidR="00812CB1" w:rsidRDefault="00A43E67">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812CB1" w14:paraId="3FE4A40F" w14:textId="77777777">
        <w:tc>
          <w:tcPr>
            <w:tcW w:w="570" w:type="dxa"/>
            <w:tcBorders>
              <w:bottom w:val="single" w:sz="4" w:space="0" w:color="000000"/>
            </w:tcBorders>
          </w:tcPr>
          <w:p w14:paraId="77565FEB" w14:textId="77777777" w:rsidR="00812CB1" w:rsidRDefault="00A43E67">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2" w:type="dxa"/>
            <w:tcBorders>
              <w:bottom w:val="single" w:sz="4" w:space="0" w:color="000000"/>
            </w:tcBorders>
          </w:tcPr>
          <w:p w14:paraId="47AAA37F" w14:textId="77777777" w:rsidR="00812CB1" w:rsidRDefault="00A43E67">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factor</w:t>
            </w:r>
          </w:p>
        </w:tc>
        <w:tc>
          <w:tcPr>
            <w:tcW w:w="4536" w:type="dxa"/>
            <w:tcBorders>
              <w:bottom w:val="single" w:sz="4" w:space="0" w:color="000000"/>
            </w:tcBorders>
          </w:tcPr>
          <w:p w14:paraId="784F12FA" w14:textId="77777777" w:rsidR="00812CB1" w:rsidRDefault="00A43E67">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Factors with low driving power but high dependence; influenced by other factors</w:t>
            </w:r>
          </w:p>
        </w:tc>
        <w:tc>
          <w:tcPr>
            <w:tcW w:w="1843" w:type="dxa"/>
            <w:tcBorders>
              <w:bottom w:val="single" w:sz="4" w:space="0" w:color="000000"/>
            </w:tcBorders>
          </w:tcPr>
          <w:p w14:paraId="0C980AD7" w14:textId="77777777" w:rsidR="00812CB1" w:rsidRDefault="00A43E67">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1,4,7,8,9</w:t>
            </w:r>
          </w:p>
        </w:tc>
      </w:tr>
    </w:tbl>
    <w:p w14:paraId="7EBD8851" w14:textId="77777777" w:rsidR="00A30EF5" w:rsidRDefault="00A30EF5">
      <w:pPr>
        <w:spacing w:after="0" w:line="240" w:lineRule="auto"/>
        <w:ind w:firstLine="0"/>
        <w:jc w:val="both"/>
        <w:rPr>
          <w:rFonts w:ascii="Times New Roman" w:eastAsia="Times New Roman" w:hAnsi="Times New Roman" w:cs="Times New Roman"/>
          <w:b/>
          <w:color w:val="000000"/>
          <w:sz w:val="24"/>
          <w:szCs w:val="24"/>
        </w:rPr>
      </w:pPr>
    </w:p>
    <w:p w14:paraId="4176B801" w14:textId="6223493D" w:rsidR="00812CB1" w:rsidRDefault="00A43E67">
      <w:pPr>
        <w:spacing w:after="0" w:line="240" w:lineRule="auto"/>
        <w:ind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Discussion</w:t>
      </w:r>
    </w:p>
    <w:p w14:paraId="027DCF11" w14:textId="77777777" w:rsidR="00812CB1" w:rsidRDefault="00812CB1">
      <w:pPr>
        <w:spacing w:after="0" w:line="240" w:lineRule="auto"/>
        <w:ind w:firstLine="0"/>
        <w:jc w:val="both"/>
        <w:rPr>
          <w:rFonts w:ascii="Times New Roman" w:eastAsia="Times New Roman" w:hAnsi="Times New Roman" w:cs="Times New Roman"/>
          <w:b/>
          <w:color w:val="000000"/>
          <w:sz w:val="24"/>
          <w:szCs w:val="24"/>
        </w:rPr>
      </w:pPr>
    </w:p>
    <w:p w14:paraId="2F7D6457" w14:textId="77777777" w:rsidR="00812CB1" w:rsidRDefault="00A43E67">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framework (Figure 1) illustrates that Factor 6 ‘Awareness and Cooperation Among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on the Importance of Children’s Education’, is the most significant driver of educational development and the most influential in affecting other related factors.</w:t>
      </w:r>
      <w:r>
        <w:t xml:space="preserve"> </w:t>
      </w:r>
      <w:r>
        <w:rPr>
          <w:rFonts w:ascii="Times New Roman" w:eastAsia="Times New Roman" w:hAnsi="Times New Roman" w:cs="Times New Roman"/>
          <w:sz w:val="24"/>
          <w:szCs w:val="24"/>
        </w:rPr>
        <w:t xml:space="preserve">Positioned at the top of the framework, this factor should be prioritized by relevant stakeholders to provide education for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 children in Malaysia. This finding aligns with the MICMAC analysis (Figure 2), which identifies Factor 6 as the most influential independent factor, indicating its strong impact on the other elements within the framework. According to </w:t>
      </w:r>
      <w:proofErr w:type="spellStart"/>
      <w:r>
        <w:rPr>
          <w:rFonts w:ascii="Times New Roman" w:eastAsia="Times New Roman" w:hAnsi="Times New Roman" w:cs="Times New Roman"/>
          <w:sz w:val="24"/>
          <w:szCs w:val="24"/>
        </w:rPr>
        <w:t>Wati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Sahid</w:t>
      </w:r>
      <w:proofErr w:type="spellEnd"/>
      <w:r>
        <w:rPr>
          <w:rFonts w:ascii="Times New Roman" w:eastAsia="Times New Roman" w:hAnsi="Times New Roman" w:cs="Times New Roman"/>
          <w:sz w:val="24"/>
          <w:szCs w:val="24"/>
        </w:rPr>
        <w:t xml:space="preserve"> (2022), parents’ awareness of the importance of education significantly influences their decisions regarding their children’s schooling. When parents and community members understand the value of education for their children’s future, they are more likely to support it by enrolling their children in school, encouraging their learning and promoting better educational opportunities. However, several factors continue to hinder refugee children’s access to education, such as parents’ limited awareness, especially concerning girls’ education and economic hardship that forces families to withdraw their children from school and push them into the labour force (</w:t>
      </w:r>
      <w:proofErr w:type="spellStart"/>
      <w:r>
        <w:rPr>
          <w:rFonts w:ascii="Times New Roman" w:eastAsia="Times New Roman" w:hAnsi="Times New Roman" w:cs="Times New Roman"/>
          <w:sz w:val="24"/>
          <w:szCs w:val="24"/>
        </w:rPr>
        <w:t>Palik</w:t>
      </w:r>
      <w:proofErr w:type="spellEnd"/>
      <w:r>
        <w:rPr>
          <w:rFonts w:ascii="Times New Roman" w:eastAsia="Times New Roman" w:hAnsi="Times New Roman" w:cs="Times New Roman"/>
          <w:sz w:val="24"/>
          <w:szCs w:val="24"/>
        </w:rPr>
        <w:t>, 2020). As such, long-term educational development depends on a bottom-up approach in which the community itself recognizes the benefits of education, not only for their children but also for the society and nation.</w:t>
      </w:r>
    </w:p>
    <w:p w14:paraId="787F3B0A" w14:textId="575C64FA" w:rsidR="00812CB1" w:rsidRDefault="00A43E6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framework suggests that after addressing Factor 6, attention should be given to Factor 11, ‘Sustainability of Funds for School Development,’ as it plays a critical role in educational development. Sustainability of funds is not merely a financial concern but a foundational requirement for the long-term success of refugee education. Stable and continuous funding ensures that educational initiatives, infrastructure and daily operations can proceed without disruption, while insufficient funding often leads to the lack of essential facilities, equipment and learning materials (</w:t>
      </w:r>
      <w:proofErr w:type="spellStart"/>
      <w:r>
        <w:rPr>
          <w:rFonts w:ascii="Times New Roman" w:eastAsia="Times New Roman" w:hAnsi="Times New Roman" w:cs="Times New Roman"/>
          <w:sz w:val="24"/>
          <w:szCs w:val="24"/>
        </w:rPr>
        <w:t>Akinyemi</w:t>
      </w:r>
      <w:proofErr w:type="spellEnd"/>
      <w:r>
        <w:rPr>
          <w:rFonts w:ascii="Times New Roman" w:eastAsia="Times New Roman" w:hAnsi="Times New Roman" w:cs="Times New Roman"/>
          <w:sz w:val="24"/>
          <w:szCs w:val="24"/>
        </w:rPr>
        <w:t xml:space="preserve"> et al., 2022). To support this, effective fund management, as highlighted in Factor 10, ‘Fund Management,’ is essential. Even when funds are available, poor administrative practices such as weak budgeting, ineffective record-keeping and lack of accountability can hinder progress (</w:t>
      </w:r>
      <w:proofErr w:type="spellStart"/>
      <w:r>
        <w:rPr>
          <w:rFonts w:ascii="Times New Roman" w:eastAsia="Times New Roman" w:hAnsi="Times New Roman" w:cs="Times New Roman"/>
          <w:sz w:val="24"/>
          <w:szCs w:val="24"/>
        </w:rPr>
        <w:t>Olaifa</w:t>
      </w:r>
      <w:proofErr w:type="spellEnd"/>
      <w:r>
        <w:rPr>
          <w:rFonts w:ascii="Times New Roman" w:eastAsia="Times New Roman" w:hAnsi="Times New Roman" w:cs="Times New Roman"/>
          <w:sz w:val="24"/>
          <w:szCs w:val="24"/>
        </w:rPr>
        <w:t xml:space="preserve"> et al., 2024).</w:t>
      </w:r>
      <w:r>
        <w:t xml:space="preserve"> </w:t>
      </w:r>
      <w:r>
        <w:rPr>
          <w:rFonts w:ascii="Times New Roman" w:eastAsia="Times New Roman" w:hAnsi="Times New Roman" w:cs="Times New Roman"/>
          <w:sz w:val="24"/>
          <w:szCs w:val="24"/>
        </w:rPr>
        <w:t xml:space="preserve">Furthermore, the framework highlights that once funding sustainability is achieved, attention should shift to Factor 3, ‘Integrated Curriculum and Syllabus,’ where the introduction of an integrated curriculum in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schools can provide a more systematic and holistic education. As Rahman and Husain (2022) emphasize, integrated curricula allow students to make connections between subjects, thereby enhancing their critical thinking and problem-solving abilities. The introduction of such curricula can help build foundational knowledge for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 children. Additionally, the framework indicates that once Factor 10, ‘Fund Management,’ is addressed, attention should be directed to Factor 2, ‘Teaching Staff,’ as a critical component of educational development. Teachers play a central role in promoting both the intellectual and social development of students (</w:t>
      </w:r>
      <w:proofErr w:type="spellStart"/>
      <w:r>
        <w:rPr>
          <w:rFonts w:ascii="Times New Roman" w:eastAsia="Times New Roman" w:hAnsi="Times New Roman" w:cs="Times New Roman"/>
          <w:sz w:val="24"/>
          <w:szCs w:val="24"/>
        </w:rPr>
        <w:t>Hee</w:t>
      </w:r>
      <w:proofErr w:type="spellEnd"/>
      <w:r>
        <w:rPr>
          <w:rFonts w:ascii="Times New Roman" w:eastAsia="Times New Roman" w:hAnsi="Times New Roman" w:cs="Times New Roman"/>
          <w:sz w:val="24"/>
          <w:szCs w:val="24"/>
        </w:rPr>
        <w:t xml:space="preserve"> et al., 2019). They are considered the backbone of educational development, as they directly shape the quality of instruction, influence student outcomes and contribute to long-term societal progress.</w:t>
      </w:r>
    </w:p>
    <w:p w14:paraId="4408F2E2" w14:textId="77777777" w:rsidR="00812CB1" w:rsidRDefault="00A43E6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independent factors such as Factors 6, 11, 10, 3 and 2 are addressed, the framework highlights that, in order to provide education for refugee children, stakeholders must focus on Factor 5, ‘Cooperation and Approval from the Authority.’ This implies that once basic educational needs are in place, obtaining approval from government or local authorities becomes essential to legitimize refugee education institutions. Without such approval, schools may operate </w:t>
      </w:r>
      <w:r>
        <w:rPr>
          <w:rFonts w:ascii="Times New Roman" w:eastAsia="Times New Roman" w:hAnsi="Times New Roman" w:cs="Times New Roman"/>
          <w:sz w:val="24"/>
          <w:szCs w:val="24"/>
        </w:rPr>
        <w:lastRenderedPageBreak/>
        <w:t xml:space="preserve">informally, thereby limiting access to public support and financial assistance. In the Malaysian context, the establishment of a private school requires approval from the relevant authorities. As highlighted by Umar and </w:t>
      </w:r>
      <w:proofErr w:type="spellStart"/>
      <w:r>
        <w:rPr>
          <w:rFonts w:ascii="Times New Roman" w:eastAsia="Times New Roman" w:hAnsi="Times New Roman" w:cs="Times New Roman"/>
          <w:sz w:val="24"/>
          <w:szCs w:val="24"/>
        </w:rPr>
        <w:t>Hussin</w:t>
      </w:r>
      <w:proofErr w:type="spellEnd"/>
      <w:r>
        <w:rPr>
          <w:rFonts w:ascii="Times New Roman" w:eastAsia="Times New Roman" w:hAnsi="Times New Roman" w:cs="Times New Roman"/>
          <w:sz w:val="24"/>
          <w:szCs w:val="24"/>
        </w:rPr>
        <w:t xml:space="preserve"> (2009), this process involves various levels of review and endorsement before a school can be officially established and operated. This ensures that institutions comply with the guidelines and regulations set by the government to maintain the quality of education provided in accordance with national standards. According to the National Education Policy book, all Alternative Learning Centres (ALCs) must consistently adhere to existing regulations through regular supervision, inspections and enforcement related to governance, curriculum and educational programs to ensure the delivery of quality education services (</w:t>
      </w:r>
      <w:proofErr w:type="spellStart"/>
      <w:r>
        <w:rPr>
          <w:rFonts w:ascii="Times New Roman" w:eastAsia="Times New Roman" w:hAnsi="Times New Roman" w:cs="Times New Roman"/>
          <w:sz w:val="24"/>
          <w:szCs w:val="24"/>
        </w:rPr>
        <w:t>Palik</w:t>
      </w:r>
      <w:proofErr w:type="spellEnd"/>
      <w:r>
        <w:rPr>
          <w:rFonts w:ascii="Times New Roman" w:eastAsia="Times New Roman" w:hAnsi="Times New Roman" w:cs="Times New Roman"/>
          <w:sz w:val="24"/>
          <w:szCs w:val="24"/>
        </w:rPr>
        <w:t>, 2020).</w:t>
      </w:r>
    </w:p>
    <w:p w14:paraId="265A9282" w14:textId="77777777" w:rsidR="00812CB1" w:rsidRDefault="00A43E6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group in the framework consists of dependent factors that include Factor 7, ‘Local Community Awareness and Support’; Factor 1, ‘Infrastructure’; Factor 4, ‘Governance of the School System’; Factor 8, ‘The Establishment of Parent and Teacher Association (PIBG) in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Schools’; and Factor 9, ‘Internal Affairs Management within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These are identified as subsequent elements that need to be addressed to support sustainable educational development for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 After receiving approval from the authorities (Factor 5), stakeholders must focus on managing Factor 7, as local community acceptance is crucial to preventing discrimination and social exclusion. Negative perceptions of refugees, often portrayed as burdens or threats, can lead to hostility from host communities (Lee, 2023). When the local community accepts the presence of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refugees, it opens opportunities for collaborative support, such as providing educational resources and organizing community fundraising to sustain refugee schooling. </w:t>
      </w:r>
    </w:p>
    <w:p w14:paraId="7BB346DC" w14:textId="77777777" w:rsidR="00812CB1" w:rsidRDefault="00A43E6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this, the framework recommends addressing Factor 1, which concerns the development of school infrastructure. Creating a conducive learning environment with adequate classrooms, basic furniture, electricity and sanitation enables both students and teachers to focus on education. According to UNHCR (2016</w:t>
      </w:r>
      <w:proofErr w:type="gramStart"/>
      <w:r>
        <w:rPr>
          <w:rFonts w:ascii="Times New Roman" w:eastAsia="Times New Roman" w:hAnsi="Times New Roman" w:cs="Times New Roman"/>
          <w:sz w:val="24"/>
          <w:szCs w:val="24"/>
        </w:rPr>
        <w:t>),poor</w:t>
      </w:r>
      <w:proofErr w:type="gramEnd"/>
      <w:r>
        <w:rPr>
          <w:rFonts w:ascii="Times New Roman" w:eastAsia="Times New Roman" w:hAnsi="Times New Roman" w:cs="Times New Roman"/>
          <w:sz w:val="24"/>
          <w:szCs w:val="24"/>
        </w:rPr>
        <w:t xml:space="preserve"> infrastructure and low-quality education are significant barriers to school </w:t>
      </w:r>
      <w:proofErr w:type="spellStart"/>
      <w:r>
        <w:rPr>
          <w:rFonts w:ascii="Times New Roman" w:eastAsia="Times New Roman" w:hAnsi="Times New Roman" w:cs="Times New Roman"/>
          <w:sz w:val="24"/>
          <w:szCs w:val="24"/>
        </w:rPr>
        <w:t>enrollment</w:t>
      </w:r>
      <w:proofErr w:type="spellEnd"/>
      <w:r>
        <w:rPr>
          <w:rFonts w:ascii="Times New Roman" w:eastAsia="Times New Roman" w:hAnsi="Times New Roman" w:cs="Times New Roman"/>
          <w:sz w:val="24"/>
          <w:szCs w:val="24"/>
        </w:rPr>
        <w:t xml:space="preserve"> and retention among refugee children. Thus, establishing the physical foundation of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schools is essential before formal operations begin. Additionally, Factor 4, which highlights the importance of good governance, must also be managed to ensure proper administrative leadership (</w:t>
      </w:r>
      <w:proofErr w:type="spellStart"/>
      <w:r>
        <w:rPr>
          <w:rFonts w:ascii="Times New Roman" w:eastAsia="Times New Roman" w:hAnsi="Times New Roman" w:cs="Times New Roman"/>
          <w:sz w:val="24"/>
          <w:szCs w:val="24"/>
        </w:rPr>
        <w:t>Kadir</w:t>
      </w:r>
      <w:proofErr w:type="spellEnd"/>
      <w:r>
        <w:rPr>
          <w:rFonts w:ascii="Times New Roman" w:eastAsia="Times New Roman" w:hAnsi="Times New Roman" w:cs="Times New Roman"/>
          <w:sz w:val="24"/>
          <w:szCs w:val="24"/>
        </w:rPr>
        <w:t>, 2019). Good governance promotes innovation in curriculum development, teacher training and teaching resources, ultimately enhancing the quality of education and student performance. It also supports transparency, accountability and ongoing institutional improvement, which are necessary for the long-term sustainability of educational services for refugee communities.</w:t>
      </w:r>
    </w:p>
    <w:p w14:paraId="27B26A9F" w14:textId="77777777" w:rsidR="00812CB1" w:rsidRDefault="00A43E6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Factor 8 emphasizes the need to establish PIBGs in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schools. Refugee families often face challenges such as language barriers, financial constraint and unfamiliarity with the local education system. PIBGs offer a platform for collaboration between parents and teachers to overcome these barriers and strengthen student support. As noted by Okafor et al. (2022), PIBGs help parents engage with modern educational practices and community trends. </w:t>
      </w:r>
      <w:proofErr w:type="spellStart"/>
      <w:r>
        <w:rPr>
          <w:rFonts w:ascii="Times New Roman" w:eastAsia="Times New Roman" w:hAnsi="Times New Roman" w:cs="Times New Roman"/>
          <w:sz w:val="24"/>
          <w:szCs w:val="24"/>
        </w:rPr>
        <w:t>Onderi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Makori</w:t>
      </w:r>
      <w:proofErr w:type="spellEnd"/>
      <w:r>
        <w:rPr>
          <w:rFonts w:ascii="Times New Roman" w:eastAsia="Times New Roman" w:hAnsi="Times New Roman" w:cs="Times New Roman"/>
          <w:sz w:val="24"/>
          <w:szCs w:val="24"/>
        </w:rPr>
        <w:t xml:space="preserve"> (2013) also affirm that PIBGs are instrumental in guiding curriculum decisions, facilitating communication, raising school funds and advocating for educational policy. Finally, the framework highlights Factor 9, internal affairs within the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community. Cultural norms, such as expectations for girls to manage household duties or marry young, often hinder their educational participation (</w:t>
      </w:r>
      <w:proofErr w:type="spellStart"/>
      <w:r>
        <w:rPr>
          <w:rFonts w:ascii="Times New Roman" w:eastAsia="Times New Roman" w:hAnsi="Times New Roman" w:cs="Times New Roman"/>
          <w:sz w:val="24"/>
          <w:szCs w:val="24"/>
        </w:rPr>
        <w:t>Samsudin</w:t>
      </w:r>
      <w:proofErr w:type="spellEnd"/>
      <w:r>
        <w:rPr>
          <w:rFonts w:ascii="Times New Roman" w:eastAsia="Times New Roman" w:hAnsi="Times New Roman" w:cs="Times New Roman"/>
          <w:sz w:val="24"/>
          <w:szCs w:val="24"/>
        </w:rPr>
        <w:t xml:space="preserve"> &amp; Ismail, 2022). Addressing internal challenges such as cultural restrictions, disputes and conflicts allows children to focus on learning in a safe and stable environment. Without managing these internal affairs, even well-governed and well-equipped </w:t>
      </w:r>
      <w:r>
        <w:rPr>
          <w:rFonts w:ascii="Times New Roman" w:eastAsia="Times New Roman" w:hAnsi="Times New Roman" w:cs="Times New Roman"/>
          <w:sz w:val="24"/>
          <w:szCs w:val="24"/>
        </w:rPr>
        <w:lastRenderedPageBreak/>
        <w:t xml:space="preserve">schools may struggle with student dropout and disrupted learning. Resolving these issues is therefore essential for fostering both academic success and social development among </w:t>
      </w:r>
      <w:proofErr w:type="spellStart"/>
      <w:r>
        <w:rPr>
          <w:rFonts w:ascii="Times New Roman" w:eastAsia="Times New Roman" w:hAnsi="Times New Roman" w:cs="Times New Roman"/>
          <w:sz w:val="24"/>
          <w:szCs w:val="24"/>
        </w:rPr>
        <w:t>Rohingya</w:t>
      </w:r>
      <w:proofErr w:type="spellEnd"/>
      <w:r>
        <w:rPr>
          <w:rFonts w:ascii="Times New Roman" w:eastAsia="Times New Roman" w:hAnsi="Times New Roman" w:cs="Times New Roman"/>
          <w:sz w:val="24"/>
          <w:szCs w:val="24"/>
        </w:rPr>
        <w:t xml:space="preserve"> refugee children.</w:t>
      </w:r>
    </w:p>
    <w:p w14:paraId="02B1239E" w14:textId="77777777" w:rsidR="00812CB1" w:rsidRDefault="00812CB1">
      <w:pPr>
        <w:pStyle w:val="Heading1"/>
        <w:spacing w:before="0" w:line="240" w:lineRule="auto"/>
        <w:ind w:hanging="2"/>
        <w:rPr>
          <w:rFonts w:ascii="Times New Roman" w:eastAsia="Times New Roman" w:hAnsi="Times New Roman" w:cs="Times New Roman"/>
          <w:b/>
          <w:color w:val="000000"/>
          <w:sz w:val="24"/>
          <w:szCs w:val="24"/>
        </w:rPr>
      </w:pPr>
    </w:p>
    <w:p w14:paraId="60B00D4F" w14:textId="77777777" w:rsidR="00812CB1" w:rsidRDefault="00812CB1">
      <w:pPr>
        <w:pStyle w:val="Heading1"/>
        <w:spacing w:before="0" w:line="240" w:lineRule="auto"/>
        <w:ind w:hanging="2"/>
        <w:rPr>
          <w:rFonts w:ascii="Times New Roman" w:eastAsia="Times New Roman" w:hAnsi="Times New Roman" w:cs="Times New Roman"/>
          <w:b/>
          <w:color w:val="000000"/>
          <w:sz w:val="24"/>
          <w:szCs w:val="24"/>
        </w:rPr>
      </w:pPr>
    </w:p>
    <w:p w14:paraId="5CFB7048" w14:textId="77777777" w:rsidR="00812CB1" w:rsidRDefault="00A43E67">
      <w:pPr>
        <w:pStyle w:val="Heading1"/>
        <w:spacing w:before="0" w:line="240" w:lineRule="auto"/>
        <w:ind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Conclusion </w:t>
      </w:r>
    </w:p>
    <w:p w14:paraId="350F702B" w14:textId="77777777" w:rsidR="00812CB1" w:rsidRDefault="00812CB1">
      <w:pPr>
        <w:spacing w:after="0"/>
        <w:ind w:hanging="2"/>
      </w:pPr>
    </w:p>
    <w:p w14:paraId="2C4EFEAF" w14:textId="60A856AA" w:rsidR="00812CB1" w:rsidRPr="00A30EF5" w:rsidRDefault="00A43E67" w:rsidP="00A30EF5">
      <w:pPr>
        <w:spacing w:after="0" w:line="240" w:lineRule="auto"/>
        <w:ind w:firstLine="0"/>
        <w:jc w:val="both"/>
        <w:rPr>
          <w:rFonts w:ascii="Times New Roman" w:eastAsia="Times New Roman" w:hAnsi="Times New Roman" w:cs="Times New Roman"/>
          <w:bCs/>
          <w:sz w:val="24"/>
          <w:szCs w:val="24"/>
        </w:rPr>
      </w:pPr>
      <w:r w:rsidRPr="00A30EF5">
        <w:rPr>
          <w:rFonts w:ascii="Times New Roman" w:eastAsia="Times New Roman" w:hAnsi="Times New Roman" w:cs="Times New Roman"/>
          <w:bCs/>
          <w:sz w:val="24"/>
          <w:szCs w:val="24"/>
        </w:rPr>
        <w:t xml:space="preserve">In conclusion, the development of a strategic framework for the educational development of </w:t>
      </w:r>
      <w:proofErr w:type="spellStart"/>
      <w:r w:rsidRPr="00A30EF5">
        <w:rPr>
          <w:rFonts w:ascii="Times New Roman" w:eastAsia="Times New Roman" w:hAnsi="Times New Roman" w:cs="Times New Roman"/>
          <w:bCs/>
          <w:sz w:val="24"/>
          <w:szCs w:val="24"/>
        </w:rPr>
        <w:t>Rohingya</w:t>
      </w:r>
      <w:proofErr w:type="spellEnd"/>
      <w:r w:rsidRPr="00A30EF5">
        <w:rPr>
          <w:rFonts w:ascii="Times New Roman" w:eastAsia="Times New Roman" w:hAnsi="Times New Roman" w:cs="Times New Roman"/>
          <w:bCs/>
          <w:sz w:val="24"/>
          <w:szCs w:val="24"/>
        </w:rPr>
        <w:t xml:space="preserve"> refugees in Malaysia represents an important step in addressing the major challenges faced by refugee children in accessing education. This study identified 11 factors, two of which were found to be critical: ‘Awareness and Cooperation Among the </w:t>
      </w:r>
      <w:proofErr w:type="spellStart"/>
      <w:r w:rsidRPr="00A30EF5">
        <w:rPr>
          <w:rFonts w:ascii="Times New Roman" w:eastAsia="Times New Roman" w:hAnsi="Times New Roman" w:cs="Times New Roman"/>
          <w:bCs/>
          <w:sz w:val="24"/>
          <w:szCs w:val="24"/>
        </w:rPr>
        <w:t>Rohingya</w:t>
      </w:r>
      <w:proofErr w:type="spellEnd"/>
      <w:r w:rsidRPr="00A30EF5">
        <w:rPr>
          <w:rFonts w:ascii="Times New Roman" w:eastAsia="Times New Roman" w:hAnsi="Times New Roman" w:cs="Times New Roman"/>
          <w:bCs/>
          <w:sz w:val="24"/>
          <w:szCs w:val="24"/>
        </w:rPr>
        <w:t xml:space="preserve"> Community on the Importance of Children’s Education’ and ‘Sustainability of Funds for School Development’. These two elements form the foundation for improving access to quality education and ensuring the long-term sustainability of educational development for </w:t>
      </w:r>
      <w:proofErr w:type="spellStart"/>
      <w:r w:rsidRPr="00A30EF5">
        <w:rPr>
          <w:rFonts w:ascii="Times New Roman" w:eastAsia="Times New Roman" w:hAnsi="Times New Roman" w:cs="Times New Roman"/>
          <w:bCs/>
          <w:sz w:val="24"/>
          <w:szCs w:val="24"/>
        </w:rPr>
        <w:t>Rohingya</w:t>
      </w:r>
      <w:proofErr w:type="spellEnd"/>
      <w:r w:rsidRPr="00A30EF5">
        <w:rPr>
          <w:rFonts w:ascii="Times New Roman" w:eastAsia="Times New Roman" w:hAnsi="Times New Roman" w:cs="Times New Roman"/>
          <w:bCs/>
          <w:sz w:val="24"/>
          <w:szCs w:val="24"/>
        </w:rPr>
        <w:t xml:space="preserve"> refugees. However, two main limitations should be noted. First, the study relied primarily on expert opinions, which may not fully capture the experiences of the refugee community. Future research should incorporate broader community perspectives, including those of </w:t>
      </w:r>
      <w:proofErr w:type="spellStart"/>
      <w:r w:rsidRPr="00A30EF5">
        <w:rPr>
          <w:rFonts w:ascii="Times New Roman" w:eastAsia="Times New Roman" w:hAnsi="Times New Roman" w:cs="Times New Roman"/>
          <w:bCs/>
          <w:sz w:val="24"/>
          <w:szCs w:val="24"/>
        </w:rPr>
        <w:t>Rohingya</w:t>
      </w:r>
      <w:proofErr w:type="spellEnd"/>
      <w:r w:rsidRPr="00A30EF5">
        <w:rPr>
          <w:rFonts w:ascii="Times New Roman" w:eastAsia="Times New Roman" w:hAnsi="Times New Roman" w:cs="Times New Roman"/>
          <w:bCs/>
          <w:sz w:val="24"/>
          <w:szCs w:val="24"/>
        </w:rPr>
        <w:t xml:space="preserve"> parents, students and educators, to validate the proposed framework. Second, the study focused specifically on the Malaysian context and caution should be exercised when generalising its findings to other settings. Comparative research across different states within Malaysia or other countries would be useful to examine the reliability and adaptability of the framework in various refugee education settings.</w:t>
      </w:r>
    </w:p>
    <w:p w14:paraId="6D8D49FA" w14:textId="006CD0D7" w:rsidR="00812CB1" w:rsidRPr="00A30EF5" w:rsidRDefault="00A43E67" w:rsidP="00A30EF5">
      <w:pPr>
        <w:spacing w:after="0" w:line="240" w:lineRule="auto"/>
        <w:ind w:firstLine="720"/>
        <w:jc w:val="both"/>
        <w:rPr>
          <w:bCs/>
          <w:sz w:val="24"/>
          <w:szCs w:val="24"/>
        </w:rPr>
      </w:pPr>
      <w:r w:rsidRPr="00A30EF5">
        <w:rPr>
          <w:rFonts w:ascii="Times New Roman" w:eastAsia="Times New Roman" w:hAnsi="Times New Roman" w:cs="Times New Roman"/>
          <w:bCs/>
          <w:sz w:val="24"/>
          <w:szCs w:val="24"/>
        </w:rPr>
        <w:t xml:space="preserve">In addition, this study makes a significant contribution to both knowledge development and government policy. It contributes to the body of knowledge by developing a framework for the educational development of </w:t>
      </w:r>
      <w:proofErr w:type="spellStart"/>
      <w:r w:rsidRPr="00A30EF5">
        <w:rPr>
          <w:rFonts w:ascii="Times New Roman" w:eastAsia="Times New Roman" w:hAnsi="Times New Roman" w:cs="Times New Roman"/>
          <w:bCs/>
          <w:sz w:val="24"/>
          <w:szCs w:val="24"/>
        </w:rPr>
        <w:t>Rohingya</w:t>
      </w:r>
      <w:proofErr w:type="spellEnd"/>
      <w:r w:rsidRPr="00A30EF5">
        <w:rPr>
          <w:rFonts w:ascii="Times New Roman" w:eastAsia="Times New Roman" w:hAnsi="Times New Roman" w:cs="Times New Roman"/>
          <w:bCs/>
          <w:sz w:val="24"/>
          <w:szCs w:val="24"/>
        </w:rPr>
        <w:t xml:space="preserve"> refugees in Malaysia. The study addresses a notable gap in the existing literature, where refugee education strategies are often generic and fail to account for the political, legal and cultural context of Malaysia. Through the involvement of diverse stakeholders and the use of the ISM method, the study provides empirical evidence and presents a framework tailored to the Malaysian context. Furthermore, this research contributes to policymaking by proposing a framework that can inform policymakers and support the revision of existing refugee education policies. It highlights the importance of collaboration between governments, NGOs and local communities, demonstrating how policies can integrate these actors to create more sustainable educational opportunities for refugees. The framework provides policymakers with robust recommendations to improve access to education for refugee children, not only in Malaysia but also in other countries hosting similar refugee populations.</w:t>
      </w:r>
    </w:p>
    <w:p w14:paraId="605BE3D2" w14:textId="77777777" w:rsidR="00812CB1" w:rsidRDefault="00812CB1">
      <w:pPr>
        <w:pStyle w:val="Heading1"/>
        <w:spacing w:before="0" w:line="240" w:lineRule="auto"/>
        <w:ind w:hanging="2"/>
        <w:rPr>
          <w:rFonts w:ascii="Times New Roman" w:eastAsia="Times New Roman" w:hAnsi="Times New Roman" w:cs="Times New Roman"/>
          <w:b/>
          <w:color w:val="000000"/>
          <w:sz w:val="24"/>
          <w:szCs w:val="24"/>
        </w:rPr>
      </w:pPr>
    </w:p>
    <w:p w14:paraId="403FCDA0" w14:textId="77777777" w:rsidR="00812CB1" w:rsidRDefault="00812CB1">
      <w:pPr>
        <w:pStyle w:val="Heading1"/>
        <w:spacing w:before="0" w:line="240" w:lineRule="auto"/>
        <w:ind w:hanging="2"/>
        <w:rPr>
          <w:rFonts w:ascii="Times New Roman" w:eastAsia="Times New Roman" w:hAnsi="Times New Roman" w:cs="Times New Roman"/>
          <w:b/>
          <w:color w:val="000000"/>
          <w:sz w:val="24"/>
          <w:szCs w:val="24"/>
        </w:rPr>
      </w:pPr>
    </w:p>
    <w:p w14:paraId="6AC040E6" w14:textId="77777777" w:rsidR="00812CB1" w:rsidRDefault="00A43E67">
      <w:pPr>
        <w:pStyle w:val="Heading1"/>
        <w:spacing w:before="0" w:line="240" w:lineRule="auto"/>
        <w:ind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14:paraId="6C86A639" w14:textId="77777777" w:rsidR="00812CB1" w:rsidRDefault="00812CB1">
      <w:pPr>
        <w:spacing w:after="0" w:line="240" w:lineRule="auto"/>
        <w:ind w:hanging="2"/>
        <w:rPr>
          <w:rFonts w:ascii="Times New Roman" w:eastAsia="Times New Roman" w:hAnsi="Times New Roman" w:cs="Times New Roman"/>
          <w:sz w:val="24"/>
          <w:szCs w:val="24"/>
        </w:rPr>
      </w:pPr>
    </w:p>
    <w:p w14:paraId="04A3BD6A" w14:textId="6C8E327B"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Abdullah, M. R. T. L. (2014). </w:t>
      </w:r>
      <w:r>
        <w:rPr>
          <w:rFonts w:ascii="Times New Roman" w:eastAsia="Times New Roman" w:hAnsi="Times New Roman" w:cs="Times New Roman"/>
          <w:i/>
          <w:color w:val="000000"/>
          <w:sz w:val="24"/>
          <w:szCs w:val="24"/>
        </w:rPr>
        <w:t xml:space="preserve">Development of Activity-Based </w:t>
      </w:r>
      <w:proofErr w:type="spellStart"/>
      <w:r>
        <w:rPr>
          <w:rFonts w:ascii="Times New Roman" w:eastAsia="Times New Roman" w:hAnsi="Times New Roman" w:cs="Times New Roman"/>
          <w:i/>
          <w:color w:val="000000"/>
          <w:sz w:val="24"/>
          <w:szCs w:val="24"/>
        </w:rPr>
        <w:t>mLearning</w:t>
      </w:r>
      <w:proofErr w:type="spellEnd"/>
      <w:r>
        <w:rPr>
          <w:rFonts w:ascii="Times New Roman" w:eastAsia="Times New Roman" w:hAnsi="Times New Roman" w:cs="Times New Roman"/>
          <w:i/>
          <w:color w:val="000000"/>
          <w:sz w:val="24"/>
          <w:szCs w:val="24"/>
        </w:rPr>
        <w:t xml:space="preserve"> Implementation Model for Undergraduate English Language Learning</w:t>
      </w:r>
      <w:r>
        <w:rPr>
          <w:rFonts w:ascii="Times New Roman" w:eastAsia="Times New Roman" w:hAnsi="Times New Roman" w:cs="Times New Roman"/>
          <w:color w:val="000000"/>
          <w:sz w:val="24"/>
          <w:szCs w:val="24"/>
        </w:rPr>
        <w:t xml:space="preserve"> [Thes</w:t>
      </w:r>
      <w:r w:rsidR="006D5CA1">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z w:val="24"/>
          <w:szCs w:val="24"/>
        </w:rPr>
        <w:t xml:space="preserve"> dissertation, University of Malaya].</w:t>
      </w:r>
    </w:p>
    <w:p w14:paraId="18A643C8"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Abdullah, M. R. T. L., Al-Amin, M. N., Ur-Rahman, A., </w:t>
      </w:r>
      <w:proofErr w:type="spellStart"/>
      <w:r>
        <w:rPr>
          <w:rFonts w:ascii="Times New Roman" w:eastAsia="Times New Roman" w:hAnsi="Times New Roman" w:cs="Times New Roman"/>
          <w:color w:val="000000"/>
          <w:sz w:val="24"/>
          <w:szCs w:val="24"/>
        </w:rPr>
        <w:t>Baharuddin</w:t>
      </w:r>
      <w:proofErr w:type="spellEnd"/>
      <w:r>
        <w:rPr>
          <w:rFonts w:ascii="Times New Roman" w:eastAsia="Times New Roman" w:hAnsi="Times New Roman" w:cs="Times New Roman"/>
          <w:color w:val="000000"/>
          <w:sz w:val="24"/>
          <w:szCs w:val="24"/>
        </w:rPr>
        <w:t xml:space="preserve">, A., &amp; Ahmad, Z. (2017). Sustainable socio-religious harmony development in Malaysia: An interpretive structural modelling for multi-religious society. </w:t>
      </w:r>
      <w:r>
        <w:rPr>
          <w:rFonts w:ascii="Times New Roman" w:eastAsia="Times New Roman" w:hAnsi="Times New Roman" w:cs="Times New Roman"/>
          <w:i/>
          <w:color w:val="000000"/>
          <w:sz w:val="24"/>
          <w:szCs w:val="24"/>
        </w:rPr>
        <w:t>Journal of Al-</w:t>
      </w:r>
      <w:proofErr w:type="spellStart"/>
      <w:r>
        <w:rPr>
          <w:rFonts w:ascii="Times New Roman" w:eastAsia="Times New Roman" w:hAnsi="Times New Roman" w:cs="Times New Roman"/>
          <w:i/>
          <w:color w:val="000000"/>
          <w:sz w:val="24"/>
          <w:szCs w:val="24"/>
        </w:rPr>
        <w:t>Tamaddun</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12</w:t>
      </w:r>
      <w:r>
        <w:rPr>
          <w:rFonts w:ascii="Times New Roman" w:eastAsia="Times New Roman" w:hAnsi="Times New Roman" w:cs="Times New Roman"/>
          <w:color w:val="000000"/>
          <w:sz w:val="24"/>
          <w:szCs w:val="24"/>
        </w:rPr>
        <w:t xml:space="preserve">(1), 53-64. </w:t>
      </w:r>
    </w:p>
    <w:p w14:paraId="3D8312F1"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Ahmad, N., &amp; </w:t>
      </w:r>
      <w:proofErr w:type="spellStart"/>
      <w:r>
        <w:rPr>
          <w:rFonts w:ascii="Times New Roman" w:eastAsia="Times New Roman" w:hAnsi="Times New Roman" w:cs="Times New Roman"/>
          <w:color w:val="000000"/>
          <w:sz w:val="24"/>
          <w:szCs w:val="24"/>
        </w:rPr>
        <w:t>Qahmash</w:t>
      </w:r>
      <w:proofErr w:type="spellEnd"/>
      <w:r>
        <w:rPr>
          <w:rFonts w:ascii="Times New Roman" w:eastAsia="Times New Roman" w:hAnsi="Times New Roman" w:cs="Times New Roman"/>
          <w:color w:val="000000"/>
          <w:sz w:val="24"/>
          <w:szCs w:val="24"/>
        </w:rPr>
        <w:t xml:space="preserve">, A. (2021). </w:t>
      </w:r>
      <w:proofErr w:type="spellStart"/>
      <w:r>
        <w:rPr>
          <w:rFonts w:ascii="Times New Roman" w:eastAsia="Times New Roman" w:hAnsi="Times New Roman" w:cs="Times New Roman"/>
          <w:color w:val="000000"/>
          <w:sz w:val="24"/>
          <w:szCs w:val="24"/>
        </w:rPr>
        <w:t>SmartISM</w:t>
      </w:r>
      <w:proofErr w:type="spellEnd"/>
      <w:r>
        <w:rPr>
          <w:rFonts w:ascii="Times New Roman" w:eastAsia="Times New Roman" w:hAnsi="Times New Roman" w:cs="Times New Roman"/>
          <w:color w:val="000000"/>
          <w:sz w:val="24"/>
          <w:szCs w:val="24"/>
        </w:rPr>
        <w:t xml:space="preserve">: Implementation and assessment of interpretive structural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Sustainability</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13</w:t>
      </w:r>
      <w:r>
        <w:rPr>
          <w:rFonts w:ascii="Times New Roman" w:eastAsia="Times New Roman" w:hAnsi="Times New Roman" w:cs="Times New Roman"/>
          <w:color w:val="000000"/>
          <w:sz w:val="24"/>
          <w:szCs w:val="24"/>
        </w:rPr>
        <w:t xml:space="preserve">(16), 8801. </w:t>
      </w:r>
    </w:p>
    <w:p w14:paraId="687A85BC"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Akinyemi</w:t>
      </w:r>
      <w:proofErr w:type="spellEnd"/>
      <w:r>
        <w:rPr>
          <w:rFonts w:ascii="Times New Roman" w:eastAsia="Times New Roman" w:hAnsi="Times New Roman" w:cs="Times New Roman"/>
          <w:color w:val="000000"/>
          <w:sz w:val="24"/>
          <w:szCs w:val="24"/>
        </w:rPr>
        <w:t xml:space="preserve">, I. A., </w:t>
      </w:r>
      <w:proofErr w:type="spellStart"/>
      <w:r>
        <w:rPr>
          <w:rFonts w:ascii="Times New Roman" w:eastAsia="Times New Roman" w:hAnsi="Times New Roman" w:cs="Times New Roman"/>
          <w:color w:val="000000"/>
          <w:sz w:val="24"/>
          <w:szCs w:val="24"/>
        </w:rPr>
        <w:t>Amaechi</w:t>
      </w:r>
      <w:proofErr w:type="spellEnd"/>
      <w:r>
        <w:rPr>
          <w:rFonts w:ascii="Times New Roman" w:eastAsia="Times New Roman" w:hAnsi="Times New Roman" w:cs="Times New Roman"/>
          <w:color w:val="000000"/>
          <w:sz w:val="24"/>
          <w:szCs w:val="24"/>
        </w:rPr>
        <w:t xml:space="preserve">, L. I., &amp; </w:t>
      </w:r>
      <w:proofErr w:type="spellStart"/>
      <w:r>
        <w:rPr>
          <w:rFonts w:ascii="Times New Roman" w:eastAsia="Times New Roman" w:hAnsi="Times New Roman" w:cs="Times New Roman"/>
          <w:color w:val="000000"/>
          <w:sz w:val="24"/>
          <w:szCs w:val="24"/>
        </w:rPr>
        <w:t>Etoh</w:t>
      </w:r>
      <w:proofErr w:type="spellEnd"/>
      <w:r>
        <w:rPr>
          <w:rFonts w:ascii="Times New Roman" w:eastAsia="Times New Roman" w:hAnsi="Times New Roman" w:cs="Times New Roman"/>
          <w:color w:val="000000"/>
          <w:sz w:val="24"/>
          <w:szCs w:val="24"/>
        </w:rPr>
        <w:t xml:space="preserve">, L. C. (2022). Digitalization of education in Nigerian secondary schools: Benefits &amp; challenges. </w:t>
      </w:r>
      <w:r>
        <w:rPr>
          <w:rFonts w:ascii="Times New Roman" w:eastAsia="Times New Roman" w:hAnsi="Times New Roman" w:cs="Times New Roman"/>
          <w:i/>
          <w:color w:val="000000"/>
          <w:sz w:val="24"/>
          <w:szCs w:val="24"/>
        </w:rPr>
        <w:t>Journal of Education &amp; Humanities Research (JEHR)</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13</w:t>
      </w:r>
      <w:r>
        <w:rPr>
          <w:rFonts w:ascii="Times New Roman" w:eastAsia="Times New Roman" w:hAnsi="Times New Roman" w:cs="Times New Roman"/>
          <w:color w:val="000000"/>
          <w:sz w:val="24"/>
          <w:szCs w:val="24"/>
        </w:rPr>
        <w:t xml:space="preserve">(1), 34-42. </w:t>
      </w:r>
    </w:p>
    <w:p w14:paraId="3F696380" w14:textId="5A13214C"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Ehmer</w:t>
      </w:r>
      <w:proofErr w:type="spellEnd"/>
      <w:r>
        <w:rPr>
          <w:rFonts w:ascii="Times New Roman" w:eastAsia="Times New Roman" w:hAnsi="Times New Roman" w:cs="Times New Roman"/>
          <w:color w:val="000000"/>
          <w:sz w:val="24"/>
          <w:szCs w:val="24"/>
        </w:rPr>
        <w:t xml:space="preserve">, E., &amp; Kothari, A. (2021). Malaysia and the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Media, migration and politics. </w:t>
      </w:r>
      <w:r>
        <w:rPr>
          <w:rFonts w:ascii="Times New Roman" w:eastAsia="Times New Roman" w:hAnsi="Times New Roman" w:cs="Times New Roman"/>
          <w:i/>
          <w:color w:val="000000"/>
          <w:sz w:val="24"/>
          <w:szCs w:val="24"/>
        </w:rPr>
        <w:t>Journal of Immigrant &amp; Refugee Studies</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19</w:t>
      </w:r>
      <w:r>
        <w:rPr>
          <w:rFonts w:ascii="Times New Roman" w:eastAsia="Times New Roman" w:hAnsi="Times New Roman" w:cs="Times New Roman"/>
          <w:color w:val="000000"/>
          <w:sz w:val="24"/>
          <w:szCs w:val="24"/>
        </w:rPr>
        <w:t xml:space="preserve">(4), 378-392. </w:t>
      </w:r>
    </w:p>
    <w:p w14:paraId="491AF60C"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Farzana</w:t>
      </w:r>
      <w:proofErr w:type="spellEnd"/>
      <w:r>
        <w:rPr>
          <w:rFonts w:ascii="Times New Roman" w:eastAsia="Times New Roman" w:hAnsi="Times New Roman" w:cs="Times New Roman"/>
          <w:color w:val="000000"/>
          <w:sz w:val="24"/>
          <w:szCs w:val="24"/>
        </w:rPr>
        <w:t xml:space="preserve">, K. F., Pero, S. D. M., &amp; Othman, M. F. (2020). The dream’s door: Educational marginalization of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children in Malaysia. </w:t>
      </w:r>
      <w:r>
        <w:rPr>
          <w:rFonts w:ascii="Times New Roman" w:eastAsia="Times New Roman" w:hAnsi="Times New Roman" w:cs="Times New Roman"/>
          <w:i/>
          <w:color w:val="000000"/>
          <w:sz w:val="24"/>
          <w:szCs w:val="24"/>
        </w:rPr>
        <w:t>South Asian Journal of Business and Management Cases</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9</w:t>
      </w:r>
      <w:r>
        <w:rPr>
          <w:rFonts w:ascii="Times New Roman" w:eastAsia="Times New Roman" w:hAnsi="Times New Roman" w:cs="Times New Roman"/>
          <w:color w:val="000000"/>
          <w:sz w:val="24"/>
          <w:szCs w:val="24"/>
        </w:rPr>
        <w:t xml:space="preserve">(2), 237-246. </w:t>
      </w:r>
    </w:p>
    <w:p w14:paraId="2A5E0E51"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Haque</w:t>
      </w:r>
      <w:proofErr w:type="spellEnd"/>
      <w:r>
        <w:rPr>
          <w:rFonts w:ascii="Times New Roman" w:eastAsia="Times New Roman" w:hAnsi="Times New Roman" w:cs="Times New Roman"/>
          <w:color w:val="000000"/>
          <w:sz w:val="24"/>
          <w:szCs w:val="24"/>
        </w:rPr>
        <w:t xml:space="preserve">, M. M., Nasir, N. H., &amp; Saleh, N. Z. (2025). Challenges of non-formal education for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children in Malaysia. </w:t>
      </w:r>
      <w:r>
        <w:rPr>
          <w:rFonts w:ascii="Times New Roman" w:eastAsia="Times New Roman" w:hAnsi="Times New Roman" w:cs="Times New Roman"/>
          <w:i/>
          <w:color w:val="000000"/>
          <w:sz w:val="24"/>
          <w:szCs w:val="24"/>
        </w:rPr>
        <w:t>Asian Affairs: An American Review, 52</w:t>
      </w:r>
      <w:r>
        <w:rPr>
          <w:rFonts w:ascii="Times New Roman" w:eastAsia="Times New Roman" w:hAnsi="Times New Roman" w:cs="Times New Roman"/>
          <w:color w:val="000000"/>
          <w:sz w:val="24"/>
          <w:szCs w:val="24"/>
        </w:rPr>
        <w:t xml:space="preserve">(2-3), 48-67. </w:t>
      </w:r>
    </w:p>
    <w:p w14:paraId="7557F8BD"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Haque</w:t>
      </w:r>
      <w:proofErr w:type="spellEnd"/>
      <w:r>
        <w:rPr>
          <w:rFonts w:ascii="Times New Roman" w:eastAsia="Times New Roman" w:hAnsi="Times New Roman" w:cs="Times New Roman"/>
          <w:color w:val="000000"/>
          <w:sz w:val="24"/>
          <w:szCs w:val="24"/>
        </w:rPr>
        <w:t xml:space="preserve">, M. M., Othman, Z., &amp; Mat, B. B. (2023).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refugees and their right to work in Malaysia. </w:t>
      </w:r>
      <w:r>
        <w:rPr>
          <w:rFonts w:ascii="Times New Roman" w:eastAsia="Times New Roman" w:hAnsi="Times New Roman" w:cs="Times New Roman"/>
          <w:i/>
          <w:color w:val="000000"/>
          <w:sz w:val="24"/>
          <w:szCs w:val="24"/>
        </w:rPr>
        <w:t>Asian Affairs: An American Review</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50</w:t>
      </w:r>
      <w:r>
        <w:rPr>
          <w:rFonts w:ascii="Times New Roman" w:eastAsia="Times New Roman" w:hAnsi="Times New Roman" w:cs="Times New Roman"/>
          <w:color w:val="000000"/>
          <w:sz w:val="24"/>
          <w:szCs w:val="24"/>
        </w:rPr>
        <w:t xml:space="preserve">(2), 95-119. </w:t>
      </w:r>
    </w:p>
    <w:p w14:paraId="4AEE5728"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Hee</w:t>
      </w:r>
      <w:proofErr w:type="spellEnd"/>
      <w:r>
        <w:rPr>
          <w:rFonts w:ascii="Times New Roman" w:eastAsia="Times New Roman" w:hAnsi="Times New Roman" w:cs="Times New Roman"/>
          <w:color w:val="000000"/>
          <w:sz w:val="24"/>
          <w:szCs w:val="24"/>
        </w:rPr>
        <w:t xml:space="preserve">, O. C., </w:t>
      </w:r>
      <w:proofErr w:type="spellStart"/>
      <w:r>
        <w:rPr>
          <w:rFonts w:ascii="Times New Roman" w:eastAsia="Times New Roman" w:hAnsi="Times New Roman" w:cs="Times New Roman"/>
          <w:color w:val="000000"/>
          <w:sz w:val="24"/>
          <w:szCs w:val="24"/>
        </w:rPr>
        <w:t>Shukor</w:t>
      </w:r>
      <w:proofErr w:type="spellEnd"/>
      <w:r>
        <w:rPr>
          <w:rFonts w:ascii="Times New Roman" w:eastAsia="Times New Roman" w:hAnsi="Times New Roman" w:cs="Times New Roman"/>
          <w:color w:val="000000"/>
          <w:sz w:val="24"/>
          <w:szCs w:val="24"/>
        </w:rPr>
        <w:t xml:space="preserve">, M. F. A., Ping, L. L., </w:t>
      </w:r>
      <w:proofErr w:type="spellStart"/>
      <w:r>
        <w:rPr>
          <w:rFonts w:ascii="Times New Roman" w:eastAsia="Times New Roman" w:hAnsi="Times New Roman" w:cs="Times New Roman"/>
          <w:color w:val="000000"/>
          <w:sz w:val="24"/>
          <w:szCs w:val="24"/>
        </w:rPr>
        <w:t>Kowang</w:t>
      </w:r>
      <w:proofErr w:type="spellEnd"/>
      <w:r>
        <w:rPr>
          <w:rFonts w:ascii="Times New Roman" w:eastAsia="Times New Roman" w:hAnsi="Times New Roman" w:cs="Times New Roman"/>
          <w:color w:val="000000"/>
          <w:sz w:val="24"/>
          <w:szCs w:val="24"/>
        </w:rPr>
        <w:t xml:space="preserve">, T. O., &amp; </w:t>
      </w:r>
      <w:proofErr w:type="spellStart"/>
      <w:r>
        <w:rPr>
          <w:rFonts w:ascii="Times New Roman" w:eastAsia="Times New Roman" w:hAnsi="Times New Roman" w:cs="Times New Roman"/>
          <w:color w:val="000000"/>
          <w:sz w:val="24"/>
          <w:szCs w:val="24"/>
        </w:rPr>
        <w:t>Fei</w:t>
      </w:r>
      <w:proofErr w:type="spellEnd"/>
      <w:r>
        <w:rPr>
          <w:rFonts w:ascii="Times New Roman" w:eastAsia="Times New Roman" w:hAnsi="Times New Roman" w:cs="Times New Roman"/>
          <w:color w:val="000000"/>
          <w:sz w:val="24"/>
          <w:szCs w:val="24"/>
        </w:rPr>
        <w:t xml:space="preserve">, G. C. (2019). Factors influencing teacher job satisfaction in Malaysia. </w:t>
      </w:r>
      <w:r>
        <w:rPr>
          <w:rFonts w:ascii="Times New Roman" w:eastAsia="Times New Roman" w:hAnsi="Times New Roman" w:cs="Times New Roman"/>
          <w:i/>
          <w:color w:val="000000"/>
          <w:sz w:val="24"/>
          <w:szCs w:val="24"/>
        </w:rPr>
        <w:t>International Journal of Academic Research in Business and Social Sciences</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9</w:t>
      </w:r>
      <w:r>
        <w:rPr>
          <w:rFonts w:ascii="Times New Roman" w:eastAsia="Times New Roman" w:hAnsi="Times New Roman" w:cs="Times New Roman"/>
          <w:color w:val="000000"/>
          <w:sz w:val="24"/>
          <w:szCs w:val="24"/>
        </w:rPr>
        <w:t xml:space="preserve">(1), 1166–1174. </w:t>
      </w:r>
    </w:p>
    <w:p w14:paraId="349273F9"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Jamaludin</w:t>
      </w:r>
      <w:proofErr w:type="spellEnd"/>
      <w:r>
        <w:rPr>
          <w:rFonts w:ascii="Times New Roman" w:eastAsia="Times New Roman" w:hAnsi="Times New Roman" w:cs="Times New Roman"/>
          <w:color w:val="000000"/>
          <w:sz w:val="24"/>
          <w:szCs w:val="24"/>
        </w:rPr>
        <w:t xml:space="preserve">, F. I. C., Abdullah, M. R. T. L., </w:t>
      </w:r>
      <w:proofErr w:type="spellStart"/>
      <w:r>
        <w:rPr>
          <w:rFonts w:ascii="Times New Roman" w:eastAsia="Times New Roman" w:hAnsi="Times New Roman" w:cs="Times New Roman"/>
          <w:color w:val="000000"/>
          <w:sz w:val="24"/>
          <w:szCs w:val="24"/>
        </w:rPr>
        <w:t>Endut</w:t>
      </w:r>
      <w:proofErr w:type="spellEnd"/>
      <w:r>
        <w:rPr>
          <w:rFonts w:ascii="Times New Roman" w:eastAsia="Times New Roman" w:hAnsi="Times New Roman" w:cs="Times New Roman"/>
          <w:color w:val="000000"/>
          <w:sz w:val="24"/>
          <w:szCs w:val="24"/>
        </w:rPr>
        <w:t xml:space="preserve">, M. N. A. A., </w:t>
      </w:r>
      <w:proofErr w:type="spellStart"/>
      <w:r>
        <w:rPr>
          <w:rFonts w:ascii="Times New Roman" w:eastAsia="Times New Roman" w:hAnsi="Times New Roman" w:cs="Times New Roman"/>
          <w:color w:val="000000"/>
          <w:sz w:val="24"/>
          <w:szCs w:val="24"/>
        </w:rPr>
        <w:t>Saifuddeen</w:t>
      </w:r>
      <w:proofErr w:type="spellEnd"/>
      <w:r>
        <w:rPr>
          <w:rFonts w:ascii="Times New Roman" w:eastAsia="Times New Roman" w:hAnsi="Times New Roman" w:cs="Times New Roman"/>
          <w:color w:val="000000"/>
          <w:sz w:val="24"/>
          <w:szCs w:val="24"/>
        </w:rPr>
        <w:t xml:space="preserve">, S. M., </w:t>
      </w:r>
      <w:proofErr w:type="spellStart"/>
      <w:r>
        <w:rPr>
          <w:rFonts w:ascii="Times New Roman" w:eastAsia="Times New Roman" w:hAnsi="Times New Roman" w:cs="Times New Roman"/>
          <w:color w:val="000000"/>
          <w:sz w:val="24"/>
          <w:szCs w:val="24"/>
        </w:rPr>
        <w:t>Hamimi</w:t>
      </w:r>
      <w:proofErr w:type="spellEnd"/>
      <w:r>
        <w:rPr>
          <w:rFonts w:ascii="Times New Roman" w:eastAsia="Times New Roman" w:hAnsi="Times New Roman" w:cs="Times New Roman"/>
          <w:color w:val="000000"/>
          <w:sz w:val="24"/>
          <w:szCs w:val="24"/>
        </w:rPr>
        <w:t xml:space="preserve">, K. A., &amp; Harun, S. (2025). Developing a </w:t>
      </w:r>
      <w:proofErr w:type="spellStart"/>
      <w:r>
        <w:rPr>
          <w:rFonts w:ascii="Times New Roman" w:eastAsia="Times New Roman" w:hAnsi="Times New Roman" w:cs="Times New Roman"/>
          <w:color w:val="000000"/>
          <w:sz w:val="24"/>
          <w:szCs w:val="24"/>
        </w:rPr>
        <w:t>shariah</w:t>
      </w:r>
      <w:proofErr w:type="spellEnd"/>
      <w:r>
        <w:rPr>
          <w:rFonts w:ascii="Times New Roman" w:eastAsia="Times New Roman" w:hAnsi="Times New Roman" w:cs="Times New Roman"/>
          <w:color w:val="000000"/>
          <w:sz w:val="24"/>
          <w:szCs w:val="24"/>
        </w:rPr>
        <w:t xml:space="preserve">-compliant medical services framework in Malaysia: An Expert system approach using Fuzzy Delphi Method and interpretive structural modelling. </w:t>
      </w:r>
      <w:r>
        <w:rPr>
          <w:rFonts w:ascii="Times New Roman" w:eastAsia="Times New Roman" w:hAnsi="Times New Roman" w:cs="Times New Roman"/>
          <w:i/>
          <w:color w:val="000000"/>
          <w:sz w:val="24"/>
          <w:szCs w:val="24"/>
        </w:rPr>
        <w:t>BMJ Open</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15</w:t>
      </w:r>
      <w:r>
        <w:rPr>
          <w:rFonts w:ascii="Times New Roman" w:eastAsia="Times New Roman" w:hAnsi="Times New Roman" w:cs="Times New Roman"/>
          <w:color w:val="000000"/>
          <w:sz w:val="24"/>
          <w:szCs w:val="24"/>
        </w:rPr>
        <w:t xml:space="preserve">(1), E082263. </w:t>
      </w:r>
    </w:p>
    <w:p w14:paraId="7177D425"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Janes, F. (1988). Interpretive structural modelling: A methodology for structuring complex issues. </w:t>
      </w:r>
      <w:r>
        <w:rPr>
          <w:rFonts w:ascii="Times New Roman" w:eastAsia="Times New Roman" w:hAnsi="Times New Roman" w:cs="Times New Roman"/>
          <w:i/>
          <w:color w:val="000000"/>
          <w:sz w:val="24"/>
          <w:szCs w:val="24"/>
        </w:rPr>
        <w:t>Transactions of The Institute of Measurement and Control</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10</w:t>
      </w:r>
      <w:r>
        <w:rPr>
          <w:rFonts w:ascii="Times New Roman" w:eastAsia="Times New Roman" w:hAnsi="Times New Roman" w:cs="Times New Roman"/>
          <w:color w:val="000000"/>
          <w:sz w:val="24"/>
          <w:szCs w:val="24"/>
        </w:rPr>
        <w:t xml:space="preserve">(3), 145-154. </w:t>
      </w:r>
    </w:p>
    <w:p w14:paraId="1D129497"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Kadir</w:t>
      </w:r>
      <w:proofErr w:type="spellEnd"/>
      <w:r>
        <w:rPr>
          <w:rFonts w:ascii="Times New Roman" w:eastAsia="Times New Roman" w:hAnsi="Times New Roman" w:cs="Times New Roman"/>
          <w:color w:val="000000"/>
          <w:sz w:val="24"/>
          <w:szCs w:val="24"/>
        </w:rPr>
        <w:t xml:space="preserve">, A. N. J. (2019). Good governance issues in education system and management of secondary schools in </w:t>
      </w:r>
      <w:proofErr w:type="spellStart"/>
      <w:r>
        <w:rPr>
          <w:rFonts w:ascii="Times New Roman" w:eastAsia="Times New Roman" w:hAnsi="Times New Roman" w:cs="Times New Roman"/>
          <w:color w:val="000000"/>
          <w:sz w:val="24"/>
          <w:szCs w:val="24"/>
        </w:rPr>
        <w:t>Kwara</w:t>
      </w:r>
      <w:proofErr w:type="spellEnd"/>
      <w:r>
        <w:rPr>
          <w:rFonts w:ascii="Times New Roman" w:eastAsia="Times New Roman" w:hAnsi="Times New Roman" w:cs="Times New Roman"/>
          <w:color w:val="000000"/>
          <w:sz w:val="24"/>
          <w:szCs w:val="24"/>
        </w:rPr>
        <w:t xml:space="preserve"> State, Nigeria. </w:t>
      </w:r>
      <w:proofErr w:type="spellStart"/>
      <w:r>
        <w:rPr>
          <w:rFonts w:ascii="Times New Roman" w:eastAsia="Times New Roman" w:hAnsi="Times New Roman" w:cs="Times New Roman"/>
          <w:i/>
          <w:color w:val="000000"/>
          <w:sz w:val="24"/>
          <w:szCs w:val="24"/>
        </w:rPr>
        <w:t>Ejournal</w:t>
      </w:r>
      <w:proofErr w:type="spellEnd"/>
      <w:r>
        <w:rPr>
          <w:rFonts w:ascii="Times New Roman" w:eastAsia="Times New Roman" w:hAnsi="Times New Roman" w:cs="Times New Roman"/>
          <w:i/>
          <w:color w:val="000000"/>
          <w:sz w:val="24"/>
          <w:szCs w:val="24"/>
        </w:rPr>
        <w:t xml:space="preserve"> </w:t>
      </w:r>
      <w:proofErr w:type="gramStart"/>
      <w:r>
        <w:rPr>
          <w:rFonts w:ascii="Times New Roman" w:eastAsia="Times New Roman" w:hAnsi="Times New Roman" w:cs="Times New Roman"/>
          <w:i/>
          <w:color w:val="000000"/>
          <w:sz w:val="24"/>
          <w:szCs w:val="24"/>
        </w:rPr>
        <w:t>Of</w:t>
      </w:r>
      <w:proofErr w:type="gramEnd"/>
      <w:r>
        <w:rPr>
          <w:rFonts w:ascii="Times New Roman" w:eastAsia="Times New Roman" w:hAnsi="Times New Roman" w:cs="Times New Roman"/>
          <w:i/>
          <w:color w:val="000000"/>
          <w:sz w:val="24"/>
          <w:szCs w:val="24"/>
        </w:rPr>
        <w:t xml:space="preserve"> Education Policy</w:t>
      </w:r>
      <w:r>
        <w:rPr>
          <w:rFonts w:ascii="Times New Roman" w:eastAsia="Times New Roman" w:hAnsi="Times New Roman" w:cs="Times New Roman"/>
          <w:color w:val="000000"/>
          <w:sz w:val="24"/>
          <w:szCs w:val="24"/>
        </w:rPr>
        <w:t xml:space="preserve">, 1-14. </w:t>
      </w:r>
    </w:p>
    <w:p w14:paraId="6CDB3626" w14:textId="4E024F8F"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bookmarkStart w:id="2" w:name="_heading=h.d148zo5gejo" w:colFirst="0" w:colLast="0"/>
      <w:bookmarkEnd w:id="2"/>
      <w:proofErr w:type="spellStart"/>
      <w:r>
        <w:rPr>
          <w:rFonts w:ascii="Times New Roman" w:eastAsia="Times New Roman" w:hAnsi="Times New Roman" w:cs="Times New Roman"/>
          <w:color w:val="000000"/>
          <w:sz w:val="24"/>
          <w:szCs w:val="24"/>
        </w:rPr>
        <w:t>Khairi</w:t>
      </w:r>
      <w:proofErr w:type="spellEnd"/>
      <w:r>
        <w:rPr>
          <w:rFonts w:ascii="Times New Roman" w:eastAsia="Times New Roman" w:hAnsi="Times New Roman" w:cs="Times New Roman"/>
          <w:color w:val="000000"/>
          <w:sz w:val="24"/>
          <w:szCs w:val="24"/>
        </w:rPr>
        <w:t>, A., Ahmad, I., &amp; Zainal, S. (2023). Sustainable Development Goals (S</w:t>
      </w:r>
      <w:r w:rsidR="006D5CA1">
        <w:rPr>
          <w:rFonts w:ascii="Times New Roman" w:eastAsia="Times New Roman" w:hAnsi="Times New Roman" w:cs="Times New Roman"/>
          <w:color w:val="000000"/>
          <w:sz w:val="24"/>
          <w:szCs w:val="24"/>
        </w:rPr>
        <w:t>DG</w:t>
      </w:r>
      <w:r>
        <w:rPr>
          <w:rFonts w:ascii="Times New Roman" w:eastAsia="Times New Roman" w:hAnsi="Times New Roman" w:cs="Times New Roman"/>
          <w:color w:val="000000"/>
          <w:sz w:val="24"/>
          <w:szCs w:val="24"/>
        </w:rPr>
        <w:t xml:space="preserve">s) </w:t>
      </w:r>
      <w:r w:rsidR="006D5CA1">
        <w:rPr>
          <w:rFonts w:ascii="Times New Roman" w:eastAsia="Times New Roman" w:hAnsi="Times New Roman" w:cs="Times New Roman"/>
          <w:color w:val="000000"/>
          <w:sz w:val="24"/>
          <w:szCs w:val="24"/>
        </w:rPr>
        <w:t xml:space="preserve">and education for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w:t>
      </w:r>
      <w:r w:rsidR="006D5CA1">
        <w:rPr>
          <w:rFonts w:ascii="Times New Roman" w:eastAsia="Times New Roman" w:hAnsi="Times New Roman" w:cs="Times New Roman"/>
          <w:color w:val="000000"/>
          <w:sz w:val="24"/>
          <w:szCs w:val="24"/>
        </w:rPr>
        <w:t xml:space="preserve">refugees in </w:t>
      </w:r>
      <w:r>
        <w:rPr>
          <w:rFonts w:ascii="Times New Roman" w:eastAsia="Times New Roman" w:hAnsi="Times New Roman" w:cs="Times New Roman"/>
          <w:color w:val="000000"/>
          <w:sz w:val="24"/>
          <w:szCs w:val="24"/>
        </w:rPr>
        <w:t xml:space="preserve">Malaysia. </w:t>
      </w:r>
      <w:r>
        <w:rPr>
          <w:rFonts w:ascii="Times New Roman" w:eastAsia="Times New Roman" w:hAnsi="Times New Roman" w:cs="Times New Roman"/>
          <w:i/>
          <w:color w:val="000000"/>
          <w:sz w:val="24"/>
          <w:szCs w:val="24"/>
        </w:rPr>
        <w:t xml:space="preserve">Environment </w:t>
      </w:r>
      <w:r w:rsidR="006D5CA1">
        <w:rPr>
          <w:rFonts w:ascii="Times New Roman" w:eastAsia="Times New Roman" w:hAnsi="Times New Roman" w:cs="Times New Roman"/>
          <w:i/>
          <w:color w:val="000000"/>
          <w:sz w:val="24"/>
          <w:szCs w:val="24"/>
        </w:rPr>
        <w:t>a</w:t>
      </w:r>
      <w:r>
        <w:rPr>
          <w:rFonts w:ascii="Times New Roman" w:eastAsia="Times New Roman" w:hAnsi="Times New Roman" w:cs="Times New Roman"/>
          <w:i/>
          <w:color w:val="000000"/>
          <w:sz w:val="24"/>
          <w:szCs w:val="24"/>
        </w:rPr>
        <w:t>nd Social Psychology</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8</w:t>
      </w:r>
      <w:r>
        <w:rPr>
          <w:rFonts w:ascii="Times New Roman" w:eastAsia="Times New Roman" w:hAnsi="Times New Roman" w:cs="Times New Roman"/>
          <w:color w:val="000000"/>
          <w:sz w:val="24"/>
          <w:szCs w:val="24"/>
        </w:rPr>
        <w:t xml:space="preserve">(2), 1-9. </w:t>
      </w:r>
    </w:p>
    <w:p w14:paraId="30B95315"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Lee, C. (2023). Narratives of resistance towards stigmatised refugee identities in Malaysia. </w:t>
      </w:r>
      <w:r>
        <w:rPr>
          <w:rFonts w:ascii="Times New Roman" w:eastAsia="Times New Roman" w:hAnsi="Times New Roman" w:cs="Times New Roman"/>
          <w:i/>
          <w:color w:val="000000"/>
          <w:sz w:val="24"/>
          <w:szCs w:val="24"/>
        </w:rPr>
        <w:t>International Journal of Asia-Pacific Studies</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19</w:t>
      </w:r>
      <w:r>
        <w:rPr>
          <w:rFonts w:ascii="Times New Roman" w:eastAsia="Times New Roman" w:hAnsi="Times New Roman" w:cs="Times New Roman"/>
          <w:color w:val="000000"/>
          <w:sz w:val="24"/>
          <w:szCs w:val="24"/>
        </w:rPr>
        <w:t xml:space="preserve">(2), 81-108. </w:t>
      </w:r>
    </w:p>
    <w:p w14:paraId="50B50918"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Lee, H., &amp; </w:t>
      </w:r>
      <w:proofErr w:type="spellStart"/>
      <w:r>
        <w:rPr>
          <w:rFonts w:ascii="Times New Roman" w:eastAsia="Times New Roman" w:hAnsi="Times New Roman" w:cs="Times New Roman"/>
          <w:color w:val="000000"/>
          <w:sz w:val="24"/>
          <w:szCs w:val="24"/>
        </w:rPr>
        <w:t>Hoque</w:t>
      </w:r>
      <w:proofErr w:type="spellEnd"/>
      <w:r>
        <w:rPr>
          <w:rFonts w:ascii="Times New Roman" w:eastAsia="Times New Roman" w:hAnsi="Times New Roman" w:cs="Times New Roman"/>
          <w:color w:val="000000"/>
          <w:sz w:val="24"/>
          <w:szCs w:val="24"/>
        </w:rPr>
        <w:t xml:space="preserve">, M. M. (2024).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refugee education in Malaysia: An analysis of current standards and challenges. </w:t>
      </w:r>
      <w:r>
        <w:rPr>
          <w:rFonts w:ascii="Times New Roman" w:eastAsia="Times New Roman" w:hAnsi="Times New Roman" w:cs="Times New Roman"/>
          <w:i/>
          <w:color w:val="000000"/>
          <w:sz w:val="24"/>
          <w:szCs w:val="24"/>
        </w:rPr>
        <w:t>Asian Journal of Education and Social Studies</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50</w:t>
      </w:r>
      <w:r>
        <w:rPr>
          <w:rFonts w:ascii="Times New Roman" w:eastAsia="Times New Roman" w:hAnsi="Times New Roman" w:cs="Times New Roman"/>
          <w:color w:val="000000"/>
          <w:sz w:val="24"/>
          <w:szCs w:val="24"/>
        </w:rPr>
        <w:t xml:space="preserve">(7), 416-437. </w:t>
      </w:r>
    </w:p>
    <w:p w14:paraId="4C2ACDF6" w14:textId="0765EE8C"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O’Brien, M., &amp; </w:t>
      </w:r>
      <w:proofErr w:type="spellStart"/>
      <w:r>
        <w:rPr>
          <w:rFonts w:ascii="Times New Roman" w:eastAsia="Times New Roman" w:hAnsi="Times New Roman" w:cs="Times New Roman"/>
          <w:color w:val="000000"/>
          <w:sz w:val="24"/>
          <w:szCs w:val="24"/>
        </w:rPr>
        <w:t>Hoffstaedter</w:t>
      </w:r>
      <w:proofErr w:type="spellEnd"/>
      <w:r>
        <w:rPr>
          <w:rFonts w:ascii="Times New Roman" w:eastAsia="Times New Roman" w:hAnsi="Times New Roman" w:cs="Times New Roman"/>
          <w:color w:val="000000"/>
          <w:sz w:val="24"/>
          <w:szCs w:val="24"/>
        </w:rPr>
        <w:t xml:space="preserve">, G. (2020). There we are nothing, </w:t>
      </w:r>
      <w:proofErr w:type="gramStart"/>
      <w:r>
        <w:rPr>
          <w:rFonts w:ascii="Times New Roman" w:eastAsia="Times New Roman" w:hAnsi="Times New Roman" w:cs="Times New Roman"/>
          <w:color w:val="000000"/>
          <w:sz w:val="24"/>
          <w:szCs w:val="24"/>
        </w:rPr>
        <w:t>Here</w:t>
      </w:r>
      <w:proofErr w:type="gramEnd"/>
      <w:r>
        <w:rPr>
          <w:rFonts w:ascii="Times New Roman" w:eastAsia="Times New Roman" w:hAnsi="Times New Roman" w:cs="Times New Roman"/>
          <w:color w:val="000000"/>
          <w:sz w:val="24"/>
          <w:szCs w:val="24"/>
        </w:rPr>
        <w:t xml:space="preserve"> we are nothing!”</w:t>
      </w:r>
      <w:r w:rsidR="006D5CA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The </w:t>
      </w:r>
      <w:r w:rsidR="006D5CA1">
        <w:rPr>
          <w:rFonts w:ascii="Times New Roman" w:eastAsia="Times New Roman" w:hAnsi="Times New Roman" w:cs="Times New Roman"/>
          <w:color w:val="000000"/>
          <w:sz w:val="24"/>
          <w:szCs w:val="24"/>
        </w:rPr>
        <w:t xml:space="preserve">enduring effects of the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w:t>
      </w:r>
      <w:r w:rsidR="006D5CA1">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 xml:space="preserve">enocide. </w:t>
      </w:r>
      <w:r>
        <w:rPr>
          <w:rFonts w:ascii="Times New Roman" w:eastAsia="Times New Roman" w:hAnsi="Times New Roman" w:cs="Times New Roman"/>
          <w:i/>
          <w:color w:val="000000"/>
          <w:sz w:val="24"/>
          <w:szCs w:val="24"/>
        </w:rPr>
        <w:t>Social Sciences</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9</w:t>
      </w:r>
      <w:r>
        <w:rPr>
          <w:rFonts w:ascii="Times New Roman" w:eastAsia="Times New Roman" w:hAnsi="Times New Roman" w:cs="Times New Roman"/>
          <w:color w:val="000000"/>
          <w:sz w:val="24"/>
          <w:szCs w:val="24"/>
        </w:rPr>
        <w:t xml:space="preserve">(11), 209. </w:t>
      </w:r>
    </w:p>
    <w:p w14:paraId="212C33F4" w14:textId="751EA092"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Okafor, S. O., </w:t>
      </w:r>
      <w:proofErr w:type="spellStart"/>
      <w:r>
        <w:rPr>
          <w:rFonts w:ascii="Times New Roman" w:eastAsia="Times New Roman" w:hAnsi="Times New Roman" w:cs="Times New Roman"/>
          <w:color w:val="000000"/>
          <w:sz w:val="24"/>
          <w:szCs w:val="24"/>
        </w:rPr>
        <w:t>Izueke</w:t>
      </w:r>
      <w:proofErr w:type="spellEnd"/>
      <w:r>
        <w:rPr>
          <w:rFonts w:ascii="Times New Roman" w:eastAsia="Times New Roman" w:hAnsi="Times New Roman" w:cs="Times New Roman"/>
          <w:color w:val="000000"/>
          <w:sz w:val="24"/>
          <w:szCs w:val="24"/>
        </w:rPr>
        <w:t xml:space="preserve">, E. M., </w:t>
      </w:r>
      <w:proofErr w:type="spellStart"/>
      <w:r>
        <w:rPr>
          <w:rFonts w:ascii="Times New Roman" w:eastAsia="Times New Roman" w:hAnsi="Times New Roman" w:cs="Times New Roman"/>
          <w:color w:val="000000"/>
          <w:sz w:val="24"/>
          <w:szCs w:val="24"/>
        </w:rPr>
        <w:t>Okoye</w:t>
      </w:r>
      <w:proofErr w:type="spellEnd"/>
      <w:r>
        <w:rPr>
          <w:rFonts w:ascii="Times New Roman" w:eastAsia="Times New Roman" w:hAnsi="Times New Roman" w:cs="Times New Roman"/>
          <w:color w:val="000000"/>
          <w:sz w:val="24"/>
          <w:szCs w:val="24"/>
        </w:rPr>
        <w:t xml:space="preserve">, E. O., </w:t>
      </w:r>
      <w:proofErr w:type="spellStart"/>
      <w:r>
        <w:rPr>
          <w:rFonts w:ascii="Times New Roman" w:eastAsia="Times New Roman" w:hAnsi="Times New Roman" w:cs="Times New Roman"/>
          <w:color w:val="000000"/>
          <w:sz w:val="24"/>
          <w:szCs w:val="24"/>
        </w:rPr>
        <w:t>Chuke</w:t>
      </w:r>
      <w:proofErr w:type="spellEnd"/>
      <w:r>
        <w:rPr>
          <w:rFonts w:ascii="Times New Roman" w:eastAsia="Times New Roman" w:hAnsi="Times New Roman" w:cs="Times New Roman"/>
          <w:color w:val="000000"/>
          <w:sz w:val="24"/>
          <w:szCs w:val="24"/>
        </w:rPr>
        <w:t xml:space="preserve">, N. U., </w:t>
      </w:r>
      <w:proofErr w:type="spellStart"/>
      <w:r>
        <w:rPr>
          <w:rFonts w:ascii="Times New Roman" w:eastAsia="Times New Roman" w:hAnsi="Times New Roman" w:cs="Times New Roman"/>
          <w:color w:val="000000"/>
          <w:sz w:val="24"/>
          <w:szCs w:val="24"/>
        </w:rPr>
        <w:t>Kekeocha</w:t>
      </w:r>
      <w:proofErr w:type="spellEnd"/>
      <w:r>
        <w:rPr>
          <w:rFonts w:ascii="Times New Roman" w:eastAsia="Times New Roman" w:hAnsi="Times New Roman" w:cs="Times New Roman"/>
          <w:color w:val="000000"/>
          <w:sz w:val="24"/>
          <w:szCs w:val="24"/>
        </w:rPr>
        <w:t xml:space="preserve">-Christopher, I. C., </w:t>
      </w:r>
      <w:proofErr w:type="spellStart"/>
      <w:r>
        <w:rPr>
          <w:rFonts w:ascii="Times New Roman" w:eastAsia="Times New Roman" w:hAnsi="Times New Roman" w:cs="Times New Roman"/>
          <w:color w:val="000000"/>
          <w:sz w:val="24"/>
          <w:szCs w:val="24"/>
        </w:rPr>
        <w:t>Okezi</w:t>
      </w:r>
      <w:proofErr w:type="spellEnd"/>
      <w:r>
        <w:rPr>
          <w:rFonts w:ascii="Times New Roman" w:eastAsia="Times New Roman" w:hAnsi="Times New Roman" w:cs="Times New Roman"/>
          <w:color w:val="000000"/>
          <w:sz w:val="24"/>
          <w:szCs w:val="24"/>
        </w:rPr>
        <w:t xml:space="preserve">, O., </w:t>
      </w:r>
      <w:proofErr w:type="spellStart"/>
      <w:r>
        <w:rPr>
          <w:rFonts w:ascii="Times New Roman" w:eastAsia="Times New Roman" w:hAnsi="Times New Roman" w:cs="Times New Roman"/>
          <w:color w:val="000000"/>
          <w:sz w:val="24"/>
          <w:szCs w:val="24"/>
        </w:rPr>
        <w:t>Abdulrouf</w:t>
      </w:r>
      <w:proofErr w:type="spellEnd"/>
      <w:r>
        <w:rPr>
          <w:rFonts w:ascii="Times New Roman" w:eastAsia="Times New Roman" w:hAnsi="Times New Roman" w:cs="Times New Roman"/>
          <w:color w:val="000000"/>
          <w:sz w:val="24"/>
          <w:szCs w:val="24"/>
        </w:rPr>
        <w:t xml:space="preserve">, I., &amp; </w:t>
      </w:r>
      <w:proofErr w:type="spellStart"/>
      <w:r>
        <w:rPr>
          <w:rFonts w:ascii="Times New Roman" w:eastAsia="Times New Roman" w:hAnsi="Times New Roman" w:cs="Times New Roman"/>
          <w:color w:val="000000"/>
          <w:sz w:val="24"/>
          <w:szCs w:val="24"/>
        </w:rPr>
        <w:t>Udenze</w:t>
      </w:r>
      <w:proofErr w:type="spellEnd"/>
      <w:r>
        <w:rPr>
          <w:rFonts w:ascii="Times New Roman" w:eastAsia="Times New Roman" w:hAnsi="Times New Roman" w:cs="Times New Roman"/>
          <w:color w:val="000000"/>
          <w:sz w:val="24"/>
          <w:szCs w:val="24"/>
        </w:rPr>
        <w:t xml:space="preserve">, C. (2022). Knowledge </w:t>
      </w:r>
      <w:r w:rsidR="006D5CA1">
        <w:rPr>
          <w:rFonts w:ascii="Times New Roman" w:eastAsia="Times New Roman" w:hAnsi="Times New Roman" w:cs="Times New Roman"/>
          <w:color w:val="000000"/>
          <w:sz w:val="24"/>
          <w:szCs w:val="24"/>
        </w:rPr>
        <w:t xml:space="preserve">and perception of school social </w:t>
      </w:r>
      <w:proofErr w:type="spellStart"/>
      <w:r w:rsidR="006D5CA1">
        <w:rPr>
          <w:rFonts w:ascii="Times New Roman" w:eastAsia="Times New Roman" w:hAnsi="Times New Roman" w:cs="Times New Roman"/>
          <w:color w:val="000000"/>
          <w:sz w:val="24"/>
          <w:szCs w:val="24"/>
        </w:rPr>
        <w:t>eork</w:t>
      </w:r>
      <w:proofErr w:type="spellEnd"/>
      <w:r w:rsidR="006D5CA1">
        <w:rPr>
          <w:rFonts w:ascii="Times New Roman" w:eastAsia="Times New Roman" w:hAnsi="Times New Roman" w:cs="Times New Roman"/>
          <w:color w:val="000000"/>
          <w:sz w:val="24"/>
          <w:szCs w:val="24"/>
        </w:rPr>
        <w:t xml:space="preserve"> services among</w:t>
      </w:r>
      <w:r>
        <w:rPr>
          <w:rFonts w:ascii="Times New Roman" w:eastAsia="Times New Roman" w:hAnsi="Times New Roman" w:cs="Times New Roman"/>
          <w:color w:val="000000"/>
          <w:sz w:val="24"/>
          <w:szCs w:val="24"/>
        </w:rPr>
        <w:t xml:space="preserve"> Parents Teachers Association (PTA) </w:t>
      </w:r>
      <w:r w:rsidR="006D5CA1">
        <w:rPr>
          <w:rFonts w:ascii="Times New Roman" w:eastAsia="Times New Roman" w:hAnsi="Times New Roman" w:cs="Times New Roman"/>
          <w:color w:val="000000"/>
          <w:sz w:val="24"/>
          <w:szCs w:val="24"/>
        </w:rPr>
        <w:t xml:space="preserve">and its implication to community and </w:t>
      </w:r>
      <w:r>
        <w:rPr>
          <w:rFonts w:ascii="Times New Roman" w:eastAsia="Times New Roman" w:hAnsi="Times New Roman" w:cs="Times New Roman"/>
          <w:color w:val="000000"/>
          <w:sz w:val="24"/>
          <w:szCs w:val="24"/>
        </w:rPr>
        <w:t xml:space="preserve">Sustainable Development South-East Nigeria. </w:t>
      </w:r>
      <w:r>
        <w:rPr>
          <w:rFonts w:ascii="Times New Roman" w:eastAsia="Times New Roman" w:hAnsi="Times New Roman" w:cs="Times New Roman"/>
          <w:i/>
          <w:color w:val="000000"/>
          <w:sz w:val="24"/>
          <w:szCs w:val="24"/>
        </w:rPr>
        <w:t xml:space="preserve">Italian Journal </w:t>
      </w:r>
      <w:r w:rsidR="00AA7508">
        <w:rPr>
          <w:rFonts w:ascii="Times New Roman" w:eastAsia="Times New Roman" w:hAnsi="Times New Roman" w:cs="Times New Roman"/>
          <w:i/>
          <w:color w:val="000000"/>
          <w:sz w:val="24"/>
          <w:szCs w:val="24"/>
        </w:rPr>
        <w:t>o</w:t>
      </w:r>
      <w:r>
        <w:rPr>
          <w:rFonts w:ascii="Times New Roman" w:eastAsia="Times New Roman" w:hAnsi="Times New Roman" w:cs="Times New Roman"/>
          <w:i/>
          <w:color w:val="000000"/>
          <w:sz w:val="24"/>
          <w:szCs w:val="24"/>
        </w:rPr>
        <w:t xml:space="preserve">f Sociology </w:t>
      </w:r>
      <w:r w:rsidR="00AA7508">
        <w:rPr>
          <w:rFonts w:ascii="Times New Roman" w:eastAsia="Times New Roman" w:hAnsi="Times New Roman" w:cs="Times New Roman"/>
          <w:i/>
          <w:color w:val="000000"/>
          <w:sz w:val="24"/>
          <w:szCs w:val="24"/>
        </w:rPr>
        <w:t>o</w:t>
      </w:r>
      <w:r>
        <w:rPr>
          <w:rFonts w:ascii="Times New Roman" w:eastAsia="Times New Roman" w:hAnsi="Times New Roman" w:cs="Times New Roman"/>
          <w:i/>
          <w:color w:val="000000"/>
          <w:sz w:val="24"/>
          <w:szCs w:val="24"/>
        </w:rPr>
        <w:t>f Education</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14</w:t>
      </w:r>
      <w:r>
        <w:rPr>
          <w:rFonts w:ascii="Times New Roman" w:eastAsia="Times New Roman" w:hAnsi="Times New Roman" w:cs="Times New Roman"/>
          <w:color w:val="000000"/>
          <w:sz w:val="24"/>
          <w:szCs w:val="24"/>
        </w:rPr>
        <w:t xml:space="preserve">(2), 174-200. </w:t>
      </w:r>
    </w:p>
    <w:p w14:paraId="37D1EC76" w14:textId="745A8A00"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Olaifa</w:t>
      </w:r>
      <w:proofErr w:type="spellEnd"/>
      <w:r>
        <w:rPr>
          <w:rFonts w:ascii="Times New Roman" w:eastAsia="Times New Roman" w:hAnsi="Times New Roman" w:cs="Times New Roman"/>
          <w:color w:val="000000"/>
          <w:sz w:val="24"/>
          <w:szCs w:val="24"/>
        </w:rPr>
        <w:t xml:space="preserve">, A. S., </w:t>
      </w:r>
      <w:proofErr w:type="spellStart"/>
      <w:r>
        <w:rPr>
          <w:rFonts w:ascii="Times New Roman" w:eastAsia="Times New Roman" w:hAnsi="Times New Roman" w:cs="Times New Roman"/>
          <w:color w:val="000000"/>
          <w:sz w:val="24"/>
          <w:szCs w:val="24"/>
        </w:rPr>
        <w:t>Ajala</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Olaifa</w:t>
      </w:r>
      <w:proofErr w:type="spellEnd"/>
      <w:r>
        <w:rPr>
          <w:rFonts w:ascii="Times New Roman" w:eastAsia="Times New Roman" w:hAnsi="Times New Roman" w:cs="Times New Roman"/>
          <w:color w:val="000000"/>
          <w:sz w:val="24"/>
          <w:szCs w:val="24"/>
        </w:rPr>
        <w:t xml:space="preserve">, E. O., </w:t>
      </w:r>
      <w:proofErr w:type="spellStart"/>
      <w:r>
        <w:rPr>
          <w:rFonts w:ascii="Times New Roman" w:eastAsia="Times New Roman" w:hAnsi="Times New Roman" w:cs="Times New Roman"/>
          <w:color w:val="000000"/>
          <w:sz w:val="24"/>
          <w:szCs w:val="24"/>
        </w:rPr>
        <w:t>Medupin</w:t>
      </w:r>
      <w:proofErr w:type="spellEnd"/>
      <w:r>
        <w:rPr>
          <w:rFonts w:ascii="Times New Roman" w:eastAsia="Times New Roman" w:hAnsi="Times New Roman" w:cs="Times New Roman"/>
          <w:color w:val="000000"/>
          <w:sz w:val="24"/>
          <w:szCs w:val="24"/>
        </w:rPr>
        <w:t xml:space="preserve">, A. J., &amp; </w:t>
      </w:r>
      <w:proofErr w:type="spellStart"/>
      <w:r>
        <w:rPr>
          <w:rFonts w:ascii="Times New Roman" w:eastAsia="Times New Roman" w:hAnsi="Times New Roman" w:cs="Times New Roman"/>
          <w:color w:val="000000"/>
          <w:sz w:val="24"/>
          <w:szCs w:val="24"/>
        </w:rPr>
        <w:t>Adeoye</w:t>
      </w:r>
      <w:proofErr w:type="spellEnd"/>
      <w:r>
        <w:rPr>
          <w:rFonts w:ascii="Times New Roman" w:eastAsia="Times New Roman" w:hAnsi="Times New Roman" w:cs="Times New Roman"/>
          <w:color w:val="000000"/>
          <w:sz w:val="24"/>
          <w:szCs w:val="24"/>
        </w:rPr>
        <w:t xml:space="preserve">, M. A. (2024). Principals’ </w:t>
      </w:r>
      <w:r w:rsidR="00AA7508">
        <w:rPr>
          <w:rFonts w:ascii="Times New Roman" w:eastAsia="Times New Roman" w:hAnsi="Times New Roman" w:cs="Times New Roman"/>
          <w:color w:val="000000"/>
          <w:sz w:val="24"/>
          <w:szCs w:val="24"/>
        </w:rPr>
        <w:t>fund management strategies and school administrative effectiveness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Indonesian Journal </w:t>
      </w:r>
      <w:r w:rsidR="00AA7508">
        <w:rPr>
          <w:rFonts w:ascii="Times New Roman" w:eastAsia="Times New Roman" w:hAnsi="Times New Roman" w:cs="Times New Roman"/>
          <w:i/>
          <w:color w:val="000000"/>
          <w:sz w:val="24"/>
          <w:szCs w:val="24"/>
        </w:rPr>
        <w:t>o</w:t>
      </w:r>
      <w:r>
        <w:rPr>
          <w:rFonts w:ascii="Times New Roman" w:eastAsia="Times New Roman" w:hAnsi="Times New Roman" w:cs="Times New Roman"/>
          <w:i/>
          <w:color w:val="000000"/>
          <w:sz w:val="24"/>
          <w:szCs w:val="24"/>
        </w:rPr>
        <w:t xml:space="preserve">f Educational Research </w:t>
      </w:r>
      <w:r w:rsidR="00AA7508">
        <w:rPr>
          <w:rFonts w:ascii="Times New Roman" w:eastAsia="Times New Roman" w:hAnsi="Times New Roman" w:cs="Times New Roman"/>
          <w:i/>
          <w:color w:val="000000"/>
          <w:sz w:val="24"/>
          <w:szCs w:val="24"/>
        </w:rPr>
        <w:t>a</w:t>
      </w:r>
      <w:r>
        <w:rPr>
          <w:rFonts w:ascii="Times New Roman" w:eastAsia="Times New Roman" w:hAnsi="Times New Roman" w:cs="Times New Roman"/>
          <w:i/>
          <w:color w:val="000000"/>
          <w:sz w:val="24"/>
          <w:szCs w:val="24"/>
        </w:rPr>
        <w:t>nd Review</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7</w:t>
      </w:r>
      <w:r>
        <w:rPr>
          <w:rFonts w:ascii="Times New Roman" w:eastAsia="Times New Roman" w:hAnsi="Times New Roman" w:cs="Times New Roman"/>
          <w:color w:val="000000"/>
          <w:sz w:val="24"/>
          <w:szCs w:val="24"/>
        </w:rPr>
        <w:t xml:space="preserve">(1), 107-115. </w:t>
      </w:r>
    </w:p>
    <w:p w14:paraId="0B693606" w14:textId="50274C38"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Onderi</w:t>
      </w:r>
      <w:proofErr w:type="spellEnd"/>
      <w:r>
        <w:rPr>
          <w:rFonts w:ascii="Times New Roman" w:eastAsia="Times New Roman" w:hAnsi="Times New Roman" w:cs="Times New Roman"/>
          <w:color w:val="000000"/>
          <w:sz w:val="24"/>
          <w:szCs w:val="24"/>
        </w:rPr>
        <w:t xml:space="preserve">, H., &amp; </w:t>
      </w:r>
      <w:proofErr w:type="spellStart"/>
      <w:r>
        <w:rPr>
          <w:rFonts w:ascii="Times New Roman" w:eastAsia="Times New Roman" w:hAnsi="Times New Roman" w:cs="Times New Roman"/>
          <w:color w:val="000000"/>
          <w:sz w:val="24"/>
          <w:szCs w:val="24"/>
        </w:rPr>
        <w:t>Makori</w:t>
      </w:r>
      <w:proofErr w:type="spellEnd"/>
      <w:r>
        <w:rPr>
          <w:rFonts w:ascii="Times New Roman" w:eastAsia="Times New Roman" w:hAnsi="Times New Roman" w:cs="Times New Roman"/>
          <w:color w:val="000000"/>
          <w:sz w:val="24"/>
          <w:szCs w:val="24"/>
        </w:rPr>
        <w:t xml:space="preserve">, A. (2013). Training </w:t>
      </w:r>
      <w:r w:rsidR="00AA7508">
        <w:rPr>
          <w:rFonts w:ascii="Times New Roman" w:eastAsia="Times New Roman" w:hAnsi="Times New Roman" w:cs="Times New Roman"/>
          <w:color w:val="000000"/>
          <w:sz w:val="24"/>
          <w:szCs w:val="24"/>
        </w:rPr>
        <w:t xml:space="preserve">needs of </w:t>
      </w:r>
      <w:proofErr w:type="spellStart"/>
      <w:r w:rsidR="00253325">
        <w:rPr>
          <w:rFonts w:ascii="Times New Roman" w:eastAsia="Times New Roman" w:hAnsi="Times New Roman" w:cs="Times New Roman"/>
          <w:color w:val="000000"/>
          <w:sz w:val="24"/>
          <w:szCs w:val="24"/>
        </w:rPr>
        <w:t>B</w:t>
      </w:r>
      <w:r w:rsidR="00AA7508">
        <w:rPr>
          <w:rFonts w:ascii="Times New Roman" w:eastAsia="Times New Roman" w:hAnsi="Times New Roman" w:cs="Times New Roman"/>
          <w:color w:val="000000"/>
          <w:sz w:val="24"/>
          <w:szCs w:val="24"/>
        </w:rPr>
        <w:t>o</w:t>
      </w:r>
      <w:r w:rsidR="00253325">
        <w:rPr>
          <w:rFonts w:ascii="Times New Roman" w:eastAsia="Times New Roman" w:hAnsi="Times New Roman" w:cs="Times New Roman"/>
          <w:color w:val="000000"/>
          <w:sz w:val="24"/>
          <w:szCs w:val="24"/>
        </w:rPr>
        <w:t>G</w:t>
      </w:r>
      <w:proofErr w:type="spellEnd"/>
      <w:r w:rsidR="00AA7508">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 xml:space="preserve">PTA </w:t>
      </w:r>
      <w:r w:rsidR="00AA7508">
        <w:rPr>
          <w:rFonts w:ascii="Times New Roman" w:eastAsia="Times New Roman" w:hAnsi="Times New Roman" w:cs="Times New Roman"/>
          <w:color w:val="000000"/>
          <w:sz w:val="24"/>
          <w:szCs w:val="24"/>
        </w:rPr>
        <w:t xml:space="preserve">on school leadership and management in </w:t>
      </w:r>
      <w:r>
        <w:rPr>
          <w:rFonts w:ascii="Times New Roman" w:eastAsia="Times New Roman" w:hAnsi="Times New Roman" w:cs="Times New Roman"/>
          <w:color w:val="000000"/>
          <w:sz w:val="24"/>
          <w:szCs w:val="24"/>
        </w:rPr>
        <w:t xml:space="preserve">Kenya’s </w:t>
      </w:r>
      <w:r w:rsidR="00253325">
        <w:rPr>
          <w:rFonts w:ascii="Times New Roman" w:eastAsia="Times New Roman" w:hAnsi="Times New Roman" w:cs="Times New Roman"/>
          <w:color w:val="000000"/>
          <w:sz w:val="24"/>
          <w:szCs w:val="24"/>
        </w:rPr>
        <w:t>secondary education</w:t>
      </w:r>
      <w:r>
        <w:rPr>
          <w:rFonts w:ascii="Times New Roman" w:eastAsia="Times New Roman" w:hAnsi="Times New Roman" w:cs="Times New Roman"/>
          <w:color w:val="000000"/>
          <w:sz w:val="24"/>
          <w:szCs w:val="24"/>
        </w:rPr>
        <w:t xml:space="preserve">: A </w:t>
      </w:r>
      <w:r w:rsidR="00253325">
        <w:rPr>
          <w:rFonts w:ascii="Times New Roman" w:eastAsia="Times New Roman" w:hAnsi="Times New Roman" w:cs="Times New Roman"/>
          <w:color w:val="000000"/>
          <w:sz w:val="24"/>
          <w:szCs w:val="24"/>
        </w:rPr>
        <w:t xml:space="preserve">study of a district in the </w:t>
      </w:r>
      <w:proofErr w:type="spellStart"/>
      <w:r>
        <w:rPr>
          <w:rFonts w:ascii="Times New Roman" w:eastAsia="Times New Roman" w:hAnsi="Times New Roman" w:cs="Times New Roman"/>
          <w:color w:val="000000"/>
          <w:sz w:val="24"/>
          <w:szCs w:val="24"/>
        </w:rPr>
        <w:t>Kisii</w:t>
      </w:r>
      <w:proofErr w:type="spellEnd"/>
      <w:r>
        <w:rPr>
          <w:rFonts w:ascii="Times New Roman" w:eastAsia="Times New Roman" w:hAnsi="Times New Roman" w:cs="Times New Roman"/>
          <w:color w:val="000000"/>
          <w:sz w:val="24"/>
          <w:szCs w:val="24"/>
        </w:rPr>
        <w:t xml:space="preserve"> </w:t>
      </w:r>
      <w:r w:rsidR="00253325">
        <w:rPr>
          <w:rFonts w:ascii="Times New Roman" w:eastAsia="Times New Roman" w:hAnsi="Times New Roman" w:cs="Times New Roman"/>
          <w:color w:val="000000"/>
          <w:sz w:val="24"/>
          <w:szCs w:val="24"/>
        </w:rPr>
        <w:t xml:space="preserve">county of </w:t>
      </w:r>
      <w:r>
        <w:rPr>
          <w:rFonts w:ascii="Times New Roman" w:eastAsia="Times New Roman" w:hAnsi="Times New Roman" w:cs="Times New Roman"/>
          <w:color w:val="000000"/>
          <w:sz w:val="24"/>
          <w:szCs w:val="24"/>
        </w:rPr>
        <w:t xml:space="preserve">Kenya. </w:t>
      </w:r>
      <w:r>
        <w:rPr>
          <w:rFonts w:ascii="Times New Roman" w:eastAsia="Times New Roman" w:hAnsi="Times New Roman" w:cs="Times New Roman"/>
          <w:i/>
          <w:color w:val="000000"/>
          <w:sz w:val="24"/>
          <w:szCs w:val="24"/>
        </w:rPr>
        <w:t xml:space="preserve">Global Advanced Research Journal </w:t>
      </w:r>
      <w:r w:rsidR="00253325">
        <w:rPr>
          <w:rFonts w:ascii="Times New Roman" w:eastAsia="Times New Roman" w:hAnsi="Times New Roman" w:cs="Times New Roman"/>
          <w:i/>
          <w:color w:val="000000"/>
          <w:sz w:val="24"/>
          <w:szCs w:val="24"/>
        </w:rPr>
        <w:t>o</w:t>
      </w:r>
      <w:r>
        <w:rPr>
          <w:rFonts w:ascii="Times New Roman" w:eastAsia="Times New Roman" w:hAnsi="Times New Roman" w:cs="Times New Roman"/>
          <w:i/>
          <w:color w:val="000000"/>
          <w:sz w:val="24"/>
          <w:szCs w:val="24"/>
        </w:rPr>
        <w:t>f Social Science 2</w:t>
      </w:r>
      <w:r>
        <w:rPr>
          <w:rFonts w:ascii="Times New Roman" w:eastAsia="Times New Roman" w:hAnsi="Times New Roman" w:cs="Times New Roman"/>
          <w:color w:val="000000"/>
          <w:sz w:val="24"/>
          <w:szCs w:val="24"/>
        </w:rPr>
        <w:t xml:space="preserve">(3), 64-77. </w:t>
      </w:r>
    </w:p>
    <w:p w14:paraId="5E4A3EC6" w14:textId="0A0B1FB1"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Palik</w:t>
      </w:r>
      <w:proofErr w:type="spellEnd"/>
      <w:r>
        <w:rPr>
          <w:rFonts w:ascii="Times New Roman" w:eastAsia="Times New Roman" w:hAnsi="Times New Roman" w:cs="Times New Roman"/>
          <w:color w:val="000000"/>
          <w:sz w:val="24"/>
          <w:szCs w:val="24"/>
        </w:rPr>
        <w:t xml:space="preserve">, J. (2020). Education </w:t>
      </w:r>
      <w:r w:rsidR="00253325">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or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w:t>
      </w:r>
      <w:r w:rsidR="00253325">
        <w:rPr>
          <w:rFonts w:ascii="Times New Roman" w:eastAsia="Times New Roman" w:hAnsi="Times New Roman" w:cs="Times New Roman"/>
          <w:color w:val="000000"/>
          <w:sz w:val="24"/>
          <w:szCs w:val="24"/>
        </w:rPr>
        <w:t xml:space="preserve">refugee children in </w:t>
      </w:r>
      <w:r>
        <w:rPr>
          <w:rFonts w:ascii="Times New Roman" w:eastAsia="Times New Roman" w:hAnsi="Times New Roman" w:cs="Times New Roman"/>
          <w:color w:val="000000"/>
          <w:sz w:val="24"/>
          <w:szCs w:val="24"/>
        </w:rPr>
        <w:t xml:space="preserve">Malaysia. </w:t>
      </w:r>
      <w:r>
        <w:rPr>
          <w:rFonts w:ascii="Times New Roman" w:eastAsia="Times New Roman" w:hAnsi="Times New Roman" w:cs="Times New Roman"/>
          <w:i/>
          <w:color w:val="000000"/>
          <w:sz w:val="24"/>
          <w:szCs w:val="24"/>
        </w:rPr>
        <w:t>Peace Research Institute Oslo (PRIO) Policy Brief</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2</w:t>
      </w:r>
      <w:r>
        <w:rPr>
          <w:rFonts w:ascii="Times New Roman" w:eastAsia="Times New Roman" w:hAnsi="Times New Roman" w:cs="Times New Roman"/>
          <w:color w:val="000000"/>
          <w:sz w:val="24"/>
          <w:szCs w:val="24"/>
        </w:rPr>
        <w:t xml:space="preserve">. </w:t>
      </w:r>
    </w:p>
    <w:p w14:paraId="61570D6A" w14:textId="6DE20495"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Pazil</w:t>
      </w:r>
      <w:proofErr w:type="spellEnd"/>
      <w:r>
        <w:rPr>
          <w:rFonts w:ascii="Times New Roman" w:eastAsia="Times New Roman" w:hAnsi="Times New Roman" w:cs="Times New Roman"/>
          <w:color w:val="000000"/>
          <w:sz w:val="24"/>
          <w:szCs w:val="24"/>
        </w:rPr>
        <w:t xml:space="preserve">, N. F. A. (2020). </w:t>
      </w:r>
      <w:proofErr w:type="spellStart"/>
      <w:r>
        <w:rPr>
          <w:rFonts w:ascii="Times New Roman" w:eastAsia="Times New Roman" w:hAnsi="Times New Roman" w:cs="Times New Roman"/>
          <w:color w:val="000000"/>
          <w:sz w:val="24"/>
          <w:szCs w:val="24"/>
        </w:rPr>
        <w:t>Aplikasi</w:t>
      </w:r>
      <w:proofErr w:type="spellEnd"/>
      <w:r>
        <w:rPr>
          <w:rFonts w:ascii="Times New Roman" w:eastAsia="Times New Roman" w:hAnsi="Times New Roman" w:cs="Times New Roman"/>
          <w:color w:val="000000"/>
          <w:sz w:val="24"/>
          <w:szCs w:val="24"/>
        </w:rPr>
        <w:t xml:space="preserve"> </w:t>
      </w:r>
      <w:proofErr w:type="spellStart"/>
      <w:r w:rsidR="00253325">
        <w:rPr>
          <w:rFonts w:ascii="Times New Roman" w:eastAsia="Times New Roman" w:hAnsi="Times New Roman" w:cs="Times New Roman"/>
          <w:color w:val="000000"/>
          <w:sz w:val="24"/>
          <w:szCs w:val="24"/>
        </w:rPr>
        <w:t>enam</w:t>
      </w:r>
      <w:proofErr w:type="spellEnd"/>
      <w:r w:rsidR="00253325">
        <w:rPr>
          <w:rFonts w:ascii="Times New Roman" w:eastAsia="Times New Roman" w:hAnsi="Times New Roman" w:cs="Times New Roman"/>
          <w:color w:val="000000"/>
          <w:sz w:val="24"/>
          <w:szCs w:val="24"/>
        </w:rPr>
        <w:t xml:space="preserve"> </w:t>
      </w:r>
      <w:proofErr w:type="spellStart"/>
      <w:r w:rsidR="00253325">
        <w:rPr>
          <w:rFonts w:ascii="Times New Roman" w:eastAsia="Times New Roman" w:hAnsi="Times New Roman" w:cs="Times New Roman"/>
          <w:color w:val="000000"/>
          <w:sz w:val="24"/>
          <w:szCs w:val="24"/>
        </w:rPr>
        <w:t>dimensi</w:t>
      </w:r>
      <w:proofErr w:type="spellEnd"/>
      <w:r w:rsidR="00253325">
        <w:rPr>
          <w:rFonts w:ascii="Times New Roman" w:eastAsia="Times New Roman" w:hAnsi="Times New Roman" w:cs="Times New Roman"/>
          <w:color w:val="000000"/>
          <w:sz w:val="24"/>
          <w:szCs w:val="24"/>
        </w:rPr>
        <w:t xml:space="preserve"> </w:t>
      </w:r>
      <w:proofErr w:type="spellStart"/>
      <w:r w:rsidR="00253325">
        <w:rPr>
          <w:rFonts w:ascii="Times New Roman" w:eastAsia="Times New Roman" w:hAnsi="Times New Roman" w:cs="Times New Roman"/>
          <w:color w:val="000000"/>
          <w:sz w:val="24"/>
          <w:szCs w:val="24"/>
        </w:rPr>
        <w:t>kelompok</w:t>
      </w:r>
      <w:proofErr w:type="spellEnd"/>
      <w:r w:rsidR="00253325">
        <w:rPr>
          <w:rFonts w:ascii="Times New Roman" w:eastAsia="Times New Roman" w:hAnsi="Times New Roman" w:cs="Times New Roman"/>
          <w:color w:val="000000"/>
          <w:sz w:val="24"/>
          <w:szCs w:val="24"/>
        </w:rPr>
        <w:t xml:space="preserve"> </w:t>
      </w:r>
      <w:proofErr w:type="spellStart"/>
      <w:r w:rsidR="00253325">
        <w:rPr>
          <w:rFonts w:ascii="Times New Roman" w:eastAsia="Times New Roman" w:hAnsi="Times New Roman" w:cs="Times New Roman"/>
          <w:color w:val="000000"/>
          <w:sz w:val="24"/>
          <w:szCs w:val="24"/>
        </w:rPr>
        <w:t>minoriti</w:t>
      </w:r>
      <w:proofErr w:type="spellEnd"/>
      <w:r w:rsidR="00253325">
        <w:rPr>
          <w:rFonts w:ascii="Times New Roman" w:eastAsia="Times New Roman" w:hAnsi="Times New Roman" w:cs="Times New Roman"/>
          <w:color w:val="000000"/>
          <w:sz w:val="24"/>
          <w:szCs w:val="24"/>
        </w:rPr>
        <w:t xml:space="preserve"> </w:t>
      </w:r>
      <w:proofErr w:type="spellStart"/>
      <w:r w:rsidR="00253325">
        <w:rPr>
          <w:rFonts w:ascii="Times New Roman" w:eastAsia="Times New Roman" w:hAnsi="Times New Roman" w:cs="Times New Roman"/>
          <w:color w:val="000000"/>
          <w:sz w:val="24"/>
          <w:szCs w:val="24"/>
        </w:rPr>
        <w:t>berdasarkan</w:t>
      </w:r>
      <w:proofErr w:type="spellEnd"/>
      <w:r w:rsidR="00253325">
        <w:rPr>
          <w:rFonts w:ascii="Times New Roman" w:eastAsia="Times New Roman" w:hAnsi="Times New Roman" w:cs="Times New Roman"/>
          <w:color w:val="000000"/>
          <w:sz w:val="24"/>
          <w:szCs w:val="24"/>
        </w:rPr>
        <w:t xml:space="preserve"> </w:t>
      </w:r>
      <w:proofErr w:type="spellStart"/>
      <w:r w:rsidR="00253325">
        <w:rPr>
          <w:rFonts w:ascii="Times New Roman" w:eastAsia="Times New Roman" w:hAnsi="Times New Roman" w:cs="Times New Roman"/>
          <w:color w:val="000000"/>
          <w:sz w:val="24"/>
          <w:szCs w:val="24"/>
        </w:rPr>
        <w:t>pendekatan</w:t>
      </w:r>
      <w:proofErr w:type="spellEnd"/>
      <w:r w:rsidR="00253325">
        <w:rPr>
          <w:rFonts w:ascii="Times New Roman" w:eastAsia="Times New Roman" w:hAnsi="Times New Roman" w:cs="Times New Roman"/>
          <w:color w:val="000000"/>
          <w:sz w:val="24"/>
          <w:szCs w:val="24"/>
        </w:rPr>
        <w:t xml:space="preserve"> </w:t>
      </w:r>
      <w:proofErr w:type="spellStart"/>
      <w:r w:rsidR="00253325">
        <w:rPr>
          <w:rFonts w:ascii="Times New Roman" w:eastAsia="Times New Roman" w:hAnsi="Times New Roman" w:cs="Times New Roman"/>
          <w:color w:val="000000"/>
          <w:sz w:val="24"/>
          <w:szCs w:val="24"/>
        </w:rPr>
        <w:t>kinloch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Perubahan</w:t>
      </w:r>
      <w:proofErr w:type="spellEnd"/>
      <w:r>
        <w:rPr>
          <w:rFonts w:ascii="Times New Roman" w:eastAsia="Times New Roman" w:hAnsi="Times New Roman" w:cs="Times New Roman"/>
          <w:color w:val="000000"/>
          <w:sz w:val="24"/>
          <w:szCs w:val="24"/>
        </w:rPr>
        <w:t xml:space="preserve"> </w:t>
      </w:r>
      <w:proofErr w:type="spellStart"/>
      <w:r w:rsidR="00253325">
        <w:rPr>
          <w:rFonts w:ascii="Times New Roman" w:eastAsia="Times New Roman" w:hAnsi="Times New Roman" w:cs="Times New Roman"/>
          <w:color w:val="000000"/>
          <w:sz w:val="24"/>
          <w:szCs w:val="24"/>
        </w:rPr>
        <w:t>sosio-politik</w:t>
      </w:r>
      <w:proofErr w:type="spellEnd"/>
      <w:r w:rsidR="00253325">
        <w:rPr>
          <w:rFonts w:ascii="Times New Roman" w:eastAsia="Times New Roman" w:hAnsi="Times New Roman" w:cs="Times New Roman"/>
          <w:color w:val="000000"/>
          <w:sz w:val="24"/>
          <w:szCs w:val="24"/>
        </w:rPr>
        <w:t xml:space="preserve"> </w:t>
      </w:r>
      <w:proofErr w:type="spellStart"/>
      <w:r w:rsidR="00253325">
        <w:rPr>
          <w:rFonts w:ascii="Times New Roman" w:eastAsia="Times New Roman" w:hAnsi="Times New Roman" w:cs="Times New Roman"/>
          <w:color w:val="000000"/>
          <w:sz w:val="24"/>
          <w:szCs w:val="24"/>
        </w:rPr>
        <w:t>minoriti</w:t>
      </w:r>
      <w:proofErr w:type="spellEnd"/>
      <w:r w:rsidR="00253325">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Geografia</w:t>
      </w:r>
      <w:proofErr w:type="spellEnd"/>
      <w:r>
        <w:rPr>
          <w:rFonts w:ascii="Times New Roman" w:eastAsia="Times New Roman" w:hAnsi="Times New Roman" w:cs="Times New Roman"/>
          <w:i/>
          <w:color w:val="000000"/>
          <w:sz w:val="24"/>
          <w:szCs w:val="24"/>
        </w:rPr>
        <w:t xml:space="preserve">-Malaysian Journal </w:t>
      </w:r>
      <w:r w:rsidR="00253325">
        <w:rPr>
          <w:rFonts w:ascii="Times New Roman" w:eastAsia="Times New Roman" w:hAnsi="Times New Roman" w:cs="Times New Roman"/>
          <w:i/>
          <w:color w:val="000000"/>
          <w:sz w:val="24"/>
          <w:szCs w:val="24"/>
        </w:rPr>
        <w:t>o</w:t>
      </w:r>
      <w:r>
        <w:rPr>
          <w:rFonts w:ascii="Times New Roman" w:eastAsia="Times New Roman" w:hAnsi="Times New Roman" w:cs="Times New Roman"/>
          <w:i/>
          <w:color w:val="000000"/>
          <w:sz w:val="24"/>
          <w:szCs w:val="24"/>
        </w:rPr>
        <w:t xml:space="preserve">f Society </w:t>
      </w:r>
      <w:r w:rsidR="00253325">
        <w:rPr>
          <w:rFonts w:ascii="Times New Roman" w:eastAsia="Times New Roman" w:hAnsi="Times New Roman" w:cs="Times New Roman"/>
          <w:i/>
          <w:color w:val="000000"/>
          <w:sz w:val="24"/>
          <w:szCs w:val="24"/>
        </w:rPr>
        <w:t>a</w:t>
      </w:r>
      <w:r>
        <w:rPr>
          <w:rFonts w:ascii="Times New Roman" w:eastAsia="Times New Roman" w:hAnsi="Times New Roman" w:cs="Times New Roman"/>
          <w:i/>
          <w:color w:val="000000"/>
          <w:sz w:val="24"/>
          <w:szCs w:val="24"/>
        </w:rPr>
        <w:t>nd Space</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16</w:t>
      </w:r>
      <w:r>
        <w:rPr>
          <w:rFonts w:ascii="Times New Roman" w:eastAsia="Times New Roman" w:hAnsi="Times New Roman" w:cs="Times New Roman"/>
          <w:color w:val="000000"/>
          <w:sz w:val="24"/>
          <w:szCs w:val="24"/>
        </w:rPr>
        <w:t xml:space="preserve">(4), 311-325. </w:t>
      </w:r>
    </w:p>
    <w:p w14:paraId="63AA9364" w14:textId="423A891D"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Rahman, M. M., &amp; Husain, T. (2022). Structural barriers to providing basic education to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children in the </w:t>
      </w:r>
      <w:proofErr w:type="spellStart"/>
      <w:r>
        <w:rPr>
          <w:rFonts w:ascii="Times New Roman" w:eastAsia="Times New Roman" w:hAnsi="Times New Roman" w:cs="Times New Roman"/>
          <w:color w:val="000000"/>
          <w:sz w:val="24"/>
          <w:szCs w:val="24"/>
        </w:rPr>
        <w:t>Kutupalong</w:t>
      </w:r>
      <w:proofErr w:type="spellEnd"/>
      <w:r>
        <w:rPr>
          <w:rFonts w:ascii="Times New Roman" w:eastAsia="Times New Roman" w:hAnsi="Times New Roman" w:cs="Times New Roman"/>
          <w:color w:val="000000"/>
          <w:sz w:val="24"/>
          <w:szCs w:val="24"/>
        </w:rPr>
        <w:t xml:space="preserve"> Refugee Camp, Cox's Bazar, Bangladesh. </w:t>
      </w:r>
      <w:r>
        <w:rPr>
          <w:rFonts w:ascii="Times New Roman" w:eastAsia="Times New Roman" w:hAnsi="Times New Roman" w:cs="Times New Roman"/>
          <w:i/>
          <w:color w:val="000000"/>
          <w:sz w:val="24"/>
          <w:szCs w:val="24"/>
        </w:rPr>
        <w:t xml:space="preserve">International Journal </w:t>
      </w:r>
      <w:r w:rsidR="00253325">
        <w:rPr>
          <w:rFonts w:ascii="Times New Roman" w:eastAsia="Times New Roman" w:hAnsi="Times New Roman" w:cs="Times New Roman"/>
          <w:i/>
          <w:color w:val="000000"/>
          <w:sz w:val="24"/>
          <w:szCs w:val="24"/>
        </w:rPr>
        <w:t>o</w:t>
      </w:r>
      <w:r>
        <w:rPr>
          <w:rFonts w:ascii="Times New Roman" w:eastAsia="Times New Roman" w:hAnsi="Times New Roman" w:cs="Times New Roman"/>
          <w:i/>
          <w:color w:val="000000"/>
          <w:sz w:val="24"/>
          <w:szCs w:val="24"/>
        </w:rPr>
        <w:t>f Educational Research Open</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3</w:t>
      </w:r>
      <w:r>
        <w:rPr>
          <w:rFonts w:ascii="Times New Roman" w:eastAsia="Times New Roman" w:hAnsi="Times New Roman" w:cs="Times New Roman"/>
          <w:color w:val="000000"/>
          <w:sz w:val="24"/>
          <w:szCs w:val="24"/>
        </w:rPr>
        <w:t xml:space="preserve">, 100159. </w:t>
      </w:r>
    </w:p>
    <w:p w14:paraId="21E55525" w14:textId="4677844A"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Samsudin</w:t>
      </w:r>
      <w:proofErr w:type="spellEnd"/>
      <w:r>
        <w:rPr>
          <w:rFonts w:ascii="Times New Roman" w:eastAsia="Times New Roman" w:hAnsi="Times New Roman" w:cs="Times New Roman"/>
          <w:color w:val="000000"/>
          <w:sz w:val="24"/>
          <w:szCs w:val="24"/>
        </w:rPr>
        <w:t xml:space="preserve">, A. Z., &amp; Ismail, N. K. (2021). </w:t>
      </w:r>
      <w:proofErr w:type="spellStart"/>
      <w:r>
        <w:rPr>
          <w:rFonts w:ascii="Times New Roman" w:eastAsia="Times New Roman" w:hAnsi="Times New Roman" w:cs="Times New Roman"/>
          <w:color w:val="000000"/>
          <w:sz w:val="24"/>
          <w:szCs w:val="24"/>
        </w:rPr>
        <w:t>Pendidikan</w:t>
      </w:r>
      <w:proofErr w:type="spellEnd"/>
      <w:r>
        <w:rPr>
          <w:rFonts w:ascii="Times New Roman" w:eastAsia="Times New Roman" w:hAnsi="Times New Roman" w:cs="Times New Roman"/>
          <w:color w:val="000000"/>
          <w:sz w:val="24"/>
          <w:szCs w:val="24"/>
        </w:rPr>
        <w:t xml:space="preserve"> </w:t>
      </w:r>
      <w:proofErr w:type="spellStart"/>
      <w:r w:rsidR="00253325">
        <w:rPr>
          <w:rFonts w:ascii="Times New Roman" w:eastAsia="Times New Roman" w:hAnsi="Times New Roman" w:cs="Times New Roman"/>
          <w:color w:val="000000"/>
          <w:sz w:val="24"/>
          <w:szCs w:val="24"/>
        </w:rPr>
        <w:t>kanak-kanak</w:t>
      </w:r>
      <w:proofErr w:type="spellEnd"/>
      <w:r w:rsidR="00253325">
        <w:rPr>
          <w:rFonts w:ascii="Times New Roman" w:eastAsia="Times New Roman" w:hAnsi="Times New Roman" w:cs="Times New Roman"/>
          <w:color w:val="000000"/>
          <w:sz w:val="24"/>
          <w:szCs w:val="24"/>
        </w:rPr>
        <w:t xml:space="preserve"> </w:t>
      </w:r>
      <w:proofErr w:type="spellStart"/>
      <w:r w:rsidR="00253325">
        <w:rPr>
          <w:rFonts w:ascii="Times New Roman" w:eastAsia="Times New Roman" w:hAnsi="Times New Roman" w:cs="Times New Roman"/>
          <w:color w:val="000000"/>
          <w:sz w:val="24"/>
          <w:szCs w:val="24"/>
        </w:rPr>
        <w:t>muslim</w:t>
      </w:r>
      <w:proofErr w:type="spellEnd"/>
      <w:r w:rsidR="00253325">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Kajian</w:t>
      </w:r>
      <w:proofErr w:type="spellEnd"/>
      <w:r>
        <w:rPr>
          <w:rFonts w:ascii="Times New Roman" w:eastAsia="Times New Roman" w:hAnsi="Times New Roman" w:cs="Times New Roman"/>
          <w:color w:val="000000"/>
          <w:sz w:val="24"/>
          <w:szCs w:val="24"/>
        </w:rPr>
        <w:t xml:space="preserve"> </w:t>
      </w:r>
      <w:proofErr w:type="spellStart"/>
      <w:r w:rsidR="00253325">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es</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Intellectual Skills </w:t>
      </w:r>
      <w:proofErr w:type="gramStart"/>
      <w:r>
        <w:rPr>
          <w:rFonts w:ascii="Times New Roman" w:eastAsia="Times New Roman" w:hAnsi="Times New Roman" w:cs="Times New Roman"/>
          <w:color w:val="000000"/>
          <w:sz w:val="24"/>
          <w:szCs w:val="24"/>
        </w:rPr>
        <w:t>And</w:t>
      </w:r>
      <w:proofErr w:type="gramEnd"/>
      <w:r>
        <w:rPr>
          <w:rFonts w:ascii="Times New Roman" w:eastAsia="Times New Roman" w:hAnsi="Times New Roman" w:cs="Times New Roman"/>
          <w:color w:val="000000"/>
          <w:sz w:val="24"/>
          <w:szCs w:val="24"/>
        </w:rPr>
        <w:t xml:space="preserve"> Excellence (RISE), </w:t>
      </w:r>
      <w:proofErr w:type="spellStart"/>
      <w:r>
        <w:rPr>
          <w:rFonts w:ascii="Times New Roman" w:eastAsia="Times New Roman" w:hAnsi="Times New Roman" w:cs="Times New Roman"/>
          <w:color w:val="000000"/>
          <w:sz w:val="24"/>
          <w:szCs w:val="24"/>
        </w:rPr>
        <w:t>Kajang</w:t>
      </w:r>
      <w:proofErr w:type="spellEnd"/>
      <w:r>
        <w:rPr>
          <w:rFonts w:ascii="Times New Roman" w:eastAsia="Times New Roman" w:hAnsi="Times New Roman" w:cs="Times New Roman"/>
          <w:color w:val="000000"/>
          <w:sz w:val="24"/>
          <w:szCs w:val="24"/>
        </w:rPr>
        <w:t xml:space="preserve">, Selangor. </w:t>
      </w:r>
      <w:proofErr w:type="spellStart"/>
      <w:r>
        <w:rPr>
          <w:rFonts w:ascii="Times New Roman" w:eastAsia="Times New Roman" w:hAnsi="Times New Roman" w:cs="Times New Roman"/>
          <w:i/>
          <w:color w:val="000000"/>
          <w:sz w:val="24"/>
          <w:szCs w:val="24"/>
        </w:rPr>
        <w:t>Sains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Insani</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6</w:t>
      </w:r>
      <w:r>
        <w:rPr>
          <w:rFonts w:ascii="Times New Roman" w:eastAsia="Times New Roman" w:hAnsi="Times New Roman" w:cs="Times New Roman"/>
          <w:color w:val="000000"/>
          <w:sz w:val="24"/>
          <w:szCs w:val="24"/>
        </w:rPr>
        <w:t xml:space="preserve">(3), 67-76 </w:t>
      </w:r>
    </w:p>
    <w:p w14:paraId="760042E8" w14:textId="37EF1008"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Samsudin</w:t>
      </w:r>
      <w:proofErr w:type="spellEnd"/>
      <w:r>
        <w:rPr>
          <w:rFonts w:ascii="Times New Roman" w:eastAsia="Times New Roman" w:hAnsi="Times New Roman" w:cs="Times New Roman"/>
          <w:color w:val="000000"/>
          <w:sz w:val="24"/>
          <w:szCs w:val="24"/>
        </w:rPr>
        <w:t xml:space="preserve">, A. Z., &amp; Ismail, N. K. (2022). </w:t>
      </w:r>
      <w:proofErr w:type="spellStart"/>
      <w:r>
        <w:rPr>
          <w:rFonts w:ascii="Times New Roman" w:eastAsia="Times New Roman" w:hAnsi="Times New Roman" w:cs="Times New Roman"/>
          <w:color w:val="000000"/>
          <w:sz w:val="24"/>
          <w:szCs w:val="24"/>
        </w:rPr>
        <w:t>Dilema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Pendidikan</w:t>
      </w:r>
      <w:proofErr w:type="spellEnd"/>
      <w:r>
        <w:rPr>
          <w:rFonts w:ascii="Times New Roman" w:eastAsia="Times New Roman" w:hAnsi="Times New Roman" w:cs="Times New Roman"/>
          <w:color w:val="000000"/>
          <w:sz w:val="24"/>
          <w:szCs w:val="24"/>
        </w:rPr>
        <w:t xml:space="preserve"> Kanak-Kanak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di Malaysia: </w:t>
      </w:r>
      <w:proofErr w:type="spellStart"/>
      <w:r>
        <w:rPr>
          <w:rFonts w:ascii="Times New Roman" w:eastAsia="Times New Roman" w:hAnsi="Times New Roman" w:cs="Times New Roman"/>
          <w:color w:val="000000"/>
          <w:sz w:val="24"/>
          <w:szCs w:val="24"/>
        </w:rPr>
        <w:t>Satu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tinjauan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awal</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MANU </w:t>
      </w:r>
      <w:proofErr w:type="spellStart"/>
      <w:r>
        <w:rPr>
          <w:rFonts w:ascii="Times New Roman" w:eastAsia="Times New Roman" w:hAnsi="Times New Roman" w:cs="Times New Roman"/>
          <w:i/>
          <w:color w:val="000000"/>
          <w:sz w:val="24"/>
          <w:szCs w:val="24"/>
        </w:rPr>
        <w:t>Jurnal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Pusat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Penataran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Ilmu</w:t>
      </w:r>
      <w:proofErr w:type="spellEnd"/>
      <w:r>
        <w:rPr>
          <w:rFonts w:ascii="Times New Roman" w:eastAsia="Times New Roman" w:hAnsi="Times New Roman" w:cs="Times New Roman"/>
          <w:i/>
          <w:color w:val="000000"/>
          <w:sz w:val="24"/>
          <w:szCs w:val="24"/>
        </w:rPr>
        <w:t xml:space="preserve"> </w:t>
      </w:r>
      <w:proofErr w:type="spellStart"/>
      <w:r w:rsidR="00253325">
        <w:rPr>
          <w:rFonts w:ascii="Times New Roman" w:eastAsia="Times New Roman" w:hAnsi="Times New Roman" w:cs="Times New Roman"/>
          <w:i/>
          <w:color w:val="000000"/>
          <w:sz w:val="24"/>
          <w:szCs w:val="24"/>
        </w:rPr>
        <w:t>d</w:t>
      </w:r>
      <w:r>
        <w:rPr>
          <w:rFonts w:ascii="Times New Roman" w:eastAsia="Times New Roman" w:hAnsi="Times New Roman" w:cs="Times New Roman"/>
          <w:i/>
          <w:color w:val="000000"/>
          <w:sz w:val="24"/>
          <w:szCs w:val="24"/>
        </w:rPr>
        <w:t>an</w:t>
      </w:r>
      <w:proofErr w:type="spellEnd"/>
      <w:r>
        <w:rPr>
          <w:rFonts w:ascii="Times New Roman" w:eastAsia="Times New Roman" w:hAnsi="Times New Roman" w:cs="Times New Roman"/>
          <w:i/>
          <w:color w:val="000000"/>
          <w:sz w:val="24"/>
          <w:szCs w:val="24"/>
        </w:rPr>
        <w:t xml:space="preserve"> Bahasa (PPIB)</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33</w:t>
      </w:r>
      <w:r>
        <w:rPr>
          <w:rFonts w:ascii="Times New Roman" w:eastAsia="Times New Roman" w:hAnsi="Times New Roman" w:cs="Times New Roman"/>
          <w:color w:val="000000"/>
          <w:sz w:val="24"/>
          <w:szCs w:val="24"/>
        </w:rPr>
        <w:t>(1), 79-105.</w:t>
      </w:r>
    </w:p>
    <w:p w14:paraId="0313AFA7"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Shohel</w:t>
      </w:r>
      <w:proofErr w:type="spellEnd"/>
      <w:r>
        <w:rPr>
          <w:rFonts w:ascii="Times New Roman" w:eastAsia="Times New Roman" w:hAnsi="Times New Roman" w:cs="Times New Roman"/>
          <w:color w:val="000000"/>
          <w:sz w:val="24"/>
          <w:szCs w:val="24"/>
        </w:rPr>
        <w:t xml:space="preserve">, M. M. C. (2022). Education in emergencies: Challenges of providing education for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children living in refugee camps in Bangladesh. </w:t>
      </w:r>
      <w:r>
        <w:rPr>
          <w:rFonts w:ascii="Times New Roman" w:eastAsia="Times New Roman" w:hAnsi="Times New Roman" w:cs="Times New Roman"/>
          <w:i/>
          <w:color w:val="000000"/>
          <w:sz w:val="24"/>
          <w:szCs w:val="24"/>
        </w:rPr>
        <w:t>Education Inquiry</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13</w:t>
      </w:r>
      <w:r>
        <w:rPr>
          <w:rFonts w:ascii="Times New Roman" w:eastAsia="Times New Roman" w:hAnsi="Times New Roman" w:cs="Times New Roman"/>
          <w:color w:val="000000"/>
          <w:sz w:val="24"/>
          <w:szCs w:val="24"/>
        </w:rPr>
        <w:t xml:space="preserve">(1), 104-126. </w:t>
      </w:r>
    </w:p>
    <w:p w14:paraId="25464667"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Todd, L., </w:t>
      </w:r>
      <w:proofErr w:type="spellStart"/>
      <w:r>
        <w:rPr>
          <w:rFonts w:ascii="Times New Roman" w:eastAsia="Times New Roman" w:hAnsi="Times New Roman" w:cs="Times New Roman"/>
          <w:color w:val="000000"/>
          <w:sz w:val="24"/>
          <w:szCs w:val="24"/>
        </w:rPr>
        <w:t>Amirullah</w:t>
      </w:r>
      <w:proofErr w:type="spellEnd"/>
      <w:r>
        <w:rPr>
          <w:rFonts w:ascii="Times New Roman" w:eastAsia="Times New Roman" w:hAnsi="Times New Roman" w:cs="Times New Roman"/>
          <w:color w:val="000000"/>
          <w:sz w:val="24"/>
          <w:szCs w:val="24"/>
        </w:rPr>
        <w:t xml:space="preserve">, A., &amp; Wan, Y. S. (2019). The Economic Impact of Granting Refugees in Malaysia </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Right to Work. Institute </w:t>
      </w:r>
      <w:proofErr w:type="gramStart"/>
      <w:r>
        <w:rPr>
          <w:rFonts w:ascii="Times New Roman" w:eastAsia="Times New Roman" w:hAnsi="Times New Roman" w:cs="Times New Roman"/>
          <w:color w:val="000000"/>
          <w:sz w:val="24"/>
          <w:szCs w:val="24"/>
        </w:rPr>
        <w:t>For</w:t>
      </w:r>
      <w:proofErr w:type="gramEnd"/>
      <w:r>
        <w:rPr>
          <w:rFonts w:ascii="Times New Roman" w:eastAsia="Times New Roman" w:hAnsi="Times New Roman" w:cs="Times New Roman"/>
          <w:color w:val="000000"/>
          <w:sz w:val="24"/>
          <w:szCs w:val="24"/>
        </w:rPr>
        <w:t xml:space="preserve"> Democracy And Economic Affairs (IDEAS). </w:t>
      </w:r>
    </w:p>
    <w:p w14:paraId="1407A1C2" w14:textId="1A09B06A"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Togoo</w:t>
      </w:r>
      <w:proofErr w:type="spellEnd"/>
      <w:r>
        <w:rPr>
          <w:rFonts w:ascii="Times New Roman" w:eastAsia="Times New Roman" w:hAnsi="Times New Roman" w:cs="Times New Roman"/>
          <w:color w:val="000000"/>
          <w:sz w:val="24"/>
          <w:szCs w:val="24"/>
        </w:rPr>
        <w:t xml:space="preserve">, R. R., &amp; Ismail, F. H. B. M. (2021). Security dilemma of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refugees in Malaysia. </w:t>
      </w:r>
      <w:r>
        <w:rPr>
          <w:rFonts w:ascii="Times New Roman" w:eastAsia="Times New Roman" w:hAnsi="Times New Roman" w:cs="Times New Roman"/>
          <w:i/>
          <w:color w:val="000000"/>
          <w:sz w:val="24"/>
          <w:szCs w:val="24"/>
        </w:rPr>
        <w:t xml:space="preserve">Open Journal </w:t>
      </w:r>
      <w:r w:rsidR="00253325">
        <w:rPr>
          <w:rFonts w:ascii="Times New Roman" w:eastAsia="Times New Roman" w:hAnsi="Times New Roman" w:cs="Times New Roman"/>
          <w:i/>
          <w:color w:val="000000"/>
          <w:sz w:val="24"/>
          <w:szCs w:val="24"/>
        </w:rPr>
        <w:t>o</w:t>
      </w:r>
      <w:r>
        <w:rPr>
          <w:rFonts w:ascii="Times New Roman" w:eastAsia="Times New Roman" w:hAnsi="Times New Roman" w:cs="Times New Roman"/>
          <w:i/>
          <w:color w:val="000000"/>
          <w:sz w:val="24"/>
          <w:szCs w:val="24"/>
        </w:rPr>
        <w:t>f Political Science</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11</w:t>
      </w:r>
      <w:r>
        <w:rPr>
          <w:rFonts w:ascii="Times New Roman" w:eastAsia="Times New Roman" w:hAnsi="Times New Roman" w:cs="Times New Roman"/>
          <w:color w:val="000000"/>
          <w:sz w:val="24"/>
          <w:szCs w:val="24"/>
        </w:rPr>
        <w:t xml:space="preserve">, 12-20. </w:t>
      </w:r>
    </w:p>
    <w:p w14:paraId="03D54CC6"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Umar, A., &amp; </w:t>
      </w:r>
      <w:proofErr w:type="spellStart"/>
      <w:r>
        <w:rPr>
          <w:rFonts w:ascii="Times New Roman" w:eastAsia="Times New Roman" w:hAnsi="Times New Roman" w:cs="Times New Roman"/>
          <w:color w:val="000000"/>
          <w:sz w:val="24"/>
          <w:szCs w:val="24"/>
        </w:rPr>
        <w:t>Hussin</w:t>
      </w:r>
      <w:proofErr w:type="spellEnd"/>
      <w:r>
        <w:rPr>
          <w:rFonts w:ascii="Times New Roman" w:eastAsia="Times New Roman" w:hAnsi="Times New Roman" w:cs="Times New Roman"/>
          <w:color w:val="000000"/>
          <w:sz w:val="24"/>
          <w:szCs w:val="24"/>
        </w:rPr>
        <w:t xml:space="preserve">, S. (2009). </w:t>
      </w:r>
      <w:proofErr w:type="spellStart"/>
      <w:r>
        <w:rPr>
          <w:rFonts w:ascii="Times New Roman" w:eastAsia="Times New Roman" w:hAnsi="Times New Roman" w:cs="Times New Roman"/>
          <w:color w:val="000000"/>
          <w:sz w:val="24"/>
          <w:szCs w:val="24"/>
        </w:rPr>
        <w:t>Pendaftaran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sekolah</w:t>
      </w:r>
      <w:proofErr w:type="spellEnd"/>
      <w:r>
        <w:rPr>
          <w:rFonts w:ascii="Times New Roman" w:eastAsia="Times New Roman" w:hAnsi="Times New Roman" w:cs="Times New Roman"/>
          <w:color w:val="000000"/>
          <w:sz w:val="24"/>
          <w:szCs w:val="24"/>
        </w:rPr>
        <w:t xml:space="preserve"> agama </w:t>
      </w:r>
      <w:proofErr w:type="spellStart"/>
      <w:r>
        <w:rPr>
          <w:rFonts w:ascii="Times New Roman" w:eastAsia="Times New Roman" w:hAnsi="Times New Roman" w:cs="Times New Roman"/>
          <w:color w:val="000000"/>
          <w:sz w:val="24"/>
          <w:szCs w:val="24"/>
        </w:rPr>
        <w:t>rakyat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sekolah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bantuan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kerajaan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Kajian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implikasinya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Perlembagaan</w:t>
      </w:r>
      <w:proofErr w:type="spellEnd"/>
      <w:r>
        <w:rPr>
          <w:rFonts w:ascii="Times New Roman" w:eastAsia="Times New Roman" w:hAnsi="Times New Roman" w:cs="Times New Roman"/>
          <w:color w:val="000000"/>
          <w:sz w:val="24"/>
          <w:szCs w:val="24"/>
        </w:rPr>
        <w:t xml:space="preserve"> Persekutuan </w:t>
      </w:r>
      <w:proofErr w:type="spellStart"/>
      <w:r>
        <w:rPr>
          <w:rFonts w:ascii="Times New Roman" w:eastAsia="Times New Roman" w:hAnsi="Times New Roman" w:cs="Times New Roman"/>
          <w:color w:val="000000"/>
          <w:sz w:val="24"/>
          <w:szCs w:val="24"/>
        </w:rPr>
        <w:t>dan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Pendidikan</w:t>
      </w:r>
      <w:proofErr w:type="spellEnd"/>
      <w:r>
        <w:rPr>
          <w:rFonts w:ascii="Times New Roman" w:eastAsia="Times New Roman" w:hAnsi="Times New Roman" w:cs="Times New Roman"/>
          <w:color w:val="000000"/>
          <w:sz w:val="24"/>
          <w:szCs w:val="24"/>
        </w:rPr>
        <w:t xml:space="preserve"> 1996. International Conference on Islamic Research in Islamic Laws </w:t>
      </w:r>
      <w:proofErr w:type="spellStart"/>
      <w:r>
        <w:rPr>
          <w:rFonts w:ascii="Times New Roman" w:eastAsia="Times New Roman" w:hAnsi="Times New Roman" w:cs="Times New Roman"/>
          <w:color w:val="000000"/>
          <w:sz w:val="24"/>
          <w:szCs w:val="24"/>
        </w:rPr>
        <w:t>Jabatan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Syariah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Undang-Undang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Akademi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Pengajian</w:t>
      </w:r>
      <w:proofErr w:type="spellEnd"/>
      <w:r>
        <w:rPr>
          <w:rFonts w:ascii="Times New Roman" w:eastAsia="Times New Roman" w:hAnsi="Times New Roman" w:cs="Times New Roman"/>
          <w:color w:val="000000"/>
          <w:sz w:val="24"/>
          <w:szCs w:val="24"/>
        </w:rPr>
        <w:t xml:space="preserve"> Islam, </w:t>
      </w:r>
      <w:proofErr w:type="spellStart"/>
      <w:r>
        <w:rPr>
          <w:rFonts w:ascii="Times New Roman" w:eastAsia="Times New Roman" w:hAnsi="Times New Roman" w:cs="Times New Roman"/>
          <w:color w:val="000000"/>
          <w:sz w:val="24"/>
          <w:szCs w:val="24"/>
        </w:rPr>
        <w:t>Universiti</w:t>
      </w:r>
      <w:proofErr w:type="spellEnd"/>
      <w:r>
        <w:rPr>
          <w:rFonts w:ascii="Times New Roman" w:eastAsia="Times New Roman" w:hAnsi="Times New Roman" w:cs="Times New Roman"/>
          <w:color w:val="000000"/>
          <w:sz w:val="24"/>
          <w:szCs w:val="24"/>
        </w:rPr>
        <w:t xml:space="preserve"> Malaya.</w:t>
      </w:r>
    </w:p>
    <w:p w14:paraId="28EEEB5F" w14:textId="3354CAC2"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UNHCR. (2016). Education </w:t>
      </w:r>
      <w:proofErr w:type="gramStart"/>
      <w:r>
        <w:rPr>
          <w:rFonts w:ascii="Times New Roman" w:eastAsia="Times New Roman" w:hAnsi="Times New Roman" w:cs="Times New Roman"/>
          <w:color w:val="000000"/>
          <w:sz w:val="24"/>
          <w:szCs w:val="24"/>
        </w:rPr>
        <w:t>For</w:t>
      </w:r>
      <w:proofErr w:type="gramEnd"/>
      <w:r>
        <w:rPr>
          <w:rFonts w:ascii="Times New Roman" w:eastAsia="Times New Roman" w:hAnsi="Times New Roman" w:cs="Times New Roman"/>
          <w:color w:val="000000"/>
          <w:sz w:val="24"/>
          <w:szCs w:val="24"/>
        </w:rPr>
        <w:t xml:space="preserve"> Refugees: Priority Activities </w:t>
      </w:r>
      <w:r w:rsidR="00253325">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nd Requirements Supporting Enrolment </w:t>
      </w:r>
      <w:r w:rsidR="00253325">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nd Retention. </w:t>
      </w:r>
    </w:p>
    <w:p w14:paraId="70C87220" w14:textId="236925AD"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UNHCR. (2025). Figures </w:t>
      </w:r>
      <w:r w:rsidR="00253325">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t </w:t>
      </w:r>
      <w:r w:rsidR="00253325">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Glance </w:t>
      </w:r>
      <w:r w:rsidR="00253325">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n Malaysia. </w:t>
      </w:r>
    </w:p>
    <w:p w14:paraId="54CF34ED"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Vahedian-Shahroodi</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Mansourzadeh</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Shariat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Moghani</w:t>
      </w:r>
      <w:proofErr w:type="spellEnd"/>
      <w:r>
        <w:rPr>
          <w:rFonts w:ascii="Times New Roman" w:eastAsia="Times New Roman" w:hAnsi="Times New Roman" w:cs="Times New Roman"/>
          <w:color w:val="000000"/>
          <w:sz w:val="24"/>
          <w:szCs w:val="24"/>
        </w:rPr>
        <w:t xml:space="preserve">, S., &amp; </w:t>
      </w:r>
      <w:proofErr w:type="spellStart"/>
      <w:r>
        <w:rPr>
          <w:rFonts w:ascii="Times New Roman" w:eastAsia="Times New Roman" w:hAnsi="Times New Roman" w:cs="Times New Roman"/>
          <w:color w:val="000000"/>
          <w:sz w:val="24"/>
          <w:szCs w:val="24"/>
        </w:rPr>
        <w:t>Saeidi</w:t>
      </w:r>
      <w:proofErr w:type="spellEnd"/>
      <w:r>
        <w:rPr>
          <w:rFonts w:ascii="Times New Roman" w:eastAsia="Times New Roman" w:hAnsi="Times New Roman" w:cs="Times New Roman"/>
          <w:color w:val="000000"/>
          <w:sz w:val="24"/>
          <w:szCs w:val="24"/>
        </w:rPr>
        <w:t xml:space="preserve">, M. (2023). Using the nominal group technique in group decision-making: A review. </w:t>
      </w:r>
      <w:r>
        <w:rPr>
          <w:rFonts w:ascii="Times New Roman" w:eastAsia="Times New Roman" w:hAnsi="Times New Roman" w:cs="Times New Roman"/>
          <w:i/>
          <w:color w:val="000000"/>
          <w:sz w:val="24"/>
          <w:szCs w:val="24"/>
        </w:rPr>
        <w:t>Medical Education Bulletin</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4</w:t>
      </w:r>
      <w:r>
        <w:rPr>
          <w:rFonts w:ascii="Times New Roman" w:eastAsia="Times New Roman" w:hAnsi="Times New Roman" w:cs="Times New Roman"/>
          <w:color w:val="000000"/>
          <w:sz w:val="24"/>
          <w:szCs w:val="24"/>
        </w:rPr>
        <w:t xml:space="preserve">(4), 837-845. </w:t>
      </w:r>
    </w:p>
    <w:p w14:paraId="2C2E5951" w14:textId="0E99DC74"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Warfield, J. N. (1973). Binary matrices in system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IEEE Transactions </w:t>
      </w:r>
      <w:r w:rsidR="00253325">
        <w:rPr>
          <w:rFonts w:ascii="Times New Roman" w:eastAsia="Times New Roman" w:hAnsi="Times New Roman" w:cs="Times New Roman"/>
          <w:i/>
          <w:color w:val="000000"/>
          <w:sz w:val="24"/>
          <w:szCs w:val="24"/>
        </w:rPr>
        <w:t>o</w:t>
      </w:r>
      <w:r>
        <w:rPr>
          <w:rFonts w:ascii="Times New Roman" w:eastAsia="Times New Roman" w:hAnsi="Times New Roman" w:cs="Times New Roman"/>
          <w:i/>
          <w:color w:val="000000"/>
          <w:sz w:val="24"/>
          <w:szCs w:val="24"/>
        </w:rPr>
        <w:t xml:space="preserve">n Systems, Man </w:t>
      </w:r>
      <w:r w:rsidR="00253325">
        <w:rPr>
          <w:rFonts w:ascii="Times New Roman" w:eastAsia="Times New Roman" w:hAnsi="Times New Roman" w:cs="Times New Roman"/>
          <w:i/>
          <w:color w:val="000000"/>
          <w:sz w:val="24"/>
          <w:szCs w:val="24"/>
        </w:rPr>
        <w:t>a</w:t>
      </w:r>
      <w:r>
        <w:rPr>
          <w:rFonts w:ascii="Times New Roman" w:eastAsia="Times New Roman" w:hAnsi="Times New Roman" w:cs="Times New Roman"/>
          <w:i/>
          <w:color w:val="000000"/>
          <w:sz w:val="24"/>
          <w:szCs w:val="24"/>
        </w:rPr>
        <w:t xml:space="preserve">nd </w:t>
      </w:r>
      <w:proofErr w:type="gramStart"/>
      <w:r>
        <w:rPr>
          <w:rFonts w:ascii="Times New Roman" w:eastAsia="Times New Roman" w:hAnsi="Times New Roman" w:cs="Times New Roman"/>
          <w:i/>
          <w:color w:val="000000"/>
          <w:sz w:val="24"/>
          <w:szCs w:val="24"/>
        </w:rPr>
        <w:t>Cybernetics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5), 441-449. </w:t>
      </w:r>
    </w:p>
    <w:p w14:paraId="09253D83"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Wati</w:t>
      </w:r>
      <w:proofErr w:type="spellEnd"/>
      <w:r>
        <w:rPr>
          <w:rFonts w:ascii="Times New Roman" w:eastAsia="Times New Roman" w:hAnsi="Times New Roman" w:cs="Times New Roman"/>
          <w:color w:val="000000"/>
          <w:sz w:val="24"/>
          <w:szCs w:val="24"/>
        </w:rPr>
        <w:t xml:space="preserve">, A. P., &amp; </w:t>
      </w:r>
      <w:proofErr w:type="spellStart"/>
      <w:r>
        <w:rPr>
          <w:rFonts w:ascii="Times New Roman" w:eastAsia="Times New Roman" w:hAnsi="Times New Roman" w:cs="Times New Roman"/>
          <w:color w:val="000000"/>
          <w:sz w:val="24"/>
          <w:szCs w:val="24"/>
        </w:rPr>
        <w:t>Sahid</w:t>
      </w:r>
      <w:proofErr w:type="spellEnd"/>
      <w:r>
        <w:rPr>
          <w:rFonts w:ascii="Times New Roman" w:eastAsia="Times New Roman" w:hAnsi="Times New Roman" w:cs="Times New Roman"/>
          <w:color w:val="000000"/>
          <w:sz w:val="24"/>
          <w:szCs w:val="24"/>
        </w:rPr>
        <w:t xml:space="preserve">, S. (2022). Factors Influencing parents’ awareness of children’ education investment: A systematic review. </w:t>
      </w:r>
      <w:r>
        <w:rPr>
          <w:rFonts w:ascii="Times New Roman" w:eastAsia="Times New Roman" w:hAnsi="Times New Roman" w:cs="Times New Roman"/>
          <w:i/>
          <w:color w:val="000000"/>
          <w:sz w:val="24"/>
          <w:szCs w:val="24"/>
        </w:rPr>
        <w:t>Sustainability</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14</w:t>
      </w:r>
      <w:r>
        <w:rPr>
          <w:rFonts w:ascii="Times New Roman" w:eastAsia="Times New Roman" w:hAnsi="Times New Roman" w:cs="Times New Roman"/>
          <w:color w:val="000000"/>
          <w:sz w:val="24"/>
          <w:szCs w:val="24"/>
        </w:rPr>
        <w:t xml:space="preserve">(8326), 1-13. </w:t>
      </w:r>
    </w:p>
    <w:p w14:paraId="74B59032"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Yusoff</w:t>
      </w:r>
      <w:proofErr w:type="spellEnd"/>
      <w:r>
        <w:rPr>
          <w:rFonts w:ascii="Times New Roman" w:eastAsia="Times New Roman" w:hAnsi="Times New Roman" w:cs="Times New Roman"/>
          <w:color w:val="000000"/>
          <w:sz w:val="24"/>
          <w:szCs w:val="24"/>
        </w:rPr>
        <w:t xml:space="preserve">, S. M. B., </w:t>
      </w:r>
      <w:proofErr w:type="spellStart"/>
      <w:r>
        <w:rPr>
          <w:rFonts w:ascii="Times New Roman" w:eastAsia="Times New Roman" w:hAnsi="Times New Roman" w:cs="Times New Roman"/>
          <w:color w:val="000000"/>
          <w:sz w:val="24"/>
          <w:szCs w:val="24"/>
        </w:rPr>
        <w:t>Salleh</w:t>
      </w:r>
      <w:proofErr w:type="spellEnd"/>
      <w:r>
        <w:rPr>
          <w:rFonts w:ascii="Times New Roman" w:eastAsia="Times New Roman" w:hAnsi="Times New Roman" w:cs="Times New Roman"/>
          <w:color w:val="000000"/>
          <w:sz w:val="24"/>
          <w:szCs w:val="24"/>
        </w:rPr>
        <w:t xml:space="preserve">, M. A. B., &amp; </w:t>
      </w:r>
      <w:proofErr w:type="spellStart"/>
      <w:r>
        <w:rPr>
          <w:rFonts w:ascii="Times New Roman" w:eastAsia="Times New Roman" w:hAnsi="Times New Roman" w:cs="Times New Roman"/>
          <w:color w:val="000000"/>
          <w:sz w:val="24"/>
          <w:szCs w:val="24"/>
        </w:rPr>
        <w:t>Haque</w:t>
      </w:r>
      <w:proofErr w:type="spellEnd"/>
      <w:r>
        <w:rPr>
          <w:rFonts w:ascii="Times New Roman" w:eastAsia="Times New Roman" w:hAnsi="Times New Roman" w:cs="Times New Roman"/>
          <w:color w:val="000000"/>
          <w:sz w:val="24"/>
          <w:szCs w:val="24"/>
        </w:rPr>
        <w:t xml:space="preserve">, M. M. (2022). Malaysian and Indonesian law and policy on </w:t>
      </w:r>
      <w:proofErr w:type="spellStart"/>
      <w:r>
        <w:rPr>
          <w:rFonts w:ascii="Times New Roman" w:eastAsia="Times New Roman" w:hAnsi="Times New Roman" w:cs="Times New Roman"/>
          <w:color w:val="000000"/>
          <w:sz w:val="24"/>
          <w:szCs w:val="24"/>
        </w:rPr>
        <w:t>Rohingya</w:t>
      </w:r>
      <w:proofErr w:type="spellEnd"/>
      <w:r>
        <w:rPr>
          <w:rFonts w:ascii="Times New Roman" w:eastAsia="Times New Roman" w:hAnsi="Times New Roman" w:cs="Times New Roman"/>
          <w:color w:val="000000"/>
          <w:sz w:val="24"/>
          <w:szCs w:val="24"/>
        </w:rPr>
        <w:t xml:space="preserve"> refugees: A comparative review. </w:t>
      </w:r>
      <w:r>
        <w:rPr>
          <w:rFonts w:ascii="Times New Roman" w:eastAsia="Times New Roman" w:hAnsi="Times New Roman" w:cs="Times New Roman"/>
          <w:i/>
          <w:color w:val="000000"/>
          <w:sz w:val="24"/>
          <w:szCs w:val="24"/>
        </w:rPr>
        <w:t>Indonesian Comparative Law Review</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4</w:t>
      </w:r>
      <w:r>
        <w:rPr>
          <w:rFonts w:ascii="Times New Roman" w:eastAsia="Times New Roman" w:hAnsi="Times New Roman" w:cs="Times New Roman"/>
          <w:color w:val="000000"/>
          <w:sz w:val="24"/>
          <w:szCs w:val="24"/>
        </w:rPr>
        <w:t xml:space="preserve">(2), 59–71. </w:t>
      </w:r>
    </w:p>
    <w:p w14:paraId="7469C48C"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Zulkefli</w:t>
      </w:r>
      <w:proofErr w:type="spellEnd"/>
      <w:r>
        <w:rPr>
          <w:rFonts w:ascii="Times New Roman" w:eastAsia="Times New Roman" w:hAnsi="Times New Roman" w:cs="Times New Roman"/>
          <w:color w:val="000000"/>
          <w:sz w:val="24"/>
          <w:szCs w:val="24"/>
        </w:rPr>
        <w:t xml:space="preserve">, A. U., Abdullah, M. R. T. L., &amp; </w:t>
      </w:r>
      <w:proofErr w:type="spellStart"/>
      <w:r>
        <w:rPr>
          <w:rFonts w:ascii="Times New Roman" w:eastAsia="Times New Roman" w:hAnsi="Times New Roman" w:cs="Times New Roman"/>
          <w:color w:val="000000"/>
          <w:sz w:val="24"/>
          <w:szCs w:val="24"/>
        </w:rPr>
        <w:t>Endut</w:t>
      </w:r>
      <w:proofErr w:type="spellEnd"/>
      <w:r>
        <w:rPr>
          <w:rFonts w:ascii="Times New Roman" w:eastAsia="Times New Roman" w:hAnsi="Times New Roman" w:cs="Times New Roman"/>
          <w:color w:val="000000"/>
          <w:sz w:val="24"/>
          <w:szCs w:val="24"/>
        </w:rPr>
        <w:t xml:space="preserve">, M. (2022). Co-Creation on redefining consumer well-being needs among youth through self-potential development model. </w:t>
      </w:r>
      <w:r>
        <w:rPr>
          <w:rFonts w:ascii="Times New Roman" w:eastAsia="Times New Roman" w:hAnsi="Times New Roman" w:cs="Times New Roman"/>
          <w:i/>
          <w:color w:val="000000"/>
          <w:sz w:val="24"/>
          <w:szCs w:val="24"/>
        </w:rPr>
        <w:t>Frontiers in Psychology</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13</w:t>
      </w:r>
      <w:r>
        <w:rPr>
          <w:rFonts w:ascii="Times New Roman" w:eastAsia="Times New Roman" w:hAnsi="Times New Roman" w:cs="Times New Roman"/>
          <w:color w:val="000000"/>
          <w:sz w:val="24"/>
          <w:szCs w:val="24"/>
        </w:rPr>
        <w:t xml:space="preserve">, 1-15. </w:t>
      </w:r>
    </w:p>
    <w:p w14:paraId="18A62EC4"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Zulkefli</w:t>
      </w:r>
      <w:proofErr w:type="spellEnd"/>
      <w:r>
        <w:rPr>
          <w:rFonts w:ascii="Times New Roman" w:eastAsia="Times New Roman" w:hAnsi="Times New Roman" w:cs="Times New Roman"/>
          <w:color w:val="000000"/>
          <w:sz w:val="24"/>
          <w:szCs w:val="24"/>
        </w:rPr>
        <w:t xml:space="preserve">, M. I. I., </w:t>
      </w:r>
      <w:proofErr w:type="spellStart"/>
      <w:r>
        <w:rPr>
          <w:rFonts w:ascii="Times New Roman" w:eastAsia="Times New Roman" w:hAnsi="Times New Roman" w:cs="Times New Roman"/>
          <w:color w:val="000000"/>
          <w:sz w:val="24"/>
          <w:szCs w:val="24"/>
        </w:rPr>
        <w:t>Endut</w:t>
      </w:r>
      <w:proofErr w:type="spellEnd"/>
      <w:r>
        <w:rPr>
          <w:rFonts w:ascii="Times New Roman" w:eastAsia="Times New Roman" w:hAnsi="Times New Roman" w:cs="Times New Roman"/>
          <w:color w:val="000000"/>
          <w:sz w:val="24"/>
          <w:szCs w:val="24"/>
        </w:rPr>
        <w:t xml:space="preserve">, M. N. A.-A., &amp; Abdullah, M. R. T. L. (2023). Application of The Nominal Group Technique (NGT) in Identifying </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Components of The Islamic Affairs Index Instrument. International Conference On Environmental, Social and Governance, Kuching, Sarawak.</w:t>
      </w:r>
    </w:p>
    <w:p w14:paraId="3A5CCB14" w14:textId="2201B2B0"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Zulkefli</w:t>
      </w:r>
      <w:proofErr w:type="spellEnd"/>
      <w:r>
        <w:rPr>
          <w:rFonts w:ascii="Times New Roman" w:eastAsia="Times New Roman" w:hAnsi="Times New Roman" w:cs="Times New Roman"/>
          <w:color w:val="000000"/>
          <w:sz w:val="24"/>
          <w:szCs w:val="24"/>
        </w:rPr>
        <w:t xml:space="preserve">, M. I. I., </w:t>
      </w:r>
      <w:proofErr w:type="spellStart"/>
      <w:r>
        <w:rPr>
          <w:rFonts w:ascii="Times New Roman" w:eastAsia="Times New Roman" w:hAnsi="Times New Roman" w:cs="Times New Roman"/>
          <w:color w:val="000000"/>
          <w:sz w:val="24"/>
          <w:szCs w:val="24"/>
        </w:rPr>
        <w:t>Endut</w:t>
      </w:r>
      <w:proofErr w:type="spellEnd"/>
      <w:r>
        <w:rPr>
          <w:rFonts w:ascii="Times New Roman" w:eastAsia="Times New Roman" w:hAnsi="Times New Roman" w:cs="Times New Roman"/>
          <w:color w:val="000000"/>
          <w:sz w:val="24"/>
          <w:szCs w:val="24"/>
        </w:rPr>
        <w:t xml:space="preserve">, M. N. A.-A., &amp; Abdullah, M. R. T. L. (2024). Exploring factors affecting the sustainability of </w:t>
      </w:r>
      <w:proofErr w:type="spellStart"/>
      <w:r>
        <w:rPr>
          <w:rFonts w:ascii="Times New Roman" w:eastAsia="Times New Roman" w:hAnsi="Times New Roman" w:cs="Times New Roman"/>
          <w:color w:val="000000"/>
          <w:sz w:val="24"/>
          <w:szCs w:val="24"/>
        </w:rPr>
        <w:t>islamic</w:t>
      </w:r>
      <w:proofErr w:type="spellEnd"/>
      <w:r>
        <w:rPr>
          <w:rFonts w:ascii="Times New Roman" w:eastAsia="Times New Roman" w:hAnsi="Times New Roman" w:cs="Times New Roman"/>
          <w:color w:val="000000"/>
          <w:sz w:val="24"/>
          <w:szCs w:val="24"/>
        </w:rPr>
        <w:t xml:space="preserve"> affairs in Malaysia: An Interpretive Structural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(ISM) approach. </w:t>
      </w:r>
      <w:r>
        <w:rPr>
          <w:rFonts w:ascii="Times New Roman" w:eastAsia="Times New Roman" w:hAnsi="Times New Roman" w:cs="Times New Roman"/>
          <w:i/>
          <w:color w:val="000000"/>
          <w:sz w:val="24"/>
          <w:szCs w:val="24"/>
        </w:rPr>
        <w:t xml:space="preserve">International Journal </w:t>
      </w:r>
      <w:r w:rsidR="00253325">
        <w:rPr>
          <w:rFonts w:ascii="Times New Roman" w:eastAsia="Times New Roman" w:hAnsi="Times New Roman" w:cs="Times New Roman"/>
          <w:i/>
          <w:color w:val="000000"/>
          <w:sz w:val="24"/>
          <w:szCs w:val="24"/>
        </w:rPr>
        <w:t>o</w:t>
      </w:r>
      <w:r>
        <w:rPr>
          <w:rFonts w:ascii="Times New Roman" w:eastAsia="Times New Roman" w:hAnsi="Times New Roman" w:cs="Times New Roman"/>
          <w:i/>
          <w:color w:val="000000"/>
          <w:sz w:val="24"/>
          <w:szCs w:val="24"/>
        </w:rPr>
        <w:t>f Sustainable Development &amp; Planning</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19</w:t>
      </w:r>
      <w:r>
        <w:rPr>
          <w:rFonts w:ascii="Times New Roman" w:eastAsia="Times New Roman" w:hAnsi="Times New Roman" w:cs="Times New Roman"/>
          <w:color w:val="000000"/>
          <w:sz w:val="24"/>
          <w:szCs w:val="24"/>
        </w:rPr>
        <w:t xml:space="preserve">(2), 703-713. </w:t>
      </w:r>
    </w:p>
    <w:p w14:paraId="14E788BF" w14:textId="77777777" w:rsidR="00812CB1" w:rsidRDefault="00A43E67">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Zulkefli</w:t>
      </w:r>
      <w:proofErr w:type="spellEnd"/>
      <w:r>
        <w:rPr>
          <w:rFonts w:ascii="Times New Roman" w:eastAsia="Times New Roman" w:hAnsi="Times New Roman" w:cs="Times New Roman"/>
          <w:color w:val="000000"/>
          <w:sz w:val="24"/>
          <w:szCs w:val="24"/>
        </w:rPr>
        <w:t xml:space="preserve">, M. I. I., </w:t>
      </w:r>
      <w:proofErr w:type="spellStart"/>
      <w:r>
        <w:rPr>
          <w:rFonts w:ascii="Times New Roman" w:eastAsia="Times New Roman" w:hAnsi="Times New Roman" w:cs="Times New Roman"/>
          <w:color w:val="000000"/>
          <w:sz w:val="24"/>
          <w:szCs w:val="24"/>
        </w:rPr>
        <w:t>Endut</w:t>
      </w:r>
      <w:proofErr w:type="spellEnd"/>
      <w:r>
        <w:rPr>
          <w:rFonts w:ascii="Times New Roman" w:eastAsia="Times New Roman" w:hAnsi="Times New Roman" w:cs="Times New Roman"/>
          <w:color w:val="000000"/>
          <w:sz w:val="24"/>
          <w:szCs w:val="24"/>
        </w:rPr>
        <w:t xml:space="preserve">, M. N. A.-A., Abdullah, M. R. T. L., </w:t>
      </w:r>
      <w:proofErr w:type="spellStart"/>
      <w:r>
        <w:rPr>
          <w:rFonts w:ascii="Times New Roman" w:eastAsia="Times New Roman" w:hAnsi="Times New Roman" w:cs="Times New Roman"/>
          <w:color w:val="000000"/>
          <w:sz w:val="24"/>
          <w:szCs w:val="24"/>
        </w:rPr>
        <w:t>Jamaludin</w:t>
      </w:r>
      <w:proofErr w:type="spellEnd"/>
      <w:r>
        <w:rPr>
          <w:rFonts w:ascii="Times New Roman" w:eastAsia="Times New Roman" w:hAnsi="Times New Roman" w:cs="Times New Roman"/>
          <w:color w:val="000000"/>
          <w:sz w:val="24"/>
          <w:szCs w:val="24"/>
        </w:rPr>
        <w:t xml:space="preserve">, F. I. C., &amp; </w:t>
      </w:r>
      <w:proofErr w:type="spellStart"/>
      <w:r>
        <w:rPr>
          <w:rFonts w:ascii="Times New Roman" w:eastAsia="Times New Roman" w:hAnsi="Times New Roman" w:cs="Times New Roman"/>
          <w:color w:val="000000"/>
          <w:sz w:val="24"/>
          <w:szCs w:val="24"/>
        </w:rPr>
        <w:t>Zulkipli</w:t>
      </w:r>
      <w:proofErr w:type="spellEnd"/>
      <w:r>
        <w:rPr>
          <w:rFonts w:ascii="Times New Roman" w:eastAsia="Times New Roman" w:hAnsi="Times New Roman" w:cs="Times New Roman"/>
          <w:color w:val="000000"/>
          <w:sz w:val="24"/>
          <w:szCs w:val="24"/>
        </w:rPr>
        <w:t xml:space="preserve">, S. (2025). Development and validation of indicators for the Islamic Affairs Management Index in Malaysia: A Fuzzy Delphi method approach. </w:t>
      </w:r>
      <w:proofErr w:type="spellStart"/>
      <w:r>
        <w:rPr>
          <w:rFonts w:ascii="Times New Roman" w:eastAsia="Times New Roman" w:hAnsi="Times New Roman" w:cs="Times New Roman"/>
          <w:i/>
          <w:color w:val="000000"/>
          <w:sz w:val="24"/>
          <w:szCs w:val="24"/>
        </w:rPr>
        <w:t>Geografia</w:t>
      </w:r>
      <w:proofErr w:type="spellEnd"/>
      <w:r>
        <w:rPr>
          <w:rFonts w:ascii="Times New Roman" w:eastAsia="Times New Roman" w:hAnsi="Times New Roman" w:cs="Times New Roman"/>
          <w:i/>
          <w:color w:val="000000"/>
          <w:sz w:val="24"/>
          <w:szCs w:val="24"/>
        </w:rPr>
        <w:t xml:space="preserve">-Malaysian Journal </w:t>
      </w:r>
      <w:proofErr w:type="gramStart"/>
      <w:r>
        <w:rPr>
          <w:rFonts w:ascii="Times New Roman" w:eastAsia="Times New Roman" w:hAnsi="Times New Roman" w:cs="Times New Roman"/>
          <w:i/>
          <w:color w:val="000000"/>
          <w:sz w:val="24"/>
          <w:szCs w:val="24"/>
        </w:rPr>
        <w:t>Of</w:t>
      </w:r>
      <w:proofErr w:type="gramEnd"/>
      <w:r>
        <w:rPr>
          <w:rFonts w:ascii="Times New Roman" w:eastAsia="Times New Roman" w:hAnsi="Times New Roman" w:cs="Times New Roman"/>
          <w:i/>
          <w:color w:val="000000"/>
          <w:sz w:val="24"/>
          <w:szCs w:val="24"/>
        </w:rPr>
        <w:t xml:space="preserve"> Society And Space</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21</w:t>
      </w:r>
      <w:r>
        <w:rPr>
          <w:rFonts w:ascii="Times New Roman" w:eastAsia="Times New Roman" w:hAnsi="Times New Roman" w:cs="Times New Roman"/>
          <w:color w:val="000000"/>
          <w:sz w:val="24"/>
          <w:szCs w:val="24"/>
        </w:rPr>
        <w:t xml:space="preserve">(2), 187-198. </w:t>
      </w:r>
    </w:p>
    <w:p w14:paraId="1175CFFF" w14:textId="77777777" w:rsidR="00812CB1" w:rsidRDefault="00812CB1">
      <w:pPr>
        <w:spacing w:after="0" w:line="240" w:lineRule="auto"/>
        <w:ind w:hanging="2"/>
        <w:jc w:val="both"/>
        <w:rPr>
          <w:sz w:val="24"/>
          <w:szCs w:val="24"/>
        </w:rPr>
      </w:pPr>
    </w:p>
    <w:sectPr w:rsidR="00812CB1" w:rsidSect="0075721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226"/>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D5586" w14:textId="77777777" w:rsidR="00FB3526" w:rsidRDefault="00FB3526">
      <w:pPr>
        <w:spacing w:after="0" w:line="240" w:lineRule="auto"/>
      </w:pPr>
      <w:r>
        <w:separator/>
      </w:r>
    </w:p>
  </w:endnote>
  <w:endnote w:type="continuationSeparator" w:id="0">
    <w:p w14:paraId="47D89F04" w14:textId="77777777" w:rsidR="00FB3526" w:rsidRDefault="00FB3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AAADF1BC-43D8-4380-AD32-03F2C2058879}"/>
    <w:embedBold r:id="rId2" w:fontKey="{2519DBDA-E97B-4BE8-8E51-156A23C6C144}"/>
  </w:font>
  <w:font w:name="Cambria">
    <w:panose1 w:val="02040503050406030204"/>
    <w:charset w:val="00"/>
    <w:family w:val="roman"/>
    <w:pitch w:val="variable"/>
    <w:sig w:usb0="E00006FF" w:usb1="420024FF" w:usb2="02000000" w:usb3="00000000" w:csb0="0000019F" w:csb1="00000000"/>
    <w:embedRegular r:id="rId3" w:fontKey="{10C42C05-EC71-47B2-A5C3-9DCD78488FE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95F9590-E11A-43AF-83C1-9961C1443287}"/>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5" w:fontKey="{4FAC9ABD-46F4-4D3B-8DEA-ED2481CDEA0E}"/>
  </w:font>
  <w:font w:name="Georgia">
    <w:panose1 w:val="02040502050405020303"/>
    <w:charset w:val="00"/>
    <w:family w:val="roman"/>
    <w:pitch w:val="variable"/>
    <w:sig w:usb0="00000287" w:usb1="00000000" w:usb2="00000000" w:usb3="00000000" w:csb0="0000009F" w:csb1="00000000"/>
    <w:embedRegular r:id="rId6" w:fontKey="{D3E46CBD-44A2-4FDC-B247-FEFEE0AB223C}"/>
    <w:embedItalic r:id="rId7" w:fontKey="{1DE46E5F-EE48-46C1-8530-600812C1EDC1}"/>
  </w:font>
  <w:font w:name="Cardo">
    <w:charset w:val="00"/>
    <w:family w:val="auto"/>
    <w:pitch w:val="default"/>
    <w:embedRegular r:id="rId8" w:fontKey="{503EAA41-1099-481A-B14F-914D4096132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142FA" w14:textId="77777777" w:rsidR="00812CB1" w:rsidRDefault="00812CB1">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39F91" w14:textId="77777777" w:rsidR="00812CB1" w:rsidRDefault="00812CB1">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70035" w14:textId="77777777" w:rsidR="00812CB1" w:rsidRDefault="00812CB1">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AA9FA" w14:textId="77777777" w:rsidR="00FB3526" w:rsidRDefault="00FB3526">
      <w:pPr>
        <w:spacing w:after="0" w:line="240" w:lineRule="auto"/>
      </w:pPr>
      <w:r>
        <w:separator/>
      </w:r>
    </w:p>
  </w:footnote>
  <w:footnote w:type="continuationSeparator" w:id="0">
    <w:p w14:paraId="6F082118" w14:textId="77777777" w:rsidR="00FB3526" w:rsidRDefault="00FB35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F3528" w14:textId="77777777" w:rsidR="00812CB1" w:rsidRDefault="00812CB1">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6DB2F" w14:textId="5CCFE2BB" w:rsidR="0075721E" w:rsidRPr="0075721E" w:rsidRDefault="0075721E" w:rsidP="0075721E">
    <w:pPr>
      <w:tabs>
        <w:tab w:val="center" w:pos="4680"/>
        <w:tab w:val="right" w:pos="9360"/>
      </w:tabs>
      <w:spacing w:after="0" w:line="240" w:lineRule="auto"/>
      <w:ind w:left="2" w:hanging="2"/>
      <w:rPr>
        <w:rFonts w:ascii="Times New Roman" w:hAnsi="Times New Roman" w:cs="Times New Roman"/>
        <w:sz w:val="18"/>
        <w:szCs w:val="18"/>
      </w:rPr>
    </w:pPr>
    <w:proofErr w:type="spellStart"/>
    <w:r w:rsidRPr="0075721E">
      <w:rPr>
        <w:rFonts w:ascii="Times New Roman" w:hAnsi="Times New Roman" w:cs="Times New Roman"/>
        <w:sz w:val="18"/>
        <w:szCs w:val="18"/>
      </w:rPr>
      <w:t>Geografia</w:t>
    </w:r>
    <w:proofErr w:type="spellEnd"/>
    <w:r w:rsidRPr="0075721E">
      <w:rPr>
        <w:rFonts w:ascii="Times New Roman" w:hAnsi="Times New Roman" w:cs="Times New Roman"/>
        <w:sz w:val="18"/>
        <w:szCs w:val="18"/>
      </w:rPr>
      <w:t>-Malaysian Journal of Society and Space 21 issue 4 (</w:t>
    </w:r>
    <w:r w:rsidR="003B3DAF">
      <w:rPr>
        <w:rFonts w:ascii="Times New Roman" w:hAnsi="Times New Roman" w:cs="Times New Roman"/>
        <w:sz w:val="18"/>
        <w:szCs w:val="18"/>
      </w:rPr>
      <w:t>226-238</w:t>
    </w:r>
    <w:r w:rsidRPr="0075721E">
      <w:rPr>
        <w:rFonts w:ascii="Times New Roman" w:hAnsi="Times New Roman" w:cs="Times New Roman"/>
        <w:sz w:val="18"/>
        <w:szCs w:val="18"/>
      </w:rPr>
      <w:t>)</w:t>
    </w:r>
    <w:r w:rsidRPr="0075721E">
      <w:rPr>
        <w:rFonts w:ascii="Times New Roman" w:hAnsi="Times New Roman" w:cs="Times New Roman"/>
        <w:sz w:val="18"/>
        <w:szCs w:val="18"/>
      </w:rPr>
      <w:tab/>
    </w:r>
  </w:p>
  <w:p w14:paraId="7C554EF7" w14:textId="5B8FDD13" w:rsidR="0075721E" w:rsidRPr="0075721E" w:rsidRDefault="0075721E" w:rsidP="0075721E">
    <w:pPr>
      <w:pStyle w:val="Header"/>
      <w:spacing w:after="0" w:line="240" w:lineRule="auto"/>
      <w:rPr>
        <w:rFonts w:ascii="Times New Roman" w:hAnsi="Times New Roman" w:cs="Times New Roman"/>
        <w:sz w:val="18"/>
        <w:szCs w:val="18"/>
      </w:rPr>
    </w:pPr>
    <w:r w:rsidRPr="0075721E">
      <w:rPr>
        <w:rFonts w:ascii="Times New Roman" w:hAnsi="Times New Roman" w:cs="Times New Roman"/>
        <w:sz w:val="18"/>
        <w:szCs w:val="18"/>
      </w:rPr>
      <w:t xml:space="preserve">© 2025, e-ISSN 2682-7727 </w:t>
    </w:r>
    <w:bookmarkStart w:id="3" w:name="_GoBack"/>
    <w:r w:rsidR="003B3DAF" w:rsidRPr="003B3DAF">
      <w:rPr>
        <w:rFonts w:ascii="Times New Roman" w:hAnsi="Times New Roman" w:cs="Times New Roman"/>
        <w:position w:val="-1"/>
        <w:sz w:val="18"/>
        <w:szCs w:val="18"/>
      </w:rPr>
      <w:fldChar w:fldCharType="begin"/>
    </w:r>
    <w:r w:rsidR="003B3DAF" w:rsidRPr="003B3DAF">
      <w:rPr>
        <w:rFonts w:ascii="Times New Roman" w:hAnsi="Times New Roman" w:cs="Times New Roman"/>
        <w:position w:val="-1"/>
        <w:sz w:val="18"/>
        <w:szCs w:val="18"/>
      </w:rPr>
      <w:instrText xml:space="preserve"> HYPERLINK "https://doi.org/10.17576/geo-2025-2104-13" </w:instrText>
    </w:r>
    <w:r w:rsidR="003B3DAF" w:rsidRPr="003B3DAF">
      <w:rPr>
        <w:rFonts w:ascii="Times New Roman" w:hAnsi="Times New Roman" w:cs="Times New Roman"/>
        <w:position w:val="-1"/>
        <w:sz w:val="18"/>
        <w:szCs w:val="18"/>
      </w:rPr>
    </w:r>
    <w:r w:rsidR="003B3DAF" w:rsidRPr="003B3DAF">
      <w:rPr>
        <w:rFonts w:ascii="Times New Roman" w:hAnsi="Times New Roman" w:cs="Times New Roman"/>
        <w:position w:val="-1"/>
        <w:sz w:val="18"/>
        <w:szCs w:val="18"/>
      </w:rPr>
      <w:fldChar w:fldCharType="separate"/>
    </w:r>
    <w:r w:rsidRPr="003B3DAF">
      <w:rPr>
        <w:rStyle w:val="Hyperlink"/>
        <w:rFonts w:ascii="Times New Roman" w:hAnsi="Times New Roman" w:cs="Times New Roman"/>
        <w:color w:val="auto"/>
        <w:sz w:val="18"/>
        <w:szCs w:val="18"/>
        <w:u w:val="none"/>
      </w:rPr>
      <w:t>https://doi.org/10.17576/geo-2025-2104-1</w:t>
    </w:r>
    <w:r w:rsidR="003B3DAF" w:rsidRPr="003B3DAF">
      <w:rPr>
        <w:rStyle w:val="Hyperlink"/>
        <w:rFonts w:ascii="Times New Roman" w:hAnsi="Times New Roman" w:cs="Times New Roman"/>
        <w:color w:val="auto"/>
        <w:sz w:val="18"/>
        <w:szCs w:val="18"/>
        <w:u w:val="none"/>
      </w:rPr>
      <w:t>3</w:t>
    </w:r>
    <w:r w:rsidR="003B3DAF" w:rsidRPr="003B3DAF">
      <w:rPr>
        <w:rFonts w:ascii="Times New Roman" w:hAnsi="Times New Roman" w:cs="Times New Roman"/>
        <w:position w:val="-1"/>
        <w:sz w:val="18"/>
        <w:szCs w:val="18"/>
      </w:rPr>
      <w:fldChar w:fldCharType="end"/>
    </w:r>
    <w:bookmarkEnd w:id="3"/>
    <w:sdt>
      <w:sdtPr>
        <w:rPr>
          <w:rFonts w:ascii="Times New Roman" w:hAnsi="Times New Roman" w:cs="Times New Roman"/>
          <w:sz w:val="18"/>
          <w:szCs w:val="18"/>
        </w:rPr>
        <w:id w:val="-2038800022"/>
        <w:docPartObj>
          <w:docPartGallery w:val="Page Numbers (Top of Page)"/>
          <w:docPartUnique/>
        </w:docPartObj>
      </w:sdtPr>
      <w:sdtEndPr>
        <w:rPr>
          <w:noProof/>
        </w:rPr>
      </w:sdtEndPr>
      <w:sdtContent>
        <w:r w:rsidR="003B3DAF">
          <w:rPr>
            <w:rFonts w:ascii="Times New Roman" w:hAnsi="Times New Roman" w:cs="Times New Roman"/>
            <w:sz w:val="18"/>
            <w:szCs w:val="18"/>
          </w:rPr>
          <w:tab/>
        </w:r>
        <w:r w:rsidR="003B3DAF">
          <w:rPr>
            <w:rFonts w:ascii="Times New Roman" w:hAnsi="Times New Roman" w:cs="Times New Roman"/>
            <w:sz w:val="18"/>
            <w:szCs w:val="18"/>
          </w:rPr>
          <w:tab/>
        </w:r>
        <w:r w:rsidR="003B3DAF">
          <w:rPr>
            <w:rFonts w:ascii="Times New Roman" w:hAnsi="Times New Roman" w:cs="Times New Roman"/>
            <w:sz w:val="18"/>
            <w:szCs w:val="18"/>
          </w:rPr>
          <w:tab/>
        </w:r>
        <w:r w:rsidR="003B3DAF">
          <w:rPr>
            <w:rFonts w:ascii="Times New Roman" w:hAnsi="Times New Roman" w:cs="Times New Roman"/>
            <w:sz w:val="18"/>
            <w:szCs w:val="18"/>
          </w:rPr>
          <w:tab/>
        </w:r>
        <w:r w:rsidR="003B3DAF">
          <w:rPr>
            <w:rFonts w:ascii="Times New Roman" w:hAnsi="Times New Roman" w:cs="Times New Roman"/>
            <w:sz w:val="18"/>
            <w:szCs w:val="18"/>
          </w:rPr>
          <w:tab/>
          <w:t xml:space="preserve">          </w:t>
        </w:r>
        <w:r w:rsidRPr="0075721E">
          <w:rPr>
            <w:rFonts w:ascii="Times New Roman" w:hAnsi="Times New Roman" w:cs="Times New Roman"/>
            <w:sz w:val="18"/>
            <w:szCs w:val="18"/>
          </w:rPr>
          <w:fldChar w:fldCharType="begin"/>
        </w:r>
        <w:r w:rsidRPr="0075721E">
          <w:rPr>
            <w:rFonts w:ascii="Times New Roman" w:hAnsi="Times New Roman" w:cs="Times New Roman"/>
            <w:sz w:val="18"/>
            <w:szCs w:val="18"/>
          </w:rPr>
          <w:instrText xml:space="preserve"> PAGE   \* MERGEFORMAT </w:instrText>
        </w:r>
        <w:r w:rsidRPr="0075721E">
          <w:rPr>
            <w:rFonts w:ascii="Times New Roman" w:hAnsi="Times New Roman" w:cs="Times New Roman"/>
            <w:sz w:val="18"/>
            <w:szCs w:val="18"/>
          </w:rPr>
          <w:fldChar w:fldCharType="separate"/>
        </w:r>
        <w:r w:rsidR="003B3DAF">
          <w:rPr>
            <w:rFonts w:ascii="Times New Roman" w:hAnsi="Times New Roman" w:cs="Times New Roman"/>
            <w:noProof/>
            <w:sz w:val="18"/>
            <w:szCs w:val="18"/>
          </w:rPr>
          <w:t>238</w:t>
        </w:r>
        <w:r w:rsidRPr="0075721E">
          <w:rPr>
            <w:rFonts w:ascii="Times New Roman" w:hAnsi="Times New Roman" w:cs="Times New Roman"/>
            <w:noProof/>
            <w:sz w:val="18"/>
            <w:szCs w:val="18"/>
          </w:rPr>
          <w:fldChar w:fldCharType="end"/>
        </w:r>
      </w:sdtContent>
    </w:sdt>
  </w:p>
  <w:p w14:paraId="11ABC836" w14:textId="4836E0A7" w:rsidR="00812CB1" w:rsidRPr="0075721E" w:rsidRDefault="00812CB1" w:rsidP="0075721E">
    <w:pPr>
      <w:tabs>
        <w:tab w:val="center" w:pos="4680"/>
        <w:tab w:val="right" w:pos="9360"/>
      </w:tabs>
      <w:spacing w:after="0" w:line="240" w:lineRule="auto"/>
      <w:ind w:left="2"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B00D8" w14:textId="77777777" w:rsidR="00812CB1" w:rsidRDefault="00812CB1">
    <w:pPr>
      <w:pBdr>
        <w:top w:val="nil"/>
        <w:left w:val="nil"/>
        <w:bottom w:val="nil"/>
        <w:right w:val="nil"/>
        <w:between w:val="nil"/>
      </w:pBdr>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CB1"/>
    <w:rsid w:val="00253325"/>
    <w:rsid w:val="00287FDF"/>
    <w:rsid w:val="003105DC"/>
    <w:rsid w:val="003B3DAF"/>
    <w:rsid w:val="004E0E41"/>
    <w:rsid w:val="00502B08"/>
    <w:rsid w:val="006D5CA1"/>
    <w:rsid w:val="0075721E"/>
    <w:rsid w:val="00812CB1"/>
    <w:rsid w:val="00A30EF5"/>
    <w:rsid w:val="00A43E67"/>
    <w:rsid w:val="00AA7508"/>
    <w:rsid w:val="00AE719E"/>
    <w:rsid w:val="00C91436"/>
    <w:rsid w:val="00C97834"/>
    <w:rsid w:val="00D414CA"/>
    <w:rsid w:val="00E40A3D"/>
    <w:rsid w:val="00E87D7B"/>
    <w:rsid w:val="00FB352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C9EB8"/>
  <w15:docId w15:val="{F68432C6-3A20-4DCE-806F-56C900AD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lang w:val="en-US"/>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
    <w:qFormat/>
    <w:pPr>
      <w:spacing w:line="240" w:lineRule="auto"/>
    </w:pPr>
    <w:rPr>
      <w:sz w:val="20"/>
      <w:szCs w:val="20"/>
      <w:lang w:val="en-US"/>
    </w:rPr>
  </w:style>
  <w:style w:type="paragraph" w:styleId="CommentSubject">
    <w:name w:val="annotation subject"/>
    <w:basedOn w:val="CommentText"/>
    <w:next w:val="CommentText"/>
    <w:qFormat/>
    <w:rPr>
      <w:b/>
      <w:bCs/>
    </w:rPr>
  </w:style>
  <w:style w:type="character" w:styleId="Emphasis">
    <w:name w:val="Emphasis"/>
    <w:qFormat/>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lang w:val="en-US"/>
    </w:rPr>
  </w:style>
  <w:style w:type="paragraph" w:styleId="Header">
    <w:name w:val="header"/>
    <w:basedOn w:val="Normal"/>
    <w:uiPriority w:val="99"/>
    <w:qFormat/>
    <w:rPr>
      <w:lang w:val="en-US"/>
    </w:rPr>
  </w:style>
  <w:style w:type="paragraph" w:styleId="HTMLPreformatted">
    <w:name w:val="HTML Preformatted"/>
    <w:basedOn w:val="Normal"/>
    <w:qFormat/>
    <w:pPr>
      <w:spacing w:after="0" w:line="240" w:lineRule="auto"/>
    </w:pPr>
    <w:rPr>
      <w:rFonts w:ascii="Courier New" w:eastAsia="Times New Roman" w:hAnsi="Courier New" w:cs="Courier New"/>
      <w:sz w:val="20"/>
      <w:szCs w:val="20"/>
      <w:lang w:val="en-US"/>
    </w:rPr>
  </w:style>
  <w:style w:type="character" w:styleId="Hyperlink">
    <w:name w:val="Hyperlink"/>
    <w:qFormat/>
    <w:rPr>
      <w:color w:val="0000FF"/>
      <w:w w:val="100"/>
      <w:position w:val="-1"/>
      <w:u w:val="single"/>
      <w:vertAlign w:val="baseline"/>
      <w:cs w:val="0"/>
    </w:rPr>
  </w:style>
  <w:style w:type="paragraph" w:styleId="NormalWeb">
    <w:name w:val="Normal (Web)"/>
    <w:uiPriority w:val="99"/>
    <w:semiHidden/>
    <w:unhideWhenUsed/>
    <w:pPr>
      <w:spacing w:beforeAutospacing="1" w:afterAutospacing="1"/>
    </w:pPr>
    <w:rPr>
      <w:sz w:val="24"/>
      <w:szCs w:val="24"/>
      <w:lang w:val="en-US" w:eastAsia="zh-CN"/>
    </w:rPr>
  </w:style>
  <w:style w:type="table" w:styleId="TableGrid">
    <w:name w:val="Table Grid"/>
    <w:basedOn w:val="TableNormal"/>
    <w:uiPriority w:val="39"/>
    <w:qFormat/>
    <w:pPr>
      <w:suppressAutoHyphens/>
      <w:ind w:leftChars="-1" w:left="-1" w:hangingChars="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qFormat/>
    <w:pPr>
      <w:suppressAutoHyphens/>
      <w:ind w:leftChars="-1" w:left="-1" w:hangingChars="1"/>
      <w:textAlignment w:val="top"/>
      <w:outlineLvl w:val="0"/>
    </w:pPr>
    <w:rPr>
      <w:color w:val="000000"/>
      <w:position w:val="-1"/>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qFormat/>
    <w:pPr>
      <w:suppressAutoHyphens/>
      <w:ind w:leftChars="-1" w:left="-1" w:hangingChars="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qFormat/>
    <w:rPr>
      <w:rFonts w:ascii="Calibri" w:eastAsia="Calibri" w:hAnsi="Calibri" w:cs="Times New Roman"/>
      <w:w w:val="100"/>
      <w:position w:val="-1"/>
      <w:sz w:val="20"/>
      <w:szCs w:val="20"/>
      <w:vertAlign w:val="baseline"/>
      <w:cs w:val="0"/>
      <w:lang w:val="en-MY"/>
    </w:rPr>
  </w:style>
  <w:style w:type="character" w:customStyle="1" w:styleId="FooterChar">
    <w:name w:val="Footer Char"/>
    <w:qFormat/>
    <w:rPr>
      <w:rFonts w:ascii="Calibri" w:eastAsia="Calibri" w:hAnsi="Calibri" w:cs="Times New Roman"/>
      <w:w w:val="100"/>
      <w:position w:val="-1"/>
      <w:vertAlign w:val="baseline"/>
      <w:cs w:val="0"/>
      <w:lang w:val="en-MY"/>
    </w:rPr>
  </w:style>
  <w:style w:type="character" w:customStyle="1" w:styleId="FootnoteTextChar">
    <w:name w:val="Footnote Text Char"/>
    <w:qFormat/>
    <w:rPr>
      <w:rFonts w:ascii="Calibri" w:eastAsia="Calibri" w:hAnsi="Calibri" w:cs="Times New Roman"/>
      <w:w w:val="100"/>
      <w:position w:val="-1"/>
      <w:sz w:val="20"/>
      <w:szCs w:val="20"/>
      <w:vertAlign w:val="baseline"/>
      <w:cs w:val="0"/>
    </w:rPr>
  </w:style>
  <w:style w:type="character" w:customStyle="1" w:styleId="apple-converted-space">
    <w:name w:val="apple-converted-space"/>
    <w:qFormat/>
    <w:rPr>
      <w:w w:val="100"/>
      <w:position w:val="-1"/>
      <w:vertAlign w:val="baseline"/>
      <w:cs w:val="0"/>
    </w:rPr>
  </w:style>
  <w:style w:type="character" w:customStyle="1" w:styleId="HeaderChar">
    <w:name w:val="Header Char"/>
    <w:uiPriority w:val="99"/>
    <w:qFormat/>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qFormat/>
    <w:pPr>
      <w:suppressAutoHyphens/>
      <w:spacing w:line="1" w:lineRule="atLeast"/>
      <w:ind w:leftChars="-1" w:left="-1" w:hangingChars="1"/>
      <w:textAlignment w:val="top"/>
      <w:outlineLvl w:val="0"/>
    </w:pPr>
    <w:rPr>
      <w:position w:val="-1"/>
      <w:lang w:val="en-US" w:eastAsia="en-US"/>
    </w:rPr>
  </w:style>
  <w:style w:type="character" w:customStyle="1" w:styleId="st1">
    <w:name w:val="st1"/>
    <w:qFormat/>
    <w:rPr>
      <w:w w:val="100"/>
      <w:position w:val="-1"/>
      <w:vertAlign w:val="baseline"/>
      <w:cs w:val="0"/>
    </w:rPr>
  </w:style>
  <w:style w:type="character" w:customStyle="1" w:styleId="Heading1Char">
    <w:name w:val="Heading 1 Char"/>
    <w:qFormat/>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qFormat/>
    <w:pPr>
      <w:suppressAutoHyphens/>
      <w:spacing w:line="1" w:lineRule="atLeast"/>
      <w:ind w:leftChars="-1" w:left="-1" w:hangingChars="1"/>
      <w:textAlignment w:val="top"/>
      <w:outlineLvl w:val="0"/>
    </w:pPr>
    <w:rPr>
      <w:position w:val="-1"/>
      <w:lang w:val="en-US" w:eastAsia="en-US"/>
    </w:rPr>
  </w:style>
  <w:style w:type="paragraph" w:styleId="ListParagraph">
    <w:name w:val="List Paragraph"/>
    <w:basedOn w:val="Normal"/>
    <w:qFormat/>
    <w:pPr>
      <w:ind w:left="720"/>
      <w:contextualSpacing/>
    </w:pPr>
    <w:rPr>
      <w:lang w:val="ms"/>
    </w:rPr>
  </w:style>
  <w:style w:type="character" w:styleId="PlaceholderText">
    <w:name w:val="Placeholder Text"/>
    <w:qFormat/>
    <w:rPr>
      <w:color w:val="808080"/>
      <w:w w:val="100"/>
      <w:position w:val="-1"/>
      <w:vertAlign w:val="baseline"/>
      <w:cs w:val="0"/>
    </w:rPr>
  </w:style>
  <w:style w:type="table" w:customStyle="1" w:styleId="TableGrid1">
    <w:name w:val="Table Grid1"/>
    <w:basedOn w:val="TableNormal"/>
    <w:qFormat/>
    <w:pPr>
      <w:suppressAutoHyphens/>
      <w:ind w:leftChars="-1" w:left="-1" w:hangingChars="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pPr>
      <w:suppressAutoHyphens/>
      <w:ind w:leftChars="-1" w:left="-1" w:hangingChars="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qFormat/>
    <w:rPr>
      <w:lang w:val="en-US" w:eastAsia="ja-JP"/>
    </w:rPr>
  </w:style>
  <w:style w:type="character" w:customStyle="1" w:styleId="SubtleEmphasis1">
    <w:name w:val="Subtle Emphasis1"/>
    <w:qFormat/>
    <w:rPr>
      <w:i/>
      <w:iCs/>
      <w:color w:val="7F7F7F"/>
      <w:w w:val="100"/>
      <w:position w:val="-1"/>
      <w:vertAlign w:val="baseline"/>
      <w:cs w:val="0"/>
    </w:rPr>
  </w:style>
  <w:style w:type="character" w:customStyle="1" w:styleId="HTMLPreformattedChar">
    <w:name w:val="HTML Preformatted Char"/>
    <w:qFormat/>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qFormat/>
    <w:pPr>
      <w:suppressAutoHyphens/>
      <w:ind w:leftChars="-1" w:left="-1" w:hangingChars="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qFormat/>
    <w:pPr>
      <w:suppressAutoHyphens/>
      <w:spacing w:line="1" w:lineRule="atLeast"/>
      <w:ind w:leftChars="-1" w:left="-1" w:hangingChars="1"/>
      <w:textAlignment w:val="top"/>
      <w:outlineLvl w:val="0"/>
    </w:pPr>
    <w:rPr>
      <w:rFonts w:ascii="Helvetica" w:eastAsia="Helvetica" w:hAnsi="Helvetica" w:cs="Helvetica"/>
      <w:color w:val="000000"/>
      <w:position w:val="-1"/>
      <w:lang w:val="en-US" w:eastAsia="en-US"/>
    </w:rPr>
  </w:style>
  <w:style w:type="paragraph" w:customStyle="1" w:styleId="TableStyle2">
    <w:name w:val="Table Style 2"/>
    <w:qFormat/>
    <w:pPr>
      <w:suppressAutoHyphens/>
      <w:spacing w:line="1" w:lineRule="atLeast"/>
      <w:ind w:leftChars="-1" w:left="-1" w:hangingChars="1"/>
      <w:textAlignment w:val="top"/>
      <w:outlineLvl w:val="0"/>
    </w:pPr>
    <w:rPr>
      <w:rFonts w:ascii="Helvetica" w:eastAsia="Helvetica" w:hAnsi="Helvetica" w:cs="Helvetica"/>
      <w:color w:val="000000"/>
      <w:position w:val="-1"/>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Style51">
    <w:name w:val="_Style 51"/>
    <w:basedOn w:val="TableNormal"/>
    <w:qFormat/>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qFormat/>
    <w:pPr>
      <w:spacing w:after="0"/>
      <w:jc w:val="center"/>
    </w:pPr>
    <w:rPr>
      <w:lang w:val="en-US"/>
    </w:rPr>
  </w:style>
  <w:style w:type="character" w:customStyle="1" w:styleId="EndNoteBibliographyTitleChar">
    <w:name w:val="EndNote Bibliography Title Char"/>
    <w:basedOn w:val="DefaultParagraphFont"/>
    <w:link w:val="EndNoteBibliographyTitle"/>
    <w:qFormat/>
    <w:rPr>
      <w:position w:val="-1"/>
      <w:lang w:eastAsia="en-US"/>
    </w:rPr>
  </w:style>
  <w:style w:type="paragraph" w:customStyle="1" w:styleId="EndNoteBibliography">
    <w:name w:val="EndNote Bibliography"/>
    <w:basedOn w:val="Normal"/>
    <w:link w:val="EndNoteBibliographyChar"/>
    <w:qFormat/>
    <w:pPr>
      <w:spacing w:line="240" w:lineRule="auto"/>
      <w:jc w:val="both"/>
    </w:pPr>
    <w:rPr>
      <w:lang w:val="en-US"/>
    </w:rPr>
  </w:style>
  <w:style w:type="character" w:customStyle="1" w:styleId="EndNoteBibliographyChar">
    <w:name w:val="EndNote Bibliography Char"/>
    <w:basedOn w:val="DefaultParagraphFont"/>
    <w:link w:val="EndNoteBibliography"/>
    <w:qFormat/>
    <w:rPr>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134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rsxldq0KqbSEUx+vW8Bq4jDSdQ==">CgMxLjAaIwoBMBIeChwIB0IYCg9UaW1lcyBOZXcgUm9tYW4SBUNhcmRvMghoLmdqZGd4czIOaC5uZDFtc3U4Y2E4cW8yDWguZDE0OHpvNWdlam84AHIhMVRxUmdGX3pYdHVIZDRzRG51WTVwMmVWeW1NNXYtc2Vr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5698</Words>
  <Characters>32484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2025-11-19T08:37:00Z</dcterms:created>
  <dcterms:modified xsi:type="dcterms:W3CDTF">2025-11-19T08:38:00Z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AC0C9316425143B69B55EE573BCB0E22_13</vt:lpwstr>
  </property>
  <property fmtid="{D5CDD505-2E9C-101B-9397-08002B2CF9AE}" pid="4" name="GrammarlyDocumentId">
    <vt:lpwstr>d8bfa9d3-9cc7-40cb-bdc4-9224869d6927</vt:lpwstr>
  </property>
</Properties>
</file>