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8C28A">
      <w:pPr>
        <w:spacing w:line="48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eastAsia="Times New Roman"/>
          <w:b/>
          <w:color w:val="252525"/>
          <w:sz w:val="24"/>
          <w:szCs w:val="24"/>
        </w:rPr>
        <w:t xml:space="preserve">Table 1. </w:t>
      </w:r>
      <w:r>
        <w:rPr>
          <w:rFonts w:ascii="Times New Roman" w:hAnsi="Times New Roman" w:eastAsia="Times New Roman"/>
          <w:color w:val="252525"/>
          <w:sz w:val="24"/>
          <w:szCs w:val="24"/>
        </w:rPr>
        <w:t>Post-operative monocular and binocular visual acuity at various distances, contrast sensitivity and presence of glare and halos in patients who had mix-and-match intraocular lens implantations.</w:t>
      </w:r>
    </w:p>
    <w:tbl>
      <w:tblPr>
        <w:tblStyle w:val="33"/>
        <w:tblW w:w="92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405"/>
        <w:gridCol w:w="924"/>
        <w:gridCol w:w="924"/>
        <w:gridCol w:w="888"/>
        <w:gridCol w:w="813"/>
        <w:gridCol w:w="1139"/>
        <w:gridCol w:w="703"/>
        <w:gridCol w:w="678"/>
      </w:tblGrid>
      <w:tr w14:paraId="5A8F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812" w:type="dxa"/>
            <w:vMerge w:val="restart"/>
          </w:tcPr>
          <w:p w14:paraId="2F6805C1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  <w:vMerge w:val="restart"/>
          </w:tcPr>
          <w:p w14:paraId="44B18A37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549" w:type="dxa"/>
            <w:gridSpan w:val="4"/>
          </w:tcPr>
          <w:p w14:paraId="6A10364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Visual acuity (logMAR)</w:t>
            </w:r>
          </w:p>
        </w:tc>
        <w:tc>
          <w:tcPr>
            <w:tcW w:w="1139" w:type="dxa"/>
            <w:vMerge w:val="restart"/>
          </w:tcPr>
          <w:p w14:paraId="0AFFE50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Contrast sensitivity</w:t>
            </w:r>
          </w:p>
        </w:tc>
        <w:tc>
          <w:tcPr>
            <w:tcW w:w="703" w:type="dxa"/>
            <w:vMerge w:val="restart"/>
          </w:tcPr>
          <w:p w14:paraId="16028BE6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Glare</w:t>
            </w:r>
          </w:p>
        </w:tc>
        <w:tc>
          <w:tcPr>
            <w:tcW w:w="678" w:type="dxa"/>
            <w:vMerge w:val="restart"/>
          </w:tcPr>
          <w:p w14:paraId="7ABDB32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Halos</w:t>
            </w:r>
          </w:p>
        </w:tc>
      </w:tr>
      <w:tr w14:paraId="78AB5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4CCD6BD1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  <w:vMerge w:val="continue"/>
          </w:tcPr>
          <w:p w14:paraId="7FAE067E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4" w:type="dxa"/>
          </w:tcPr>
          <w:p w14:paraId="523BFA3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UNVA 40cm</w:t>
            </w:r>
          </w:p>
        </w:tc>
        <w:tc>
          <w:tcPr>
            <w:tcW w:w="924" w:type="dxa"/>
          </w:tcPr>
          <w:p w14:paraId="61FC211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UIVA 60cm</w:t>
            </w:r>
          </w:p>
        </w:tc>
        <w:tc>
          <w:tcPr>
            <w:tcW w:w="888" w:type="dxa"/>
          </w:tcPr>
          <w:p w14:paraId="208D95B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UIVA 80cm</w:t>
            </w:r>
          </w:p>
        </w:tc>
        <w:tc>
          <w:tcPr>
            <w:tcW w:w="813" w:type="dxa"/>
          </w:tcPr>
          <w:p w14:paraId="72B66A9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UDVA 6m</w:t>
            </w:r>
          </w:p>
        </w:tc>
        <w:tc>
          <w:tcPr>
            <w:tcW w:w="1139" w:type="dxa"/>
            <w:vMerge w:val="continue"/>
          </w:tcPr>
          <w:p w14:paraId="5B2346FE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" w:type="dxa"/>
            <w:vMerge w:val="continue"/>
          </w:tcPr>
          <w:p w14:paraId="73676419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  <w:vMerge w:val="continue"/>
          </w:tcPr>
          <w:p w14:paraId="60780D83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684D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5FA77C5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1</w:t>
            </w:r>
          </w:p>
        </w:tc>
        <w:tc>
          <w:tcPr>
            <w:tcW w:w="2405" w:type="dxa"/>
          </w:tcPr>
          <w:p w14:paraId="375A5858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 xml:space="preserve">st 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eye: NIDEK SZ-1</w:t>
            </w:r>
          </w:p>
        </w:tc>
        <w:tc>
          <w:tcPr>
            <w:tcW w:w="924" w:type="dxa"/>
          </w:tcPr>
          <w:p w14:paraId="1FFC050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0.70</w:t>
            </w:r>
          </w:p>
        </w:tc>
        <w:tc>
          <w:tcPr>
            <w:tcW w:w="924" w:type="dxa"/>
          </w:tcPr>
          <w:p w14:paraId="2259CE5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0.30</w:t>
            </w:r>
          </w:p>
        </w:tc>
        <w:tc>
          <w:tcPr>
            <w:tcW w:w="888" w:type="dxa"/>
          </w:tcPr>
          <w:p w14:paraId="6A4C94B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13" w:type="dxa"/>
          </w:tcPr>
          <w:p w14:paraId="16F1755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0.02</w:t>
            </w:r>
          </w:p>
        </w:tc>
        <w:tc>
          <w:tcPr>
            <w:tcW w:w="1139" w:type="dxa"/>
          </w:tcPr>
          <w:p w14:paraId="48303E9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1.65</w:t>
            </w:r>
          </w:p>
        </w:tc>
        <w:tc>
          <w:tcPr>
            <w:tcW w:w="703" w:type="dxa"/>
          </w:tcPr>
          <w:p w14:paraId="7DDCE29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1DEEAC1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50FE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12" w:type="dxa"/>
            <w:vMerge w:val="continue"/>
          </w:tcPr>
          <w:p w14:paraId="76A028E9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794E7731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 xml:space="preserve">nd 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eye: LENTIS® Comfort LS-313 MF15</w:t>
            </w:r>
          </w:p>
        </w:tc>
        <w:tc>
          <w:tcPr>
            <w:tcW w:w="924" w:type="dxa"/>
          </w:tcPr>
          <w:p w14:paraId="523F791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6814CBD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00DD775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4B38E65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60E9F40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0A443E2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77108D05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52075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5C8515F3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78A7F4EC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5E6C064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7139DE6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54171FD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162D5AF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65068F3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1.95</w:t>
            </w:r>
          </w:p>
        </w:tc>
        <w:tc>
          <w:tcPr>
            <w:tcW w:w="703" w:type="dxa"/>
          </w:tcPr>
          <w:p w14:paraId="47B2002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12BC048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7FA92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7E26398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2</w:t>
            </w:r>
          </w:p>
        </w:tc>
        <w:tc>
          <w:tcPr>
            <w:tcW w:w="2405" w:type="dxa"/>
          </w:tcPr>
          <w:p w14:paraId="1B7B003D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ZEISS AT TORBI 709MP</w:t>
            </w:r>
          </w:p>
        </w:tc>
        <w:tc>
          <w:tcPr>
            <w:tcW w:w="924" w:type="dxa"/>
          </w:tcPr>
          <w:p w14:paraId="58C4DD2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0.30</w:t>
            </w:r>
          </w:p>
        </w:tc>
        <w:tc>
          <w:tcPr>
            <w:tcW w:w="924" w:type="dxa"/>
          </w:tcPr>
          <w:p w14:paraId="1366105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88" w:type="dxa"/>
          </w:tcPr>
          <w:p w14:paraId="4D8CCEC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813" w:type="dxa"/>
          </w:tcPr>
          <w:p w14:paraId="2DE4F8C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4429311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7B4CA1F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45EF129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4742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175036D9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7B54EC7C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ZEISS AT LARA toric 929MP</w:t>
            </w:r>
          </w:p>
        </w:tc>
        <w:tc>
          <w:tcPr>
            <w:tcW w:w="924" w:type="dxa"/>
          </w:tcPr>
          <w:p w14:paraId="0401401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3F0493B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2DA29EE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52B6E73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4DD05CD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4D87026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4F7499F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Calibri" w:hAnsi="Calibri" w:eastAsia="SimSun" w:cs="Calibri"/>
                  <w:kern w:val="0"/>
                  <w:position w:val="-1"/>
                  <w:sz w:val="20"/>
                  <w:szCs w:val="20"/>
                  <w:lang w:val="en-US"/>
                  <w14:ligatures w14:val="none"/>
                </w:rPr>
                <w:tag w:val="goog_rdk_0"/>
                <w:id w:val="147464734"/>
              </w:sdtPr>
              <w:sdtEndPr>
                <w:rPr>
                  <w:rFonts w:ascii="Calibri" w:hAnsi="Calibri" w:eastAsia="SimSun" w:cs="Calibri"/>
                  <w:kern w:val="0"/>
                  <w:position w:val="-1"/>
                  <w:sz w:val="20"/>
                  <w:szCs w:val="20"/>
                  <w:lang w:val="en-US"/>
                  <w14:ligatures w14:val="none"/>
                </w:rPr>
              </w:sdtEndPr>
              <w:sdtContent>
                <w:r>
                  <w:rPr>
                    <w:rFonts w:ascii="Calibri" w:hAnsi="Calibri" w:eastAsia="Gungsuh" w:cs="Calibri"/>
                    <w:kern w:val="0"/>
                    <w:position w:val="-1"/>
                    <w:sz w:val="20"/>
                    <w:szCs w:val="20"/>
                    <w:lang w:val="en-US"/>
                    <w14:ligatures w14:val="none"/>
                  </w:rPr>
                  <w:t>√</w:t>
                </w:r>
              </w:sdtContent>
            </w:sdt>
          </w:p>
        </w:tc>
      </w:tr>
      <w:tr w14:paraId="338A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59B2A7D1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35DCE3A7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761658A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525305F5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5618706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029C140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38BA164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1.95</w:t>
            </w:r>
          </w:p>
        </w:tc>
        <w:tc>
          <w:tcPr>
            <w:tcW w:w="703" w:type="dxa"/>
          </w:tcPr>
          <w:p w14:paraId="55F4AC2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267D64A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4373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5D16B0B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3</w:t>
            </w:r>
          </w:p>
        </w:tc>
        <w:tc>
          <w:tcPr>
            <w:tcW w:w="2405" w:type="dxa"/>
          </w:tcPr>
          <w:p w14:paraId="4A871575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TECNIS Eyhance ICBOO</w:t>
            </w:r>
          </w:p>
        </w:tc>
        <w:tc>
          <w:tcPr>
            <w:tcW w:w="924" w:type="dxa"/>
          </w:tcPr>
          <w:p w14:paraId="3B4EF85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0.70</w:t>
            </w:r>
          </w:p>
        </w:tc>
        <w:tc>
          <w:tcPr>
            <w:tcW w:w="924" w:type="dxa"/>
          </w:tcPr>
          <w:p w14:paraId="5F998BA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0.30</w:t>
            </w:r>
          </w:p>
        </w:tc>
        <w:tc>
          <w:tcPr>
            <w:tcW w:w="888" w:type="dxa"/>
          </w:tcPr>
          <w:p w14:paraId="208F570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13" w:type="dxa"/>
          </w:tcPr>
          <w:p w14:paraId="360AFE8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5ED2C64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1.65</w:t>
            </w:r>
          </w:p>
        </w:tc>
        <w:tc>
          <w:tcPr>
            <w:tcW w:w="703" w:type="dxa"/>
          </w:tcPr>
          <w:p w14:paraId="570E423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590F852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63E2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39CE2A7D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3540CCC3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TECNIS Synergy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TM</w:t>
            </w:r>
          </w:p>
        </w:tc>
        <w:tc>
          <w:tcPr>
            <w:tcW w:w="924" w:type="dxa"/>
          </w:tcPr>
          <w:p w14:paraId="11FC160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0EE5E56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88" w:type="dxa"/>
          </w:tcPr>
          <w:p w14:paraId="249F937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13" w:type="dxa"/>
          </w:tcPr>
          <w:p w14:paraId="18E9024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3E09A45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1.65</w:t>
            </w:r>
          </w:p>
        </w:tc>
        <w:tc>
          <w:tcPr>
            <w:tcW w:w="703" w:type="dxa"/>
          </w:tcPr>
          <w:p w14:paraId="12F2F7E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0E1C046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60694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02219C5F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5E78A73A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55B4372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7DB5F21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4816664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813" w:type="dxa"/>
          </w:tcPr>
          <w:p w14:paraId="1E5DA11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08FA6C5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0A1A1B4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2695EB1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0ED7C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413C28D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4</w:t>
            </w:r>
          </w:p>
        </w:tc>
        <w:tc>
          <w:tcPr>
            <w:tcW w:w="2405" w:type="dxa"/>
          </w:tcPr>
          <w:p w14:paraId="3BF6E79E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ZEISS AT TORBI 709MP</w:t>
            </w:r>
          </w:p>
        </w:tc>
        <w:tc>
          <w:tcPr>
            <w:tcW w:w="924" w:type="dxa"/>
          </w:tcPr>
          <w:p w14:paraId="0A205E6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0.90</w:t>
            </w:r>
          </w:p>
        </w:tc>
        <w:tc>
          <w:tcPr>
            <w:tcW w:w="924" w:type="dxa"/>
          </w:tcPr>
          <w:p w14:paraId="16D1A21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0.70</w:t>
            </w:r>
          </w:p>
        </w:tc>
        <w:tc>
          <w:tcPr>
            <w:tcW w:w="888" w:type="dxa"/>
          </w:tcPr>
          <w:p w14:paraId="0344AAB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0.70</w:t>
            </w:r>
          </w:p>
        </w:tc>
        <w:tc>
          <w:tcPr>
            <w:tcW w:w="813" w:type="dxa"/>
          </w:tcPr>
          <w:p w14:paraId="7C57190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1139" w:type="dxa"/>
          </w:tcPr>
          <w:p w14:paraId="34692CB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1.35</w:t>
            </w:r>
          </w:p>
        </w:tc>
        <w:tc>
          <w:tcPr>
            <w:tcW w:w="703" w:type="dxa"/>
          </w:tcPr>
          <w:p w14:paraId="41E5585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167B2F7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0C1BB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06B1B2D2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6A25C820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ZEISS AT LARA toric 929MP</w:t>
            </w:r>
          </w:p>
        </w:tc>
        <w:tc>
          <w:tcPr>
            <w:tcW w:w="924" w:type="dxa"/>
          </w:tcPr>
          <w:p w14:paraId="467B696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0.60</w:t>
            </w:r>
          </w:p>
        </w:tc>
        <w:tc>
          <w:tcPr>
            <w:tcW w:w="924" w:type="dxa"/>
          </w:tcPr>
          <w:p w14:paraId="0787CFA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0.40</w:t>
            </w:r>
          </w:p>
        </w:tc>
        <w:tc>
          <w:tcPr>
            <w:tcW w:w="888" w:type="dxa"/>
          </w:tcPr>
          <w:p w14:paraId="0036838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0.40</w:t>
            </w:r>
          </w:p>
        </w:tc>
        <w:tc>
          <w:tcPr>
            <w:tcW w:w="813" w:type="dxa"/>
          </w:tcPr>
          <w:p w14:paraId="4660928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0.14</w:t>
            </w:r>
          </w:p>
        </w:tc>
        <w:tc>
          <w:tcPr>
            <w:tcW w:w="1139" w:type="dxa"/>
          </w:tcPr>
          <w:p w14:paraId="01E33A7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1.50</w:t>
            </w:r>
          </w:p>
        </w:tc>
        <w:tc>
          <w:tcPr>
            <w:tcW w:w="703" w:type="dxa"/>
          </w:tcPr>
          <w:p w14:paraId="05479AA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Calibri" w:hAnsi="Calibri" w:eastAsia="SimSun" w:cs="Calibri"/>
                  <w:kern w:val="0"/>
                  <w:position w:val="-1"/>
                  <w:sz w:val="20"/>
                  <w:szCs w:val="20"/>
                  <w:lang w:val="en-US"/>
                  <w14:ligatures w14:val="none"/>
                </w:rPr>
                <w:tag w:val="goog_rdk_1"/>
                <w:id w:val="147469620"/>
              </w:sdtPr>
              <w:sdtEndPr>
                <w:rPr>
                  <w:rFonts w:ascii="Calibri" w:hAnsi="Calibri" w:eastAsia="SimSun" w:cs="Calibri"/>
                  <w:kern w:val="0"/>
                  <w:position w:val="-1"/>
                  <w:sz w:val="20"/>
                  <w:szCs w:val="20"/>
                  <w:lang w:val="en-US"/>
                  <w14:ligatures w14:val="none"/>
                </w:rPr>
              </w:sdtEndPr>
              <w:sdtContent>
                <w:r>
                  <w:rPr>
                    <w:rFonts w:ascii="Calibri" w:hAnsi="Calibri" w:eastAsia="Gungsuh" w:cs="Calibri"/>
                    <w:kern w:val="0"/>
                    <w:position w:val="-1"/>
                    <w:sz w:val="20"/>
                    <w:szCs w:val="20"/>
                    <w:lang w:val="en-US"/>
                    <w14:ligatures w14:val="none"/>
                  </w:rPr>
                  <w:t>√</w:t>
                </w:r>
              </w:sdtContent>
            </w:sdt>
          </w:p>
        </w:tc>
        <w:tc>
          <w:tcPr>
            <w:tcW w:w="678" w:type="dxa"/>
          </w:tcPr>
          <w:p w14:paraId="270529A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7D5E2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1E5AFA1C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2339CF24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7BCC546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0.50</w:t>
            </w:r>
          </w:p>
        </w:tc>
        <w:tc>
          <w:tcPr>
            <w:tcW w:w="924" w:type="dxa"/>
          </w:tcPr>
          <w:p w14:paraId="68CFF8E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0.40</w:t>
            </w:r>
          </w:p>
        </w:tc>
        <w:tc>
          <w:tcPr>
            <w:tcW w:w="888" w:type="dxa"/>
          </w:tcPr>
          <w:p w14:paraId="0D8DB98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0.30</w:t>
            </w:r>
          </w:p>
        </w:tc>
        <w:tc>
          <w:tcPr>
            <w:tcW w:w="813" w:type="dxa"/>
          </w:tcPr>
          <w:p w14:paraId="1113153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24216FB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1.65</w:t>
            </w:r>
          </w:p>
        </w:tc>
        <w:tc>
          <w:tcPr>
            <w:tcW w:w="703" w:type="dxa"/>
          </w:tcPr>
          <w:p w14:paraId="31C6A02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2BFBFE7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550E2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1F43980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5</w:t>
            </w:r>
          </w:p>
        </w:tc>
        <w:tc>
          <w:tcPr>
            <w:tcW w:w="2405" w:type="dxa"/>
          </w:tcPr>
          <w:p w14:paraId="7F2B32CE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TECNIS monofocal ZCBOO</w:t>
            </w:r>
          </w:p>
        </w:tc>
        <w:tc>
          <w:tcPr>
            <w:tcW w:w="924" w:type="dxa"/>
          </w:tcPr>
          <w:p w14:paraId="3748FDE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0.50</w:t>
            </w:r>
          </w:p>
        </w:tc>
        <w:tc>
          <w:tcPr>
            <w:tcW w:w="924" w:type="dxa"/>
          </w:tcPr>
          <w:p w14:paraId="064049B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888" w:type="dxa"/>
          </w:tcPr>
          <w:p w14:paraId="6B5925C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0.14</w:t>
            </w:r>
          </w:p>
        </w:tc>
        <w:tc>
          <w:tcPr>
            <w:tcW w:w="813" w:type="dxa"/>
          </w:tcPr>
          <w:p w14:paraId="560A5E5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66D2FC5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1.65</w:t>
            </w:r>
          </w:p>
        </w:tc>
        <w:tc>
          <w:tcPr>
            <w:tcW w:w="703" w:type="dxa"/>
          </w:tcPr>
          <w:p w14:paraId="472848D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6F7E22E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3802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1BC25534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094B79F8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TECNIS Synergy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TM</w:t>
            </w:r>
          </w:p>
        </w:tc>
        <w:tc>
          <w:tcPr>
            <w:tcW w:w="924" w:type="dxa"/>
          </w:tcPr>
          <w:p w14:paraId="2F92DCE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924" w:type="dxa"/>
          </w:tcPr>
          <w:p w14:paraId="3031AAD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888" w:type="dxa"/>
          </w:tcPr>
          <w:p w14:paraId="7C74C06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0.14</w:t>
            </w:r>
          </w:p>
        </w:tc>
        <w:tc>
          <w:tcPr>
            <w:tcW w:w="813" w:type="dxa"/>
          </w:tcPr>
          <w:p w14:paraId="2606A46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0.02</w:t>
            </w:r>
          </w:p>
        </w:tc>
        <w:tc>
          <w:tcPr>
            <w:tcW w:w="1139" w:type="dxa"/>
          </w:tcPr>
          <w:p w14:paraId="67DF0EF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1.35</w:t>
            </w:r>
          </w:p>
        </w:tc>
        <w:tc>
          <w:tcPr>
            <w:tcW w:w="703" w:type="dxa"/>
          </w:tcPr>
          <w:p w14:paraId="734DEEF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0FD6A19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65B2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4D26D0F4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652AFF46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3D900A1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924" w:type="dxa"/>
          </w:tcPr>
          <w:p w14:paraId="59DF7F7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6E2944F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0.12</w:t>
            </w:r>
          </w:p>
        </w:tc>
        <w:tc>
          <w:tcPr>
            <w:tcW w:w="813" w:type="dxa"/>
          </w:tcPr>
          <w:p w14:paraId="404821BB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2A42E6F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63A3580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0C74537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511C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18F0A08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6</w:t>
            </w:r>
          </w:p>
        </w:tc>
        <w:tc>
          <w:tcPr>
            <w:tcW w:w="2405" w:type="dxa"/>
          </w:tcPr>
          <w:p w14:paraId="624B4B95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HOYA Vivinex XC-1</w:t>
            </w:r>
          </w:p>
        </w:tc>
        <w:tc>
          <w:tcPr>
            <w:tcW w:w="924" w:type="dxa"/>
          </w:tcPr>
          <w:p w14:paraId="7D9F8C9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0.80</w:t>
            </w:r>
          </w:p>
        </w:tc>
        <w:tc>
          <w:tcPr>
            <w:tcW w:w="924" w:type="dxa"/>
          </w:tcPr>
          <w:p w14:paraId="6CE1413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0.50</w:t>
            </w:r>
          </w:p>
        </w:tc>
        <w:tc>
          <w:tcPr>
            <w:tcW w:w="888" w:type="dxa"/>
          </w:tcPr>
          <w:p w14:paraId="188EC175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0.30</w:t>
            </w:r>
          </w:p>
        </w:tc>
        <w:tc>
          <w:tcPr>
            <w:tcW w:w="813" w:type="dxa"/>
          </w:tcPr>
          <w:p w14:paraId="37A0521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1C79F2C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1.50</w:t>
            </w:r>
          </w:p>
        </w:tc>
        <w:tc>
          <w:tcPr>
            <w:tcW w:w="703" w:type="dxa"/>
          </w:tcPr>
          <w:p w14:paraId="0D62AB0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1D473DD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5847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4F009DFC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65B99A8C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LENTIS® Comfort LS-313 MF15</w:t>
            </w:r>
          </w:p>
        </w:tc>
        <w:tc>
          <w:tcPr>
            <w:tcW w:w="924" w:type="dxa"/>
          </w:tcPr>
          <w:p w14:paraId="1C6ACA13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0.40</w:t>
            </w:r>
          </w:p>
        </w:tc>
        <w:tc>
          <w:tcPr>
            <w:tcW w:w="924" w:type="dxa"/>
          </w:tcPr>
          <w:p w14:paraId="47D6ECE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1B4A538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813" w:type="dxa"/>
          </w:tcPr>
          <w:p w14:paraId="0D720E3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1139" w:type="dxa"/>
          </w:tcPr>
          <w:p w14:paraId="6B98677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1.50</w:t>
            </w:r>
          </w:p>
        </w:tc>
        <w:tc>
          <w:tcPr>
            <w:tcW w:w="703" w:type="dxa"/>
          </w:tcPr>
          <w:p w14:paraId="50C51F82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3556A6C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5ADD1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5CAE91CA">
            <w:pPr>
              <w:widowControl w:val="0"/>
              <w:suppressAutoHyphens/>
              <w:spacing w:after="0" w:line="276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301BE3AD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38FA2FE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924" w:type="dxa"/>
          </w:tcPr>
          <w:p w14:paraId="710C726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058DD02F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2C784AC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1DDA8F5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1.80</w:t>
            </w:r>
          </w:p>
        </w:tc>
        <w:tc>
          <w:tcPr>
            <w:tcW w:w="703" w:type="dxa"/>
          </w:tcPr>
          <w:p w14:paraId="64BAA40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6734423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6BD73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restart"/>
          </w:tcPr>
          <w:p w14:paraId="6F49283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Patient 7</w:t>
            </w:r>
          </w:p>
        </w:tc>
        <w:tc>
          <w:tcPr>
            <w:tcW w:w="2405" w:type="dxa"/>
          </w:tcPr>
          <w:p w14:paraId="6498BC4A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st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HOYA Vivinex XC-1</w:t>
            </w:r>
          </w:p>
        </w:tc>
        <w:tc>
          <w:tcPr>
            <w:tcW w:w="924" w:type="dxa"/>
          </w:tcPr>
          <w:p w14:paraId="527C5BE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0.90</w:t>
            </w:r>
          </w:p>
        </w:tc>
        <w:tc>
          <w:tcPr>
            <w:tcW w:w="924" w:type="dxa"/>
          </w:tcPr>
          <w:p w14:paraId="07DE2115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0.60</w:t>
            </w:r>
          </w:p>
        </w:tc>
        <w:tc>
          <w:tcPr>
            <w:tcW w:w="888" w:type="dxa"/>
          </w:tcPr>
          <w:p w14:paraId="6FA7E1A4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0.60</w:t>
            </w:r>
          </w:p>
        </w:tc>
        <w:tc>
          <w:tcPr>
            <w:tcW w:w="813" w:type="dxa"/>
          </w:tcPr>
          <w:p w14:paraId="1688479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052E4A3D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1.60</w:t>
            </w:r>
          </w:p>
        </w:tc>
        <w:tc>
          <w:tcPr>
            <w:tcW w:w="703" w:type="dxa"/>
          </w:tcPr>
          <w:p w14:paraId="5BE2C15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25208691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6947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3BAF78AB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55B518DA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2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vertAlign w:val="superscript"/>
                <w:lang w:val="en-US"/>
                <w14:ligatures w14:val="none"/>
              </w:rPr>
              <w:t>nd</w:t>
            </w: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 xml:space="preserve"> eye: ZEISS AT LARA 829MP</w:t>
            </w:r>
          </w:p>
        </w:tc>
        <w:tc>
          <w:tcPr>
            <w:tcW w:w="924" w:type="dxa"/>
          </w:tcPr>
          <w:p w14:paraId="1F875025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0.10</w:t>
            </w:r>
          </w:p>
        </w:tc>
        <w:tc>
          <w:tcPr>
            <w:tcW w:w="924" w:type="dxa"/>
          </w:tcPr>
          <w:p w14:paraId="251A52F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7DED980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1EEF587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0.20</w:t>
            </w:r>
          </w:p>
        </w:tc>
        <w:tc>
          <w:tcPr>
            <w:tcW w:w="1139" w:type="dxa"/>
          </w:tcPr>
          <w:p w14:paraId="5F22493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1.62</w:t>
            </w:r>
          </w:p>
        </w:tc>
        <w:tc>
          <w:tcPr>
            <w:tcW w:w="703" w:type="dxa"/>
          </w:tcPr>
          <w:p w14:paraId="415F975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  <w:tc>
          <w:tcPr>
            <w:tcW w:w="678" w:type="dxa"/>
          </w:tcPr>
          <w:p w14:paraId="0B3E1F68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×</w:t>
            </w:r>
          </w:p>
        </w:tc>
      </w:tr>
      <w:tr w14:paraId="349B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vMerge w:val="continue"/>
          </w:tcPr>
          <w:p w14:paraId="77E27CE6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5" w:type="dxa"/>
          </w:tcPr>
          <w:p w14:paraId="46DE6A35">
            <w:pPr>
              <w:widowControl w:val="0"/>
              <w:suppressAutoHyphens/>
              <w:spacing w:after="0" w:line="1" w:lineRule="atLeast"/>
              <w:ind w:leftChars="-1" w:hanging="2" w:hangingChars="1"/>
              <w:jc w:val="both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Binocular</w:t>
            </w:r>
          </w:p>
        </w:tc>
        <w:tc>
          <w:tcPr>
            <w:tcW w:w="924" w:type="dxa"/>
          </w:tcPr>
          <w:p w14:paraId="5D9D4766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924" w:type="dxa"/>
          </w:tcPr>
          <w:p w14:paraId="75C8ED3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88" w:type="dxa"/>
          </w:tcPr>
          <w:p w14:paraId="38415D07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813" w:type="dxa"/>
          </w:tcPr>
          <w:p w14:paraId="3E9AADBC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1139" w:type="dxa"/>
          </w:tcPr>
          <w:p w14:paraId="4F07D71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1.90</w:t>
            </w:r>
          </w:p>
        </w:tc>
        <w:tc>
          <w:tcPr>
            <w:tcW w:w="703" w:type="dxa"/>
          </w:tcPr>
          <w:p w14:paraId="7AD4813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</w:tcPr>
          <w:p w14:paraId="456E540E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640A5B8">
      <w:pPr>
        <w:widowControl/>
        <w:spacing w:line="480" w:lineRule="auto"/>
        <w:ind w:left="0" w:hanging="2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UNVA: Uncorrected near visual acuity; UIVA: Uncorrected intermediate visual acuity; UDVA: Uncorrrected distance visual acuity; cm: centimeter; m: meter.</w:t>
      </w:r>
    </w:p>
    <w:p w14:paraId="2570527A">
      <w:pPr>
        <w:rPr>
          <w:lang w:val="en-US"/>
        </w:rPr>
      </w:pPr>
    </w:p>
    <w:p w14:paraId="267F1A35">
      <w:pPr>
        <w:rPr>
          <w:lang w:val="en-US"/>
        </w:rPr>
      </w:pPr>
    </w:p>
    <w:p w14:paraId="02EC16B3">
      <w:pPr>
        <w:rPr>
          <w:lang w:val="en-US"/>
        </w:rPr>
      </w:pPr>
    </w:p>
    <w:p w14:paraId="397B93F3">
      <w:pPr>
        <w:widowControl/>
        <w:spacing w:line="480" w:lineRule="auto"/>
        <w:rPr>
          <w:lang w:val="en-US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Table 2. </w:t>
      </w:r>
      <w:r>
        <w:rPr>
          <w:rFonts w:ascii="Times New Roman" w:hAnsi="Times New Roman" w:eastAsia="Times New Roman"/>
          <w:color w:val="000000"/>
          <w:sz w:val="24"/>
          <w:szCs w:val="24"/>
        </w:rPr>
        <w:t>Mean visual acuity in logMAR at various distances for eyes receiving monofocal and extended depth of focus intraocular lenses</w:t>
      </w:r>
    </w:p>
    <w:tbl>
      <w:tblPr>
        <w:tblStyle w:val="34"/>
        <w:tblpPr w:leftFromText="180" w:rightFromText="180" w:vertAnchor="text" w:tblpY="8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796"/>
        <w:gridCol w:w="2592"/>
        <w:gridCol w:w="1683"/>
      </w:tblGrid>
      <w:tr w14:paraId="04BF8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45" w:type="dxa"/>
            <w:vMerge w:val="restart"/>
          </w:tcPr>
          <w:p w14:paraId="03F80816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Visual acuity (logMAR)</w:t>
            </w:r>
          </w:p>
        </w:tc>
        <w:tc>
          <w:tcPr>
            <w:tcW w:w="5388" w:type="dxa"/>
            <w:gridSpan w:val="2"/>
          </w:tcPr>
          <w:p w14:paraId="5D5AE598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Mean (SD)</w:t>
            </w:r>
          </w:p>
        </w:tc>
        <w:tc>
          <w:tcPr>
            <w:tcW w:w="1683" w:type="dxa"/>
            <w:vMerge w:val="restart"/>
          </w:tcPr>
          <w:p w14:paraId="0326DB81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p-value</w:t>
            </w:r>
          </w:p>
        </w:tc>
      </w:tr>
      <w:tr w14:paraId="07BA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45" w:type="dxa"/>
            <w:vMerge w:val="continue"/>
          </w:tcPr>
          <w:p w14:paraId="433DABE1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796" w:type="dxa"/>
          </w:tcPr>
          <w:p w14:paraId="2FF79E7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Monofocal IOL</w:t>
            </w:r>
          </w:p>
          <w:p w14:paraId="4985F2B9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N= 7 eyes</w:t>
            </w:r>
          </w:p>
        </w:tc>
        <w:tc>
          <w:tcPr>
            <w:tcW w:w="2592" w:type="dxa"/>
          </w:tcPr>
          <w:p w14:paraId="32BD7A5A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EDOF IOL</w:t>
            </w:r>
          </w:p>
          <w:p w14:paraId="2A0B8BB0">
            <w:pPr>
              <w:widowControl w:val="0"/>
              <w:suppressAutoHyphens/>
              <w:spacing w:after="0" w:line="1" w:lineRule="atLeast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N= 7 eyes</w:t>
            </w:r>
          </w:p>
        </w:tc>
        <w:tc>
          <w:tcPr>
            <w:tcW w:w="1683" w:type="dxa"/>
            <w:vMerge w:val="continue"/>
          </w:tcPr>
          <w:p w14:paraId="17FAB33C">
            <w:pPr>
              <w:widowControl w:val="0"/>
              <w:suppressAutoHyphens/>
              <w:spacing w:after="0" w:line="276" w:lineRule="auto"/>
              <w:ind w:leftChars="-1" w:hanging="2" w:hangingChars="1"/>
              <w:textAlignment w:val="top"/>
              <w:outlineLvl w:val="0"/>
              <w:rPr>
                <w:rFonts w:ascii="Calibri" w:hAnsi="Calibri" w:eastAsia="SimSun" w:cs="Calibri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</w:p>
        </w:tc>
      </w:tr>
      <w:tr w14:paraId="38D4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2338F037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UNVA at 40cm</w:t>
            </w:r>
          </w:p>
        </w:tc>
        <w:tc>
          <w:tcPr>
            <w:tcW w:w="2796" w:type="dxa"/>
          </w:tcPr>
          <w:p w14:paraId="5A64207B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0.64 (0.28)</w:t>
            </w:r>
          </w:p>
        </w:tc>
        <w:tc>
          <w:tcPr>
            <w:tcW w:w="2592" w:type="dxa"/>
          </w:tcPr>
          <w:p w14:paraId="4E3EF8DB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0.26 (0.18)</w:t>
            </w:r>
          </w:p>
        </w:tc>
        <w:tc>
          <w:tcPr>
            <w:tcW w:w="1683" w:type="dxa"/>
          </w:tcPr>
          <w:p w14:paraId="60DDD228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0.010</w:t>
            </w:r>
          </w:p>
        </w:tc>
      </w:tr>
      <w:tr w14:paraId="5333D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407EC26C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UIVA at 60 cm</w:t>
            </w:r>
          </w:p>
        </w:tc>
        <w:tc>
          <w:tcPr>
            <w:tcW w:w="2796" w:type="dxa"/>
          </w:tcPr>
          <w:p w14:paraId="59F57489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0.39 (0.22)</w:t>
            </w:r>
          </w:p>
        </w:tc>
        <w:tc>
          <w:tcPr>
            <w:tcW w:w="2592" w:type="dxa"/>
          </w:tcPr>
          <w:p w14:paraId="38849AAA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0.11 (0.15)</w:t>
            </w:r>
          </w:p>
        </w:tc>
        <w:tc>
          <w:tcPr>
            <w:tcW w:w="1683" w:type="dxa"/>
          </w:tcPr>
          <w:p w14:paraId="522E3F01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0.021</w:t>
            </w:r>
          </w:p>
        </w:tc>
      </w:tr>
      <w:tr w14:paraId="1041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077DC0A1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UIVA at 80 cm</w:t>
            </w:r>
          </w:p>
        </w:tc>
        <w:tc>
          <w:tcPr>
            <w:tcW w:w="2796" w:type="dxa"/>
          </w:tcPr>
          <w:p w14:paraId="7E538DBE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0.32 (0.24)</w:t>
            </w:r>
          </w:p>
        </w:tc>
        <w:tc>
          <w:tcPr>
            <w:tcW w:w="2592" w:type="dxa"/>
          </w:tcPr>
          <w:p w14:paraId="6671A722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0.12 (0.15)</w:t>
            </w:r>
          </w:p>
        </w:tc>
        <w:tc>
          <w:tcPr>
            <w:tcW w:w="1683" w:type="dxa"/>
          </w:tcPr>
          <w:p w14:paraId="3125BFF5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0.081</w:t>
            </w:r>
          </w:p>
        </w:tc>
      </w:tr>
      <w:tr w14:paraId="54487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4D99129D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UDVA at 6 m</w:t>
            </w:r>
          </w:p>
        </w:tc>
        <w:tc>
          <w:tcPr>
            <w:tcW w:w="2796" w:type="dxa"/>
          </w:tcPr>
          <w:p w14:paraId="046BF3A5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0.07 (0.07)</w:t>
            </w:r>
          </w:p>
        </w:tc>
        <w:tc>
          <w:tcPr>
            <w:tcW w:w="2592" w:type="dxa"/>
          </w:tcPr>
          <w:p w14:paraId="3C6EB5EB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0.09 (0.07)</w:t>
            </w:r>
          </w:p>
        </w:tc>
        <w:tc>
          <w:tcPr>
            <w:tcW w:w="1683" w:type="dxa"/>
          </w:tcPr>
          <w:p w14:paraId="7E45BBF4">
            <w:pPr>
              <w:widowControl w:val="0"/>
              <w:suppressAutoHyphens/>
              <w:spacing w:after="0" w:line="240" w:lineRule="auto"/>
              <w:ind w:leftChars="-1" w:hanging="2" w:hangingChars="1"/>
              <w:jc w:val="center"/>
              <w:textAlignment w:val="top"/>
              <w:outlineLvl w:val="0"/>
              <w:rPr>
                <w:rFonts w:ascii="Calibri" w:hAnsi="Calibri" w:eastAsia="Times New Roman" w:cs="Calibri"/>
                <w:color w:val="252525"/>
                <w:kern w:val="0"/>
                <w:position w:val="-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position w:val="-1"/>
                <w:sz w:val="20"/>
                <w:szCs w:val="20"/>
                <w:lang w:val="en-US"/>
                <w14:ligatures w14:val="none"/>
              </w:rPr>
              <w:t>0.605</w:t>
            </w:r>
          </w:p>
        </w:tc>
      </w:tr>
    </w:tbl>
    <w:p w14:paraId="4DDB3FA9">
      <w:pPr>
        <w:snapToGrid w:val="0"/>
        <w:spacing w:before="280" w:after="280" w:line="480" w:lineRule="auto"/>
        <w:ind w:left="0" w:leftChars="0" w:firstLine="0" w:firstLineChars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UNVA: Uncorrected near visual acuity; UIVA: Uncorrected intermediate visual acuity; UDVA: Uncorrrected distance visual acuity; SD: standard deviation; EDOF: extended depth of focus; IOL: intraocular lens; cm: centimeter; m: meter; N: total number of patients. Independent t-test. Significant p-value&lt;0.05</w:t>
      </w:r>
      <w:bookmarkStart w:id="0" w:name="_GoBack"/>
      <w:bookmarkEnd w:id="0"/>
    </w:p>
    <w:p w14:paraId="180307DF">
      <w:pPr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83"/>
    <w:rsid w:val="00007CA9"/>
    <w:rsid w:val="001F5AF8"/>
    <w:rsid w:val="00965533"/>
    <w:rsid w:val="009F2083"/>
    <w:rsid w:val="00C573F1"/>
    <w:rsid w:val="537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MY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_Style 24"/>
    <w:basedOn w:val="12"/>
    <w:qFormat/>
    <w:uiPriority w:val="0"/>
    <w:pPr>
      <w:spacing w:after="0" w:line="240" w:lineRule="auto"/>
    </w:pPr>
    <w:rPr>
      <w:kern w:val="0"/>
      <w:sz w:val="20"/>
      <w:szCs w:val="20"/>
      <w14:ligatures w14:val="none"/>
    </w:rPr>
    <w:tblPr/>
  </w:style>
  <w:style w:type="table" w:customStyle="1" w:styleId="34">
    <w:name w:val="_Style 25"/>
    <w:basedOn w:val="12"/>
    <w:qFormat/>
    <w:uiPriority w:val="0"/>
    <w:pPr>
      <w:spacing w:after="0" w:line="240" w:lineRule="auto"/>
    </w:pPr>
    <w:rPr>
      <w:kern w:val="0"/>
      <w:sz w:val="20"/>
      <w:szCs w:val="20"/>
      <w14:ligatures w14:val="none"/>
    </w:rPr>
    <w:tbl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1351</Characters>
  <Lines>11</Lines>
  <Paragraphs>3</Paragraphs>
  <TotalTime>0</TotalTime>
  <ScaleCrop>false</ScaleCrop>
  <LinksUpToDate>false</LinksUpToDate>
  <CharactersWithSpaces>1584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2024-12-01T07:02:00Z</dcterms:created>
  <dc:creator>see yee bee</dc:creator>
  <cp:lastModifiedBy>google1587387625</cp:lastModifiedBy>
  <dcterms:modified xsi:type="dcterms:W3CDTF">2025-02-04T14:12:56Z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207F897240C24D30BEDAA8E3A6DC5007_12</vt:lpwstr>
  </property>
</Properties>
</file>