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9035C" w14:textId="77777777" w:rsidR="00FD3266" w:rsidRPr="00676D46" w:rsidRDefault="00FD3266" w:rsidP="001E746E">
      <w:pPr>
        <w:spacing w:line="480" w:lineRule="auto"/>
        <w:jc w:val="both"/>
        <w:rPr>
          <w:rFonts w:ascii="Times New Roman" w:hAnsi="Times New Roman" w:cs="Times New Roman"/>
          <w:b/>
          <w:bCs/>
          <w:sz w:val="24"/>
          <w:szCs w:val="24"/>
        </w:rPr>
      </w:pPr>
      <w:bookmarkStart w:id="0" w:name="_GoBack"/>
      <w:bookmarkEnd w:id="0"/>
      <w:r w:rsidRPr="00676D46">
        <w:rPr>
          <w:rFonts w:ascii="Times New Roman" w:hAnsi="Times New Roman" w:cs="Times New Roman"/>
          <w:b/>
          <w:bCs/>
          <w:sz w:val="24"/>
          <w:szCs w:val="24"/>
        </w:rPr>
        <w:t xml:space="preserve">HIPERTENSI SEKUNDER: GEN-GEN YANG MERANGSANG PENGELUARAN ALDOSTERON YANG BERLEBIHAN </w:t>
      </w:r>
    </w:p>
    <w:p w14:paraId="3C22B1CB" w14:textId="77777777" w:rsidR="00FD3266" w:rsidRPr="001E746E" w:rsidRDefault="00FD3266" w:rsidP="001E746E">
      <w:pPr>
        <w:spacing w:line="480" w:lineRule="auto"/>
        <w:jc w:val="both"/>
        <w:rPr>
          <w:rFonts w:ascii="Times New Roman" w:hAnsi="Times New Roman" w:cs="Times New Roman"/>
          <w:sz w:val="24"/>
          <w:szCs w:val="24"/>
        </w:rPr>
      </w:pPr>
    </w:p>
    <w:p w14:paraId="4A8484D6" w14:textId="7E5755EF" w:rsidR="00FD3266" w:rsidRPr="00676D46" w:rsidRDefault="00676D46" w:rsidP="001E746E">
      <w:pPr>
        <w:spacing w:line="480" w:lineRule="auto"/>
        <w:jc w:val="both"/>
        <w:rPr>
          <w:rFonts w:ascii="Times New Roman" w:hAnsi="Times New Roman" w:cs="Times New Roman"/>
          <w:b/>
          <w:bCs/>
          <w:sz w:val="24"/>
          <w:szCs w:val="24"/>
        </w:rPr>
      </w:pPr>
      <w:r w:rsidRPr="00676D46">
        <w:rPr>
          <w:rFonts w:ascii="Times New Roman" w:hAnsi="Times New Roman" w:cs="Times New Roman"/>
          <w:b/>
          <w:bCs/>
          <w:sz w:val="24"/>
          <w:szCs w:val="24"/>
        </w:rPr>
        <w:t>ABSTRAK</w:t>
      </w:r>
    </w:p>
    <w:p w14:paraId="768043B3" w14:textId="6ABC9583" w:rsidR="00FD3266" w:rsidRPr="001E746E" w:rsidRDefault="00FD3266" w:rsidP="001E746E">
      <w:pPr>
        <w:spacing w:line="480" w:lineRule="auto"/>
        <w:jc w:val="both"/>
        <w:rPr>
          <w:rFonts w:ascii="Times New Roman" w:hAnsi="Times New Roman" w:cs="Times New Roman"/>
          <w:sz w:val="24"/>
          <w:szCs w:val="24"/>
        </w:rPr>
      </w:pPr>
      <w:r w:rsidRPr="001E746E">
        <w:rPr>
          <w:rFonts w:ascii="Times New Roman" w:hAnsi="Times New Roman" w:cs="Times New Roman"/>
          <w:sz w:val="24"/>
          <w:szCs w:val="24"/>
        </w:rPr>
        <w:t>Aldosteronisme primer (PA) adalah salah satu penyebab utama hipertensi yang boleh dirawat. Hampir satu daripada lima kes hipertensi yang sukar dikawal disebabkan oleh PA. Memandangkan penyakit hipertensi agak ketara dalam kalangan masyarakat Malaysia (malah sedunia), maka terdapat sebilangan besar individu yang berpotensi untuk disembuhkan. Namun demikian, ini tidak terjadi kini kerana terdapat limitasi sumber yang sedia ada untuk mendiagnosis penyakit PA. Cabaran kini adalah untuk merasionalisasikan penggunaan sumber sedia ada kepada mereka yang paling berpotensi disembuhkan penyakit hipertensi ini. Dalam dekad yang lalu, lima gen telah dijumpai mempunyai mutasi somatik yang merangsang pengeluaran aldosteron dalam adenoma yang merembes aldosteron (APA) iaitu KCNJ5, ATP1A1, ATP2B3, CACNA1D dan CTNNB1. Mutasi somatik ini didapati mengaktifkan isyarat-isyarat intraselular yang mengawal pengeluaran aldosteron. Bersamaan, kajian keatas sampel hiperplasia adrenal bilateral (BAH) telah mengenal pasti penyebab genetik bagi kebanyakan hiperaldosteronisme keturunan, iaitu hiperaldosteronisme keluarga jenis I, II, III, dan IV / V. Di sini kami mengkaji penyebab genetik PA dari mutasi somatik yang merangsang aldosteron ke varian titisan germa.</w:t>
      </w:r>
    </w:p>
    <w:p w14:paraId="31B2109B" w14:textId="77777777" w:rsidR="00FD3266" w:rsidRPr="001E746E" w:rsidRDefault="00FD3266" w:rsidP="001E746E">
      <w:pPr>
        <w:spacing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Kata kunci: aldosteronisme primer, hipertensi, hiperaldosteronisme, mutasi </w:t>
      </w:r>
    </w:p>
    <w:p w14:paraId="1733D76A" w14:textId="77777777" w:rsidR="00FD3266" w:rsidRPr="001E746E" w:rsidRDefault="00FD3266" w:rsidP="001E746E">
      <w:pPr>
        <w:spacing w:line="480" w:lineRule="auto"/>
        <w:jc w:val="both"/>
        <w:rPr>
          <w:rFonts w:ascii="Times New Roman" w:hAnsi="Times New Roman" w:cs="Times New Roman"/>
          <w:sz w:val="24"/>
          <w:szCs w:val="24"/>
        </w:rPr>
      </w:pPr>
    </w:p>
    <w:p w14:paraId="3ADBAD76" w14:textId="77777777" w:rsidR="00FD3266" w:rsidRPr="001E746E" w:rsidRDefault="00FD3266" w:rsidP="001E746E">
      <w:pPr>
        <w:spacing w:line="480" w:lineRule="auto"/>
        <w:jc w:val="both"/>
        <w:rPr>
          <w:rFonts w:ascii="Times New Roman" w:hAnsi="Times New Roman" w:cs="Times New Roman"/>
          <w:sz w:val="24"/>
          <w:szCs w:val="24"/>
        </w:rPr>
      </w:pPr>
    </w:p>
    <w:p w14:paraId="189A6B4D" w14:textId="77777777" w:rsidR="00FD3266" w:rsidRPr="001E746E" w:rsidRDefault="00FD3266" w:rsidP="001E746E">
      <w:pPr>
        <w:spacing w:line="480" w:lineRule="auto"/>
        <w:jc w:val="both"/>
        <w:rPr>
          <w:rFonts w:ascii="Times New Roman" w:hAnsi="Times New Roman" w:cs="Times New Roman"/>
          <w:sz w:val="24"/>
          <w:szCs w:val="24"/>
        </w:rPr>
      </w:pPr>
      <w:r w:rsidRPr="001E746E">
        <w:rPr>
          <w:rFonts w:ascii="Times New Roman" w:hAnsi="Times New Roman" w:cs="Times New Roman"/>
          <w:sz w:val="24"/>
          <w:szCs w:val="24"/>
        </w:rPr>
        <w:t> </w:t>
      </w:r>
    </w:p>
    <w:p w14:paraId="77131DDE" w14:textId="5416B1C9" w:rsidR="00FD3266" w:rsidRPr="00676D46" w:rsidRDefault="00676D46" w:rsidP="001E746E">
      <w:pPr>
        <w:spacing w:line="480" w:lineRule="auto"/>
        <w:jc w:val="both"/>
        <w:rPr>
          <w:rFonts w:ascii="Times New Roman" w:hAnsi="Times New Roman" w:cs="Times New Roman"/>
          <w:b/>
          <w:bCs/>
          <w:sz w:val="24"/>
          <w:szCs w:val="24"/>
        </w:rPr>
      </w:pPr>
      <w:r w:rsidRPr="00676D46">
        <w:rPr>
          <w:rFonts w:ascii="Times New Roman" w:hAnsi="Times New Roman" w:cs="Times New Roman"/>
          <w:b/>
          <w:bCs/>
          <w:sz w:val="24"/>
          <w:szCs w:val="24"/>
        </w:rPr>
        <w:lastRenderedPageBreak/>
        <w:t>ABSTRACT</w:t>
      </w:r>
    </w:p>
    <w:p w14:paraId="17DDA62B" w14:textId="77777777" w:rsidR="00FD3266" w:rsidRPr="001E746E" w:rsidRDefault="00FD3266" w:rsidP="001E746E">
      <w:pPr>
        <w:spacing w:line="480" w:lineRule="auto"/>
        <w:jc w:val="both"/>
        <w:rPr>
          <w:rFonts w:ascii="Times New Roman" w:hAnsi="Times New Roman" w:cs="Times New Roman"/>
          <w:sz w:val="24"/>
          <w:szCs w:val="24"/>
        </w:rPr>
      </w:pPr>
      <w:r w:rsidRPr="001E746E">
        <w:rPr>
          <w:rFonts w:ascii="Times New Roman" w:hAnsi="Times New Roman" w:cs="Times New Roman"/>
          <w:sz w:val="24"/>
          <w:szCs w:val="24"/>
        </w:rPr>
        <w:t>Primary aldosteronism (PA) is a common treatable cause of hypertension. Up to one in five resistant hypertension cases are due to PA. Given the high prevalence of hypertension itself in Malaysia (and even the rest of the world), the high prevalence of a potentially curable cause imposes many challenges in order to rationalise use of available resources – avoiding interventions in those likely to benefit least and ensuring intervention in those most likely to be cured of hypertension. In the past decade, five genes have been found in aldosterone-producing adenomas (APAs) to harbour aldosterone-stimulating somatic mutations namely KCNJ5, ATP1A1, ATP2B3, CACNA1D and CTNNB1. These somatic mutations have been found to activate the intracellular signaling pathway that regulates aldosterone production. Similarly, studies on adrenal hyperplasia bilateral (BAH) samples have identified the genetic causes for many hereditary hyperaldosteronism, namely familial hyperaldosteronism types I, II, III, and IV/V. Herein we review these different genetic causes of PA from the aldosterone-stimulating somatic mutations to the germline variants.</w:t>
      </w:r>
    </w:p>
    <w:p w14:paraId="0377337D" w14:textId="77777777" w:rsidR="00FD3266" w:rsidRPr="001E746E" w:rsidRDefault="00FD3266" w:rsidP="001E746E">
      <w:pPr>
        <w:spacing w:line="480" w:lineRule="auto"/>
        <w:jc w:val="both"/>
        <w:rPr>
          <w:rFonts w:ascii="Times New Roman" w:hAnsi="Times New Roman" w:cs="Times New Roman"/>
          <w:sz w:val="24"/>
          <w:szCs w:val="24"/>
        </w:rPr>
      </w:pPr>
      <w:r w:rsidRPr="001E746E">
        <w:rPr>
          <w:rFonts w:ascii="Times New Roman" w:hAnsi="Times New Roman" w:cs="Times New Roman"/>
          <w:sz w:val="24"/>
          <w:szCs w:val="24"/>
        </w:rPr>
        <w:t>Keywords: primary aldosteronism, hypertension, hyperaldosteronism, mutation</w:t>
      </w:r>
    </w:p>
    <w:p w14:paraId="0EFF06E6" w14:textId="77777777" w:rsidR="00FD3266" w:rsidRPr="001E746E" w:rsidRDefault="00FD3266" w:rsidP="001E746E">
      <w:pPr>
        <w:spacing w:line="480" w:lineRule="auto"/>
        <w:jc w:val="both"/>
        <w:rPr>
          <w:rFonts w:ascii="Times New Roman" w:hAnsi="Times New Roman" w:cs="Times New Roman"/>
          <w:sz w:val="24"/>
          <w:szCs w:val="24"/>
        </w:rPr>
      </w:pPr>
    </w:p>
    <w:p w14:paraId="68B859C7" w14:textId="32DAFAC8" w:rsidR="00FD3266" w:rsidRPr="00676D46" w:rsidRDefault="00676D46" w:rsidP="001E746E">
      <w:pPr>
        <w:spacing w:line="480" w:lineRule="auto"/>
        <w:jc w:val="both"/>
        <w:rPr>
          <w:rFonts w:ascii="Times New Roman" w:hAnsi="Times New Roman" w:cs="Times New Roman"/>
          <w:b/>
          <w:bCs/>
          <w:sz w:val="24"/>
          <w:szCs w:val="24"/>
        </w:rPr>
      </w:pPr>
      <w:r w:rsidRPr="00676D46">
        <w:rPr>
          <w:rFonts w:ascii="Times New Roman" w:hAnsi="Times New Roman" w:cs="Times New Roman"/>
          <w:b/>
          <w:bCs/>
          <w:sz w:val="24"/>
          <w:szCs w:val="24"/>
        </w:rPr>
        <w:t>PENDAHULUAN</w:t>
      </w:r>
    </w:p>
    <w:p w14:paraId="0359184A" w14:textId="2982C4C4" w:rsidR="00FD3266" w:rsidRDefault="00FD3266" w:rsidP="009706DC">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Penyakit hipertensi (tekanan darah tinggi) adalah penting untuk dikawal. Kesukaran untuk mengawal hipertensi akan menyebabkan komorbiditi dan mortaliti kerana tekanan darah yang tinggi merupakan risiko besar bagi penyakit strok dan penyakit sakit jantung. Aldosteronisme primer (PA) merupakan salah satu punca hipertensi yang dapat disembuhkan dengan memperbetulkan atau menyekat hormon aldosteron yang berlebihan. PA juga dikenali sebagai sindrom Conn sempena nama pakar endokrin Amerika Jerome W Conn yang pertama kal</w:t>
      </w:r>
      <w:r w:rsidR="00184029">
        <w:rPr>
          <w:rFonts w:ascii="Times New Roman" w:hAnsi="Times New Roman" w:cs="Times New Roman"/>
          <w:sz w:val="24"/>
          <w:szCs w:val="24"/>
        </w:rPr>
        <w:t>i mencirikan penyakit ini (Conn</w:t>
      </w:r>
      <w:r w:rsidRPr="001E746E">
        <w:rPr>
          <w:rFonts w:ascii="Times New Roman" w:hAnsi="Times New Roman" w:cs="Times New Roman"/>
          <w:sz w:val="24"/>
          <w:szCs w:val="24"/>
        </w:rPr>
        <w:t xml:space="preserve"> 1966). Hormon aldosteron adalah salah satu hormon yang </w:t>
      </w:r>
      <w:r w:rsidRPr="001E746E">
        <w:rPr>
          <w:rFonts w:ascii="Times New Roman" w:hAnsi="Times New Roman" w:cs="Times New Roman"/>
          <w:sz w:val="24"/>
          <w:szCs w:val="24"/>
        </w:rPr>
        <w:lastRenderedPageBreak/>
        <w:t xml:space="preserve">dirembeskan oleh zona glomerulosa (ZG) di dalam kelenjar adrenal yang mengawal tekanan darah tinggi melalui kawalan homeostasis Na+. Dua punca utama PA adalah adenoma yang merembes aldosteron (APA), yang biasanya unilateral, dan hiperplasia kalenjar adrenal, yang biasanya bilateral (Nishikawa et al. 2011). Hipertensi sekunder yang disebabkan oleh PA yang unilateral boleh diubati dengan rawatan pembedahan manakala PA yang bilateral sering dikawal dengan rawatan perubatan. </w:t>
      </w:r>
    </w:p>
    <w:p w14:paraId="5100D7E7" w14:textId="77777777" w:rsidR="009706DC" w:rsidRPr="001E746E" w:rsidRDefault="009706DC" w:rsidP="009706DC">
      <w:pPr>
        <w:spacing w:after="0" w:line="480" w:lineRule="auto"/>
        <w:jc w:val="both"/>
        <w:rPr>
          <w:rFonts w:ascii="Times New Roman" w:hAnsi="Times New Roman" w:cs="Times New Roman"/>
          <w:sz w:val="24"/>
          <w:szCs w:val="24"/>
        </w:rPr>
      </w:pPr>
    </w:p>
    <w:p w14:paraId="49E85AC9" w14:textId="4E51C325" w:rsidR="00FD3266" w:rsidRDefault="00FD3266" w:rsidP="009706DC">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Garis panduan menyaring pesakit PA adalah dengan mengukur nisbah aldosteron-kepada-renin (ARR) yang juga boleh disertai dengan ujian hipokalemia darah (Nishikawa et al. 2011). Diagnosis PA disahkan dengan ujian pengesahan seperti ujian cabaran kaptopril atau fludrokortison, jika ARR melebihi takat tertentu yang disarankan. Untuk mengetahui samada penyakit PA disebabkan oleh rembesan unilateral atau bilateral pula, pensampelan vena adrenal (AVS) untuk mengkaji rembesan aldosteron daripada kedua-dua belah kalenjar adrenal (adrenal kanan dan adrenal kiri) disarankan. Jika rembesan adalah unilateral, adrenalekromi kelenjar adrenal terbabit selalunya akan memulihkan rembesan aldosterone kepada normal dan juga menambahbaikkan tekanan darah tinggi pesakit tersebut (Nishikawa et al. 2011). Jika bilateral, rawatan yang diberikan kebiasaanya melibatkan sekatan reseptor mineralokortikoid seperti pemberian ubat spironolakton. PA bilateral sering disebabkan oleh hiperplasia adrenal (BAH) dan adalah punca berlakunya hampir 60% kes PA. </w:t>
      </w:r>
    </w:p>
    <w:p w14:paraId="31B83670" w14:textId="77777777" w:rsidR="009706DC" w:rsidRPr="001E746E" w:rsidRDefault="009706DC" w:rsidP="009706DC">
      <w:pPr>
        <w:spacing w:after="0" w:line="480" w:lineRule="auto"/>
        <w:jc w:val="both"/>
        <w:rPr>
          <w:rFonts w:ascii="Times New Roman" w:hAnsi="Times New Roman" w:cs="Times New Roman"/>
          <w:sz w:val="24"/>
          <w:szCs w:val="24"/>
        </w:rPr>
      </w:pPr>
    </w:p>
    <w:p w14:paraId="10D6DE7A" w14:textId="2A2A7A68" w:rsidR="00FD3266" w:rsidRDefault="00FD3266" w:rsidP="009706DC">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Penyelidikan keatas sampel adrenal pesakit PA yang dibedah keluar telah mengenal pasti beberapa mekanisme yang boleh menyebabkan penyakit ini terjadi. Penggunaan teknologi genetik yang terkini ke atas sampel APA telah menemui beberapa mutasi novel di dalam gen KCNJ5, ATP1A1, ATP2B3, CACNA1D dan CTNNB1 (Azizan et al. 2012; Azizan et al. 2013; Beuschlein et al. 2013; Scholl et al. 2015). Penyelidikan keatas sampel BAH pula telah berjaya </w:t>
      </w:r>
      <w:r w:rsidRPr="001E746E">
        <w:rPr>
          <w:rFonts w:ascii="Times New Roman" w:hAnsi="Times New Roman" w:cs="Times New Roman"/>
          <w:sz w:val="24"/>
          <w:szCs w:val="24"/>
        </w:rPr>
        <w:lastRenderedPageBreak/>
        <w:t xml:space="preserve">menjelaskan beberapa penyakit PA yang boleh diwarisi iaitu penyakit familial hyperaldosteronism I, II, III, dan IV/V. Di dalam kertas kajian ini, kami mengkaji pengetahuan semasa mutasi somatik yang menyumbang kepada APA serta gen-gen yang terlibat dengan familial hyperaldosteronisme jenis I, II, III, dan IV/V. </w:t>
      </w:r>
    </w:p>
    <w:p w14:paraId="3AA69EEE" w14:textId="77777777" w:rsidR="009706DC" w:rsidRPr="001E746E" w:rsidRDefault="009706DC" w:rsidP="009706DC">
      <w:pPr>
        <w:spacing w:after="0" w:line="480" w:lineRule="auto"/>
        <w:jc w:val="both"/>
        <w:rPr>
          <w:rFonts w:ascii="Times New Roman" w:hAnsi="Times New Roman" w:cs="Times New Roman"/>
          <w:sz w:val="24"/>
          <w:szCs w:val="24"/>
        </w:rPr>
      </w:pPr>
    </w:p>
    <w:p w14:paraId="0F25B44C" w14:textId="058C1508" w:rsidR="00FD3266" w:rsidRPr="00676D46" w:rsidRDefault="00753460" w:rsidP="001E746E">
      <w:pPr>
        <w:spacing w:line="480" w:lineRule="auto"/>
        <w:jc w:val="both"/>
        <w:rPr>
          <w:rFonts w:ascii="Times New Roman" w:hAnsi="Times New Roman" w:cs="Times New Roman"/>
          <w:b/>
          <w:bCs/>
          <w:sz w:val="24"/>
          <w:szCs w:val="24"/>
        </w:rPr>
      </w:pPr>
      <w:r w:rsidRPr="00676D46">
        <w:rPr>
          <w:rFonts w:ascii="Times New Roman" w:hAnsi="Times New Roman" w:cs="Times New Roman"/>
          <w:b/>
          <w:bCs/>
          <w:sz w:val="24"/>
          <w:szCs w:val="24"/>
        </w:rPr>
        <w:t xml:space="preserve">Mutasi Somatik </w:t>
      </w:r>
      <w:r w:rsidR="00BA08D9">
        <w:rPr>
          <w:rFonts w:ascii="Times New Roman" w:hAnsi="Times New Roman" w:cs="Times New Roman"/>
          <w:b/>
          <w:bCs/>
          <w:sz w:val="24"/>
          <w:szCs w:val="24"/>
        </w:rPr>
        <w:t>d</w:t>
      </w:r>
      <w:r w:rsidRPr="00676D46">
        <w:rPr>
          <w:rFonts w:ascii="Times New Roman" w:hAnsi="Times New Roman" w:cs="Times New Roman"/>
          <w:b/>
          <w:bCs/>
          <w:sz w:val="24"/>
          <w:szCs w:val="24"/>
        </w:rPr>
        <w:t xml:space="preserve">alam Adenoma </w:t>
      </w:r>
      <w:r w:rsidR="00BA08D9">
        <w:rPr>
          <w:rFonts w:ascii="Times New Roman" w:hAnsi="Times New Roman" w:cs="Times New Roman"/>
          <w:b/>
          <w:bCs/>
          <w:sz w:val="24"/>
          <w:szCs w:val="24"/>
        </w:rPr>
        <w:t>y</w:t>
      </w:r>
      <w:r w:rsidRPr="00676D46">
        <w:rPr>
          <w:rFonts w:ascii="Times New Roman" w:hAnsi="Times New Roman" w:cs="Times New Roman"/>
          <w:b/>
          <w:bCs/>
          <w:sz w:val="24"/>
          <w:szCs w:val="24"/>
        </w:rPr>
        <w:t>ang Merembes Aldosteron (A</w:t>
      </w:r>
      <w:r>
        <w:rPr>
          <w:rFonts w:ascii="Times New Roman" w:hAnsi="Times New Roman" w:cs="Times New Roman"/>
          <w:b/>
          <w:bCs/>
          <w:sz w:val="24"/>
          <w:szCs w:val="24"/>
        </w:rPr>
        <w:t>PA</w:t>
      </w:r>
      <w:r w:rsidRPr="00676D46">
        <w:rPr>
          <w:rFonts w:ascii="Times New Roman" w:hAnsi="Times New Roman" w:cs="Times New Roman"/>
          <w:b/>
          <w:bCs/>
          <w:sz w:val="24"/>
          <w:szCs w:val="24"/>
        </w:rPr>
        <w:t>)</w:t>
      </w:r>
    </w:p>
    <w:p w14:paraId="0CEC8A57" w14:textId="2C076BF3" w:rsidR="00FD3266" w:rsidRDefault="00676D46" w:rsidP="00BA08D9">
      <w:pPr>
        <w:spacing w:after="0" w:line="480" w:lineRule="auto"/>
        <w:jc w:val="both"/>
        <w:rPr>
          <w:rFonts w:ascii="Times New Roman" w:hAnsi="Times New Roman" w:cs="Times New Roman"/>
          <w:b/>
          <w:bCs/>
          <w:sz w:val="24"/>
          <w:szCs w:val="24"/>
        </w:rPr>
      </w:pPr>
      <w:r w:rsidRPr="00676D46">
        <w:rPr>
          <w:rFonts w:ascii="Times New Roman" w:hAnsi="Times New Roman" w:cs="Times New Roman"/>
          <w:b/>
          <w:bCs/>
          <w:sz w:val="24"/>
          <w:szCs w:val="24"/>
        </w:rPr>
        <w:t>Mutasi Somatik Dalam Gen K</w:t>
      </w:r>
      <w:r>
        <w:rPr>
          <w:rFonts w:ascii="Times New Roman" w:hAnsi="Times New Roman" w:cs="Times New Roman"/>
          <w:b/>
          <w:bCs/>
          <w:sz w:val="24"/>
          <w:szCs w:val="24"/>
        </w:rPr>
        <w:t>CNJ</w:t>
      </w:r>
      <w:r w:rsidRPr="00676D46">
        <w:rPr>
          <w:rFonts w:ascii="Times New Roman" w:hAnsi="Times New Roman" w:cs="Times New Roman"/>
          <w:b/>
          <w:bCs/>
          <w:sz w:val="24"/>
          <w:szCs w:val="24"/>
        </w:rPr>
        <w:t>5</w:t>
      </w:r>
    </w:p>
    <w:p w14:paraId="33C518C7" w14:textId="77777777" w:rsidR="00BA08D9" w:rsidRPr="00676D46" w:rsidRDefault="00BA08D9" w:rsidP="00BA08D9">
      <w:pPr>
        <w:spacing w:after="0" w:line="480" w:lineRule="auto"/>
        <w:jc w:val="both"/>
        <w:rPr>
          <w:rFonts w:ascii="Times New Roman" w:hAnsi="Times New Roman" w:cs="Times New Roman"/>
          <w:b/>
          <w:bCs/>
          <w:sz w:val="24"/>
          <w:szCs w:val="24"/>
        </w:rPr>
      </w:pPr>
    </w:p>
    <w:p w14:paraId="036276AF" w14:textId="43C5835F" w:rsidR="00FD3266" w:rsidRDefault="00FD3266" w:rsidP="00BA08D9">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Gen KCNJ5 (terletak di 11q24.3) mengkod Kir3.4. Kir3.4 diekspresi di dalam ZG kelenjar adrenal. Ia membentuk heterotetramer dengan Kir3.1 (dikod oleh gen KCNJ3) yang menyumbang kepada penyelenggaraan ion K+ merentasi membran sel. Monticone et al. (2012) telah mendapati bahawa saluran ini diekspresi meluas di dalam beberapa tisu yang berbeza termasuk jantung, neuron, dan pelbagai tisu endokrin. Saluran ini biasanya membawa kalium keluar dari sel dan dengan itu membantu mengekalkan hiperpolarisasi membran ZG. Mutasi yang menyebabkan saluran ini tidak berfungsi telah dikaitkan dengan sindrom QT panjang (jenis 13) (Monticone et al. 2012).</w:t>
      </w:r>
    </w:p>
    <w:p w14:paraId="0B4D9A66" w14:textId="77777777" w:rsidR="00BA08D9" w:rsidRPr="001E746E" w:rsidRDefault="00BA08D9" w:rsidP="00BA08D9">
      <w:pPr>
        <w:spacing w:after="0" w:line="480" w:lineRule="auto"/>
        <w:jc w:val="both"/>
        <w:rPr>
          <w:rFonts w:ascii="Times New Roman" w:hAnsi="Times New Roman" w:cs="Times New Roman"/>
          <w:sz w:val="24"/>
          <w:szCs w:val="24"/>
        </w:rPr>
      </w:pPr>
    </w:p>
    <w:p w14:paraId="22B0C4B1" w14:textId="28585217" w:rsidR="00FD3266" w:rsidRDefault="00FD3266" w:rsidP="00E256C8">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Dalam kajian 22 APA menggunakan penjujukan keseluruhan genom, Choi et al. (2011) telah mendapati dua mutasi KCNJ5, p.Gly151Arg (G151R) dan p.Leu168Arg (L168R), berlaku dalam lapan kes APA (38%). Mutasi-mutasi ini menyebabkan berlaku perubahan selektiviti saluran Kir3.4 untuk K+ kepada Na+. Ini menyebabkan peningkatan konduktiviti Na+. Kemasukan Na+ mengaktifkan depolarisasi sel yang mengakibatkan kemasukan kalsium ke dalam sel. Peningkatan paras kalsium intrasel menyebabkan hiperproduksi aldosterone berlaku (Choi et al. 2011). Monticone et al. (2012) telah mengesahkan bahawa ekspresi berlebihan </w:t>
      </w:r>
      <w:r w:rsidRPr="001E746E">
        <w:rPr>
          <w:rFonts w:ascii="Times New Roman" w:hAnsi="Times New Roman" w:cs="Times New Roman"/>
          <w:sz w:val="24"/>
          <w:szCs w:val="24"/>
        </w:rPr>
        <w:lastRenderedPageBreak/>
        <w:t xml:space="preserve">KCNJ5 mutan dalam sel adrenokortikal HAC15 mengakibatkan peningkatan penghasilan aldosteron. </w:t>
      </w:r>
    </w:p>
    <w:p w14:paraId="5F5213B8" w14:textId="77777777" w:rsidR="00E256C8" w:rsidRPr="001E746E" w:rsidRDefault="00E256C8" w:rsidP="00E256C8">
      <w:pPr>
        <w:spacing w:after="0" w:line="480" w:lineRule="auto"/>
        <w:jc w:val="both"/>
        <w:rPr>
          <w:rFonts w:ascii="Times New Roman" w:hAnsi="Times New Roman" w:cs="Times New Roman"/>
          <w:sz w:val="24"/>
          <w:szCs w:val="24"/>
        </w:rPr>
      </w:pPr>
    </w:p>
    <w:p w14:paraId="44BA38D4" w14:textId="6E80230B" w:rsidR="00FD3266" w:rsidRDefault="00FD3266" w:rsidP="00E256C8">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Kini, terdapat beberapa mutasi somatik lain yang telah dijumpai lebih sekali di dalam gen KCNJ5 didalam APA, mutasi somatik p.Thr158Ala (T158A) (Mulatero et al. 2012), mutasi kehilangan isoleucine 157 (p.Ile157del) (Azizan et al. 2012), mutasi p.Trp126Arg (W126R) (Williams et al. 2014), dan mutasi p.Glu145Gln (E145Q) (Akerstrom et al. 2015) dan mutasi p.Glu145Lys (E145K) (Azizan et al. 2013)  -  yang kedua-duanya mempengaruhi asid amino yang sama (asid glutamat 145) adalah antara mutasi somatik yang sedemikian. Namun demikian, secara keseluruhan, hampir 99% APA yang mempunyai mutasi somatik di dalam gen KCNJ5 mempunyai mutasi G151R atau L168R, manakala mutasi-mutasi somatik yang lain (Jadual 1) sangat jarang berlaku. Menariknya, mutasi somatik KCNJ5 T158A telah ditemui oleh Mulatero et al. (2012) pada APA pesakit Itali yang mempunyai sejarah PA dalam keluarga. Mutasi yang sama telah dinyatakan dalam artikel asal Choi et al. (2011) tetapi sebagai satu mutasi keturunan. Mutasi T158A dijangka memodifikasi pemilihan saluran, seperti mutasi-mutasi somatik KCNJ5 yang lain. </w:t>
      </w:r>
    </w:p>
    <w:p w14:paraId="44CD4A8B" w14:textId="77777777" w:rsidR="00E256C8" w:rsidRPr="001E746E" w:rsidRDefault="00E256C8" w:rsidP="00E256C8">
      <w:pPr>
        <w:spacing w:after="0" w:line="480" w:lineRule="auto"/>
        <w:jc w:val="both"/>
        <w:rPr>
          <w:rFonts w:ascii="Times New Roman" w:hAnsi="Times New Roman" w:cs="Times New Roman"/>
          <w:sz w:val="24"/>
          <w:szCs w:val="24"/>
        </w:rPr>
      </w:pPr>
    </w:p>
    <w:p w14:paraId="2E36BEC1" w14:textId="481C07CC" w:rsidR="00FD3266" w:rsidRDefault="00FD3266" w:rsidP="005A0883">
      <w:pPr>
        <w:spacing w:after="0" w:line="480" w:lineRule="auto"/>
        <w:jc w:val="both"/>
        <w:rPr>
          <w:rFonts w:ascii="Times New Roman" w:hAnsi="Times New Roman" w:cs="Times New Roman"/>
          <w:b/>
          <w:bCs/>
          <w:sz w:val="24"/>
          <w:szCs w:val="24"/>
        </w:rPr>
      </w:pPr>
      <w:r w:rsidRPr="003D5910">
        <w:rPr>
          <w:rFonts w:ascii="Times New Roman" w:hAnsi="Times New Roman" w:cs="Times New Roman"/>
          <w:b/>
          <w:bCs/>
          <w:sz w:val="24"/>
          <w:szCs w:val="24"/>
        </w:rPr>
        <w:t>Mutasi somatik dalam ATP1A1</w:t>
      </w:r>
    </w:p>
    <w:p w14:paraId="7663F43F" w14:textId="77777777" w:rsidR="005A0883" w:rsidRPr="003D5910" w:rsidRDefault="005A0883" w:rsidP="005A0883">
      <w:pPr>
        <w:spacing w:after="0" w:line="480" w:lineRule="auto"/>
        <w:jc w:val="both"/>
        <w:rPr>
          <w:rFonts w:ascii="Times New Roman" w:hAnsi="Times New Roman" w:cs="Times New Roman"/>
          <w:b/>
          <w:bCs/>
          <w:sz w:val="24"/>
          <w:szCs w:val="24"/>
        </w:rPr>
      </w:pPr>
    </w:p>
    <w:p w14:paraId="0540B7A7" w14:textId="5711784A" w:rsidR="00FD3266" w:rsidRDefault="00FD3266" w:rsidP="005A0883">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Gen ATP1A1 mengekod subunit alfa-1 Na+/ K+ ATPase yang merupakan pengangkut ion dari keluarga ATPase jenis-P. Ia terletak di kromosom 1p13.1 dan terdiri daripada alpha- dan beta-subunit. Subunit alpha-1 adalah yang paling banyak terdapat di dalam sel-sel ginjal dan epitelium. Na+/K+ ATPases diekspresi di dalam korteks adrenal dan ekspresi mRNA tertinggi adalah di ZG kelenjar adrenal. Na+/K+-ATPases mengangkut tiga ion Na+ untuk ditukarkan dengan dua ion K+. Proses ini di dorong oleh hidrolisis ATP. Pada tahun 2013, selepas mutasi </w:t>
      </w:r>
      <w:r w:rsidRPr="001E746E">
        <w:rPr>
          <w:rFonts w:ascii="Times New Roman" w:hAnsi="Times New Roman" w:cs="Times New Roman"/>
          <w:sz w:val="24"/>
          <w:szCs w:val="24"/>
        </w:rPr>
        <w:lastRenderedPageBreak/>
        <w:t xml:space="preserve">KCNJ5 telah dijumpai di dalam APA, Beuschlein et al. (2013) telah melakukan kajian genetik ke atas APA yang tiada mutasi di dalam gen KCNJ5, daripada sembilan lelaki yang mempunyai PA dan hypokalemia. Kajian tersebut mendapati bahawa tiga APA mempunyai mutasi somatik di dalam gen ATP1A1, p.Leu104Arg (L104R) dalam dua kes dan p.Val332Gly (V332G) dalam kes ketiga. Kajian tersebut kemudian menjumpai enam kes tambahan di dalam 100 APA dimana empat mempunyai mutasi L104R, manakala dua yang lain kehilangan leucin yang sama di dalam mutasi p.Phe100_Leu104del (F100_L104del). Kajian di dalam 199 APA telah mendapati bahawa mutasi ATP1A1 hadir dalam 5.2% pesakit APA (Beuschlein et al. 2013). </w:t>
      </w:r>
    </w:p>
    <w:p w14:paraId="54408DBE" w14:textId="77777777" w:rsidR="005A0883" w:rsidRPr="001E746E" w:rsidRDefault="005A0883" w:rsidP="005A0883">
      <w:pPr>
        <w:spacing w:after="0" w:line="480" w:lineRule="auto"/>
        <w:jc w:val="both"/>
        <w:rPr>
          <w:rFonts w:ascii="Times New Roman" w:hAnsi="Times New Roman" w:cs="Times New Roman"/>
          <w:sz w:val="24"/>
          <w:szCs w:val="24"/>
        </w:rPr>
      </w:pPr>
    </w:p>
    <w:p w14:paraId="7EC9BB14" w14:textId="210B52BC" w:rsidR="00FD3266" w:rsidRDefault="00FD3266" w:rsidP="005A0883">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Mutasi L104R dan F100_L104del juga telah dilaporkan terjadi di dalam APA yang mempunyai sel mirip seperti ZG kalenjar adrenal (Azizan et al. 2013). Di dalam laporan yang sama, mutasi kehilangan amino asid posisi 960-963 dan penggantian amino asid 963 oleh serin (pEETA963S) telah dijumpai. Satu laporan lanjut dari Itali mendapati mutasi somatik lain di dalam gen ATP1A1, iaitu p.Gly99Arg (G99R). Stindl et al. (2015) telah membuktikan bahawa ekpresi mutan G99R, L104R dan V332G di dalam sel adrenokortikal H295R mengakibatkan pengeluaran aldosteron bertambah (Stindl et al. 2015). Di antara semua mutasi, L104R menunjukkan depolarisasi tertinggi sel membran di dalam sel H295R. Walau bagaimanapun, ekspresi mana-mana mutasi akan menyebabkan peningkatan Na+ intraselular dan penurunan ion K+. </w:t>
      </w:r>
    </w:p>
    <w:p w14:paraId="4A71AF04" w14:textId="77777777" w:rsidR="005A0883" w:rsidRPr="001E746E" w:rsidRDefault="005A0883" w:rsidP="005A0883">
      <w:pPr>
        <w:spacing w:after="0" w:line="480" w:lineRule="auto"/>
        <w:jc w:val="both"/>
        <w:rPr>
          <w:rFonts w:ascii="Times New Roman" w:hAnsi="Times New Roman" w:cs="Times New Roman"/>
          <w:sz w:val="24"/>
          <w:szCs w:val="24"/>
        </w:rPr>
      </w:pPr>
    </w:p>
    <w:p w14:paraId="5085FFFA" w14:textId="7CC87540" w:rsidR="00FD3266" w:rsidRDefault="00FD3266" w:rsidP="00171E29">
      <w:pPr>
        <w:spacing w:after="0" w:line="480" w:lineRule="auto"/>
        <w:jc w:val="both"/>
        <w:rPr>
          <w:rFonts w:ascii="Times New Roman" w:hAnsi="Times New Roman" w:cs="Times New Roman"/>
          <w:b/>
          <w:bCs/>
          <w:sz w:val="24"/>
          <w:szCs w:val="24"/>
        </w:rPr>
      </w:pPr>
      <w:r w:rsidRPr="003D5910">
        <w:rPr>
          <w:rFonts w:ascii="Times New Roman" w:hAnsi="Times New Roman" w:cs="Times New Roman"/>
          <w:b/>
          <w:bCs/>
          <w:sz w:val="24"/>
          <w:szCs w:val="24"/>
        </w:rPr>
        <w:t>Mutasi somatik dalam ATP2B3</w:t>
      </w:r>
    </w:p>
    <w:p w14:paraId="3147195A" w14:textId="77777777" w:rsidR="00171E29" w:rsidRPr="003D5910" w:rsidRDefault="00171E29" w:rsidP="00171E29">
      <w:pPr>
        <w:spacing w:after="0" w:line="480" w:lineRule="auto"/>
        <w:jc w:val="both"/>
        <w:rPr>
          <w:rFonts w:ascii="Times New Roman" w:hAnsi="Times New Roman" w:cs="Times New Roman"/>
          <w:b/>
          <w:bCs/>
          <w:sz w:val="24"/>
          <w:szCs w:val="24"/>
        </w:rPr>
      </w:pPr>
    </w:p>
    <w:p w14:paraId="3FBA021F" w14:textId="7263F8B8" w:rsidR="00FD3266" w:rsidRDefault="00FD3266" w:rsidP="00171E29">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Gen ATP2B3 mengekod membran plasma kalsium pengangkut ATPase 3 (PMCA3) yang dimiliki oleh keluarga ATPase jenis-P. Ia terdapat dalam adrenal korteks dan terletak di kromosom X (Xq28). ATP2B3 diperlukan untuk mengeluarkan kalsium daripada sitoplasma </w:t>
      </w:r>
      <w:r w:rsidRPr="001E746E">
        <w:rPr>
          <w:rFonts w:ascii="Times New Roman" w:hAnsi="Times New Roman" w:cs="Times New Roman"/>
          <w:sz w:val="24"/>
          <w:szCs w:val="24"/>
        </w:rPr>
        <w:lastRenderedPageBreak/>
        <w:t>sel dan oleh itu mempunyai peranan penting dalam homeostasis kalsium. Ca2+ -ATPases membuat pertukaran satu Ca2+ ion untuk satu H+ ion. Mutasi-mutasi dalam ATP2B3 yang dijumpai di dalam APA telah ditemui pada masa yang sama ATP1A1 dijumpai, di mana Beuschlein et al. (2013) menjumpai mutasi p.Leu425_Val426del dan p. Val426_Val427del. Selain mutasi yang membabitkan Leu425, Val426, dan Val427, Dutta et al</w:t>
      </w:r>
      <w:r w:rsidR="00852395">
        <w:rPr>
          <w:rFonts w:ascii="Times New Roman" w:hAnsi="Times New Roman" w:cs="Times New Roman"/>
          <w:sz w:val="24"/>
          <w:szCs w:val="24"/>
        </w:rPr>
        <w:t>.</w:t>
      </w:r>
      <w:r w:rsidRPr="001E746E">
        <w:rPr>
          <w:rFonts w:ascii="Times New Roman" w:hAnsi="Times New Roman" w:cs="Times New Roman"/>
          <w:sz w:val="24"/>
          <w:szCs w:val="24"/>
        </w:rPr>
        <w:t xml:space="preserve"> (2014) juga telah menjumpai satu mutasi ATP2B3 di dalam pesakit PA yang membabitkan Arg428 dan Val429, yang mencadangkan bahawa hanya mutasi di lokasi LVVAV425-429 ATP2B3 akan mengekod protein mutan ATP2B3 yang meningkatkan produksi aldosteron (Dutta et al. 2014). Kawasan ini dianggap penting untuk mengikat ion kalsium dan kehilangan amino asid di kawasan ini boleh menjejaskan aktiviti Ca2+-ATPase hingga mengakibatkan ia tidak berfungsi. Di dalam kultur sel adenoma, mutasi ATP2B3 menjadikan tahap depolarisasi sel yang ketara lebih tinggi berbanding sel kawalan (Beuschlein et al. 2013). Menariknya, mutasi titisan germa pada ATP2B3 telah dijumpai oleh Cali et al. (2015) di dalam pesakit ataksia spinoserebelar kongenital. Setakat ini, ATP2B3 mutasi mempunyai prevalen rendah pada pesakit APAs dengan kira-kira 0.9%-1.6% (Dutta et al. 2014). Namun demikian, sama seperti ATP1A1, terdapat juga beberapa mutasi somatik ATP2B3 yang telah dijumpai di dalam kluster sel yang mengekspresi CYP11B2, enzim terakhir dalam proses menghasilkan hormon aldosterone (Jadual 1).</w:t>
      </w:r>
    </w:p>
    <w:p w14:paraId="5267E1EA" w14:textId="77777777" w:rsidR="00171E29" w:rsidRPr="001E746E" w:rsidRDefault="00171E29" w:rsidP="00171E29">
      <w:pPr>
        <w:spacing w:after="0" w:line="480" w:lineRule="auto"/>
        <w:jc w:val="both"/>
        <w:rPr>
          <w:rFonts w:ascii="Times New Roman" w:hAnsi="Times New Roman" w:cs="Times New Roman"/>
          <w:sz w:val="24"/>
          <w:szCs w:val="24"/>
        </w:rPr>
      </w:pPr>
    </w:p>
    <w:p w14:paraId="62E57676" w14:textId="055CDDDE" w:rsidR="00FD3266" w:rsidRDefault="00FD3266" w:rsidP="00171E29">
      <w:pPr>
        <w:spacing w:after="0" w:line="480" w:lineRule="auto"/>
        <w:jc w:val="both"/>
        <w:rPr>
          <w:rFonts w:ascii="Times New Roman" w:hAnsi="Times New Roman" w:cs="Times New Roman"/>
          <w:b/>
          <w:bCs/>
          <w:sz w:val="24"/>
          <w:szCs w:val="24"/>
        </w:rPr>
      </w:pPr>
      <w:r w:rsidRPr="003D5910">
        <w:rPr>
          <w:rFonts w:ascii="Times New Roman" w:hAnsi="Times New Roman" w:cs="Times New Roman"/>
          <w:b/>
          <w:bCs/>
          <w:sz w:val="24"/>
          <w:szCs w:val="24"/>
        </w:rPr>
        <w:t>Mutasi somatik dalam CACNA1D</w:t>
      </w:r>
    </w:p>
    <w:p w14:paraId="56B84505" w14:textId="77777777" w:rsidR="00171E29" w:rsidRPr="003D5910" w:rsidRDefault="00171E29" w:rsidP="00171E29">
      <w:pPr>
        <w:spacing w:after="0" w:line="480" w:lineRule="auto"/>
        <w:jc w:val="both"/>
        <w:rPr>
          <w:rFonts w:ascii="Times New Roman" w:hAnsi="Times New Roman" w:cs="Times New Roman"/>
          <w:b/>
          <w:bCs/>
          <w:sz w:val="24"/>
          <w:szCs w:val="24"/>
        </w:rPr>
      </w:pPr>
    </w:p>
    <w:p w14:paraId="17FE7D0A" w14:textId="51683DF5" w:rsidR="00FD3266" w:rsidRDefault="00FD3266" w:rsidP="00171E29">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Gen CACNA1D enkod Cav 1.3 yang terletak di atas kromosom 3p14.3. CACNA1D adalah satu gen besar dengan 49 exons dan tergolong dalam keluarga saluran kalsium Cav1. Saluran-saluran Cav1 terbentuk daripada lima subunit iaitu α1, α2, β, γ and δ. α1 subunit adalah subunit yang membentuk liang bagi saluran Cav 1.3. CACNA1D diekspresi di dalam ZG dan dalam </w:t>
      </w:r>
      <w:r w:rsidRPr="001E746E">
        <w:rPr>
          <w:rFonts w:ascii="Times New Roman" w:hAnsi="Times New Roman" w:cs="Times New Roman"/>
          <w:sz w:val="24"/>
          <w:szCs w:val="24"/>
        </w:rPr>
        <w:lastRenderedPageBreak/>
        <w:t xml:space="preserve">banyak tisu-tisu yang lain seperti hati, neuron dan lain-lain. Dengan melakukan exom penjujukan, Scholl et al. (2013) telah mengenal pasti mutasi de Novo dalam gen CACNA1D. Mutasi yang telah dikenalpasti adalah pada p. G403R dan p. I770M. Ujikaji elektrofisiologi mendedahkan bahawa saluran mutan terbuka awal (berpotensi rendah) dan mempunyai pengaktifan yang berterusan. Pengaktifan awal pada depolarisasi yang lebih rendah membawa kepada peningkatan kemasukan Ca2+ yang dikaitkan dengan peningkatan pengeluaran aldosteron (Scholl et al. 2013). </w:t>
      </w:r>
    </w:p>
    <w:p w14:paraId="271DC29D" w14:textId="77777777" w:rsidR="00171E29" w:rsidRPr="001E746E" w:rsidRDefault="00171E29" w:rsidP="00171E29">
      <w:pPr>
        <w:spacing w:after="0" w:line="480" w:lineRule="auto"/>
        <w:jc w:val="both"/>
        <w:rPr>
          <w:rFonts w:ascii="Times New Roman" w:hAnsi="Times New Roman" w:cs="Times New Roman"/>
          <w:sz w:val="24"/>
          <w:szCs w:val="24"/>
        </w:rPr>
      </w:pPr>
    </w:p>
    <w:p w14:paraId="06691569" w14:textId="0DE6FC00" w:rsidR="00FD3266" w:rsidRDefault="00FD3266" w:rsidP="00171E29">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Sama seperti APA yang mempunyai mutasi ATP1A1 dan ATP2B3, APA yang mempunyai mutasi CACNA1D dicirikan mempunyai sel yang kelihatan seperti ZG kelenjar adrenal (Azizan et al. 2013). Namun, berlainan dengan KCNJ5, ATP1A1 dan ATP2B3, mutasi-mutasi yang berlaku didalam CACNA1D tidak dijumpai di domain-domain yang tertentu tetapi seluruh gen tersebut (Jadual 1). Mutasi CACNA1D kebanyakannya ditemui dalam kalangan lelaki dan dianggarkan 3–11% APA mempunyai mutasi ini (Akerstrom et al. 2015; Scholl et al. 2015). Yang menariknya, melalui kajian penjujukan exom, Pinggera et al. (2015) telah mengenalpasti mutasi de novo, p. A749G dan p. G407R dalam CACNA1D, pada pesakit yang menghidapi autisme dan kecacatan intelektual.</w:t>
      </w:r>
    </w:p>
    <w:p w14:paraId="715E5581" w14:textId="77777777" w:rsidR="00171E29" w:rsidRPr="001E746E" w:rsidRDefault="00171E29" w:rsidP="00171E29">
      <w:pPr>
        <w:spacing w:after="0" w:line="480" w:lineRule="auto"/>
        <w:jc w:val="both"/>
        <w:rPr>
          <w:rFonts w:ascii="Times New Roman" w:hAnsi="Times New Roman" w:cs="Times New Roman"/>
          <w:sz w:val="24"/>
          <w:szCs w:val="24"/>
        </w:rPr>
      </w:pPr>
    </w:p>
    <w:p w14:paraId="72B3AF6D" w14:textId="2182C545" w:rsidR="00FD3266" w:rsidRDefault="00FD3266" w:rsidP="00171E29">
      <w:pPr>
        <w:spacing w:after="0" w:line="480" w:lineRule="auto"/>
        <w:jc w:val="both"/>
        <w:rPr>
          <w:rFonts w:ascii="Times New Roman" w:hAnsi="Times New Roman" w:cs="Times New Roman"/>
          <w:b/>
          <w:bCs/>
          <w:sz w:val="24"/>
          <w:szCs w:val="24"/>
        </w:rPr>
      </w:pPr>
      <w:r w:rsidRPr="0003319C">
        <w:rPr>
          <w:rFonts w:ascii="Times New Roman" w:hAnsi="Times New Roman" w:cs="Times New Roman"/>
          <w:b/>
          <w:bCs/>
          <w:sz w:val="24"/>
          <w:szCs w:val="24"/>
        </w:rPr>
        <w:t>Mutasi somatik dalam CTNNB1</w:t>
      </w:r>
    </w:p>
    <w:p w14:paraId="30D69FF7" w14:textId="77777777" w:rsidR="00171E29" w:rsidRPr="0003319C" w:rsidRDefault="00171E29" w:rsidP="00171E29">
      <w:pPr>
        <w:spacing w:after="0" w:line="480" w:lineRule="auto"/>
        <w:jc w:val="both"/>
        <w:rPr>
          <w:rFonts w:ascii="Times New Roman" w:hAnsi="Times New Roman" w:cs="Times New Roman"/>
          <w:b/>
          <w:bCs/>
          <w:sz w:val="24"/>
          <w:szCs w:val="24"/>
        </w:rPr>
      </w:pPr>
    </w:p>
    <w:p w14:paraId="725DD8B0" w14:textId="4984EFAD" w:rsidR="00FD3266" w:rsidRDefault="00FD3266" w:rsidP="00091E0F">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Rangkaian WNT adalah penting bagi fisiologi korteks adrenal dan lebih tepat lagi, fisiologi zona glomerulosa. Mutasi di exon 3 gen CTNNB1 (yang mengekod β-catenin), boleh menyebabkan β-catenin sentiasa aktif. Mutasi yang menjejaskan kawasan exon 3 ini membawa kepada pengaktifan yang tidak melalui rangkaian normal WNT (Bjorklund et al. 2008). Kajian terdahulu memang melaporkan bahawa signal WNT yang aktif jelas terlihat di dalam APA. </w:t>
      </w:r>
      <w:r w:rsidRPr="001E746E">
        <w:rPr>
          <w:rFonts w:ascii="Times New Roman" w:hAnsi="Times New Roman" w:cs="Times New Roman"/>
          <w:sz w:val="24"/>
          <w:szCs w:val="24"/>
        </w:rPr>
        <w:lastRenderedPageBreak/>
        <w:t xml:space="preserve">Namun, mutasi CTNNB1 juga telah dilaporkan di dalam adenoma adrenal yang merembeskan kortisol atau yang tidak merembeskan mana-mana hormon (Boulkroun et al. 2011). Ujikaji penjujukan bebas telah menunjukkan mutasi CTNNB1 terjadi di dalam APA (Azizan et al. 2013). </w:t>
      </w:r>
    </w:p>
    <w:p w14:paraId="0BEB9917" w14:textId="77777777" w:rsidR="00091E0F" w:rsidRPr="001E746E" w:rsidRDefault="00091E0F" w:rsidP="00091E0F">
      <w:pPr>
        <w:spacing w:after="0" w:line="480" w:lineRule="auto"/>
        <w:jc w:val="both"/>
        <w:rPr>
          <w:rFonts w:ascii="Times New Roman" w:hAnsi="Times New Roman" w:cs="Times New Roman"/>
          <w:sz w:val="24"/>
          <w:szCs w:val="24"/>
        </w:rPr>
      </w:pPr>
    </w:p>
    <w:p w14:paraId="0B3FC06B" w14:textId="31CF4D61" w:rsidR="00FD3266" w:rsidRDefault="00FD3266" w:rsidP="00857F7A">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Di dalam korteks adrenal tikus transgenik, Durand et al. (2011) telah melaporkan bahawa pengaktifan β-catenin telah menyebabkan steroidogenesis progresif, adrenal hyperplasia, dan rembesan aldosteron yang berlebihan. Manakala ekspresi β-catenin yang berlebihan di dalam karsinoma adrenal kortikal (ACC) telah dikaitkan dengan prognosis yang lebih teruk (Durand et al. 2011). Ini mencadangkan kemungkinan bahawa signal β-catenin berperanan bagi pembentukan adenoma. Namun, di dalam APA, mutasi CTNNB1 hanya dilaporkan menyebabkan peningkatan dan pengaktifan WNT y</w:t>
      </w:r>
      <w:r w:rsidR="00DE4015">
        <w:rPr>
          <w:rFonts w:ascii="Times New Roman" w:hAnsi="Times New Roman" w:cs="Times New Roman"/>
          <w:sz w:val="24"/>
          <w:szCs w:val="24"/>
        </w:rPr>
        <w:t>ang tidak normal (Durand et al.</w:t>
      </w:r>
      <w:r w:rsidRPr="001E746E">
        <w:rPr>
          <w:rFonts w:ascii="Times New Roman" w:hAnsi="Times New Roman" w:cs="Times New Roman"/>
          <w:sz w:val="24"/>
          <w:szCs w:val="24"/>
        </w:rPr>
        <w:t xml:space="preserve"> 2011). Mutasi CTNNB1 telah dijumpai di dalam 3.7- 5.1% kes APA (Wu et al. 2017). Kini, kes-kes APA yang mempunyai mutasi β-catenin telah mempamerkan tahap reseptor LHCG dan reseptor GNRH yang tinggi dalam tiga wanita (dua semasa mengandung dan satu semasa postmenopaus) (Teo et al. 2015). Dicadangkan di dalam laporan tersebut bahawa pengaktifan WNT menyebabkan sel adrenokortikal membeza ke arah sel prekursor adrenal-gonadal (Teo et al. 2015). </w:t>
      </w:r>
    </w:p>
    <w:p w14:paraId="2BE530C8" w14:textId="77777777" w:rsidR="00777534" w:rsidRDefault="00777534" w:rsidP="00857F7A">
      <w:pPr>
        <w:spacing w:after="0" w:line="480" w:lineRule="auto"/>
        <w:jc w:val="both"/>
        <w:rPr>
          <w:rFonts w:ascii="Times New Roman" w:hAnsi="Times New Roman" w:cs="Times New Roman"/>
          <w:sz w:val="24"/>
          <w:szCs w:val="24"/>
        </w:rPr>
      </w:pPr>
    </w:p>
    <w:p w14:paraId="192CF228" w14:textId="77777777" w:rsidR="00EE1680" w:rsidRPr="00EE1680" w:rsidRDefault="00EE1680" w:rsidP="00EE1680">
      <w:pPr>
        <w:widowControl w:val="0"/>
        <w:wordWrap w:val="0"/>
        <w:autoSpaceDE w:val="0"/>
        <w:autoSpaceDN w:val="0"/>
        <w:spacing w:after="0" w:line="360" w:lineRule="auto"/>
        <w:jc w:val="center"/>
        <w:rPr>
          <w:rFonts w:ascii="Times New Roman" w:eastAsia="SimSun" w:hAnsi="Times New Roman" w:cs="Times New Roman"/>
          <w:b/>
          <w:kern w:val="2"/>
          <w:sz w:val="24"/>
          <w:szCs w:val="24"/>
          <w:lang w:val="en-US" w:eastAsia="ko-KR"/>
        </w:rPr>
      </w:pPr>
      <w:r w:rsidRPr="00EE1680">
        <w:rPr>
          <w:rFonts w:ascii="Times New Roman" w:eastAsia="SimSun" w:hAnsi="Times New Roman" w:cs="Times New Roman"/>
          <w:b/>
          <w:kern w:val="2"/>
          <w:sz w:val="24"/>
          <w:szCs w:val="24"/>
          <w:lang w:val="en-US" w:eastAsia="ko-KR"/>
        </w:rPr>
        <w:t xml:space="preserve">Jadual 1. Mutasi somatik dan lokasi kromosom </w:t>
      </w:r>
    </w:p>
    <w:tbl>
      <w:tblPr>
        <w:tblStyle w:val="LightShading2"/>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007"/>
        <w:gridCol w:w="2940"/>
      </w:tblGrid>
      <w:tr w:rsidR="00EE1680" w:rsidRPr="006600C8" w14:paraId="41CD90E4" w14:textId="77777777" w:rsidTr="00350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tcBorders>
              <w:top w:val="none" w:sz="0" w:space="0" w:color="auto"/>
              <w:left w:val="none" w:sz="0" w:space="0" w:color="auto"/>
              <w:bottom w:val="single" w:sz="4" w:space="0" w:color="auto"/>
              <w:right w:val="none" w:sz="0" w:space="0" w:color="auto"/>
            </w:tcBorders>
            <w:shd w:val="clear" w:color="auto" w:fill="auto"/>
          </w:tcPr>
          <w:p w14:paraId="6C52999B" w14:textId="77777777" w:rsidR="00EE1680" w:rsidRPr="006600C8" w:rsidRDefault="00EE1680" w:rsidP="00350B09">
            <w:pPr>
              <w:jc w:val="center"/>
              <w:rPr>
                <w:rFonts w:ascii="Times New Roman" w:hAnsi="Times New Roman" w:cs="Times New Roman"/>
                <w:sz w:val="24"/>
                <w:szCs w:val="24"/>
              </w:rPr>
            </w:pPr>
            <w:r w:rsidRPr="006600C8">
              <w:rPr>
                <w:rFonts w:ascii="Times New Roman" w:hAnsi="Times New Roman" w:cs="Times New Roman"/>
                <w:sz w:val="24"/>
                <w:szCs w:val="24"/>
              </w:rPr>
              <w:t>Gen</w:t>
            </w:r>
          </w:p>
        </w:tc>
        <w:tc>
          <w:tcPr>
            <w:tcW w:w="3007" w:type="dxa"/>
            <w:tcBorders>
              <w:top w:val="none" w:sz="0" w:space="0" w:color="auto"/>
              <w:left w:val="none" w:sz="0" w:space="0" w:color="auto"/>
              <w:bottom w:val="single" w:sz="4" w:space="0" w:color="auto"/>
              <w:right w:val="none" w:sz="0" w:space="0" w:color="auto"/>
            </w:tcBorders>
            <w:shd w:val="clear" w:color="auto" w:fill="auto"/>
          </w:tcPr>
          <w:p w14:paraId="37DBCE8A" w14:textId="77777777" w:rsidR="00EE1680" w:rsidRPr="006600C8" w:rsidRDefault="00EE1680" w:rsidP="00350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Mu</w:t>
            </w:r>
            <w:r>
              <w:rPr>
                <w:rFonts w:ascii="Times New Roman" w:hAnsi="Times New Roman" w:cs="Times New Roman"/>
                <w:sz w:val="24"/>
                <w:szCs w:val="24"/>
              </w:rPr>
              <w:t>tasi</w:t>
            </w:r>
          </w:p>
        </w:tc>
        <w:tc>
          <w:tcPr>
            <w:tcW w:w="2940" w:type="dxa"/>
            <w:tcBorders>
              <w:top w:val="none" w:sz="0" w:space="0" w:color="auto"/>
              <w:left w:val="none" w:sz="0" w:space="0" w:color="auto"/>
              <w:bottom w:val="single" w:sz="4" w:space="0" w:color="auto"/>
              <w:right w:val="none" w:sz="0" w:space="0" w:color="auto"/>
            </w:tcBorders>
            <w:shd w:val="clear" w:color="auto" w:fill="auto"/>
          </w:tcPr>
          <w:p w14:paraId="068F4819" w14:textId="77777777" w:rsidR="00EE1680" w:rsidRPr="006600C8" w:rsidRDefault="00EE1680" w:rsidP="00350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Rujukan</w:t>
            </w:r>
          </w:p>
        </w:tc>
      </w:tr>
      <w:tr w:rsidR="00EE1680" w:rsidRPr="006600C8" w14:paraId="3CB27FD8"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val="restart"/>
            <w:tcBorders>
              <w:left w:val="single" w:sz="4" w:space="0" w:color="auto"/>
              <w:right w:val="single" w:sz="4" w:space="0" w:color="auto"/>
            </w:tcBorders>
            <w:shd w:val="clear" w:color="auto" w:fill="auto"/>
          </w:tcPr>
          <w:p w14:paraId="063C624F" w14:textId="77777777" w:rsidR="00EE1680" w:rsidRPr="006600C8" w:rsidRDefault="00EE1680" w:rsidP="00350B09">
            <w:pPr>
              <w:jc w:val="both"/>
              <w:rPr>
                <w:rFonts w:ascii="Times New Roman" w:hAnsi="Times New Roman" w:cs="Times New Roman"/>
                <w:i/>
                <w:color w:val="FF0000"/>
                <w:sz w:val="24"/>
                <w:szCs w:val="24"/>
                <w:highlight w:val="yellow"/>
              </w:rPr>
            </w:pPr>
            <w:r w:rsidRPr="006600C8">
              <w:rPr>
                <w:rFonts w:ascii="Times New Roman" w:hAnsi="Times New Roman" w:cs="Times New Roman"/>
                <w:i/>
                <w:sz w:val="24"/>
                <w:szCs w:val="24"/>
              </w:rPr>
              <w:t>KCNJ5</w:t>
            </w:r>
          </w:p>
        </w:tc>
        <w:tc>
          <w:tcPr>
            <w:tcW w:w="3007" w:type="dxa"/>
            <w:tcBorders>
              <w:left w:val="single" w:sz="4" w:space="0" w:color="auto"/>
              <w:right w:val="single" w:sz="4" w:space="0" w:color="auto"/>
            </w:tcBorders>
            <w:shd w:val="clear" w:color="auto" w:fill="auto"/>
          </w:tcPr>
          <w:p w14:paraId="55941E4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R115W</w:t>
            </w:r>
          </w:p>
        </w:tc>
        <w:tc>
          <w:tcPr>
            <w:tcW w:w="2940" w:type="dxa"/>
            <w:tcBorders>
              <w:left w:val="single" w:sz="4" w:space="0" w:color="auto"/>
              <w:right w:val="single" w:sz="4" w:space="0" w:color="auto"/>
            </w:tcBorders>
            <w:shd w:val="clear" w:color="auto" w:fill="auto"/>
          </w:tcPr>
          <w:p w14:paraId="2E598E3D" w14:textId="516DDFB4"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Cheng et al. 2015</w:t>
            </w:r>
          </w:p>
        </w:tc>
      </w:tr>
      <w:tr w:rsidR="00EE1680" w:rsidRPr="006600C8" w14:paraId="10A8D471"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6DF5876"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61517C4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W126R</w:t>
            </w:r>
          </w:p>
        </w:tc>
        <w:tc>
          <w:tcPr>
            <w:tcW w:w="2940" w:type="dxa"/>
            <w:tcBorders>
              <w:left w:val="single" w:sz="4" w:space="0" w:color="auto"/>
              <w:right w:val="single" w:sz="4" w:space="0" w:color="auto"/>
            </w:tcBorders>
            <w:shd w:val="clear" w:color="auto" w:fill="auto"/>
          </w:tcPr>
          <w:p w14:paraId="0E19D90F"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Williams et al. 2014</w:t>
            </w:r>
          </w:p>
        </w:tc>
      </w:tr>
      <w:tr w:rsidR="00EE1680" w:rsidRPr="006600C8" w14:paraId="219C60D0"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7EAAB2C"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40B592B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I144_E145insAI</w:t>
            </w:r>
          </w:p>
        </w:tc>
        <w:tc>
          <w:tcPr>
            <w:tcW w:w="2940" w:type="dxa"/>
            <w:tcBorders>
              <w:left w:val="single" w:sz="4" w:space="0" w:color="auto"/>
              <w:right w:val="single" w:sz="4" w:space="0" w:color="auto"/>
            </w:tcBorders>
            <w:shd w:val="clear" w:color="auto" w:fill="auto"/>
          </w:tcPr>
          <w:p w14:paraId="10C99D1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Scholl et al. 2015</w:t>
            </w:r>
          </w:p>
        </w:tc>
      </w:tr>
      <w:tr w:rsidR="00EE1680" w:rsidRPr="006600C8" w14:paraId="69DF60C9"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73ABCCB"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7369782E"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E145K</w:t>
            </w:r>
          </w:p>
        </w:tc>
        <w:tc>
          <w:tcPr>
            <w:tcW w:w="2940" w:type="dxa"/>
            <w:tcBorders>
              <w:left w:val="single" w:sz="4" w:space="0" w:color="auto"/>
              <w:right w:val="single" w:sz="4" w:space="0" w:color="auto"/>
            </w:tcBorders>
            <w:shd w:val="clear" w:color="auto" w:fill="auto"/>
          </w:tcPr>
          <w:p w14:paraId="3034850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Azizan et al. 2012</w:t>
            </w:r>
          </w:p>
        </w:tc>
      </w:tr>
      <w:tr w:rsidR="00EE1680" w:rsidRPr="006600C8" w14:paraId="6C8082E6"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990EEAA"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0820BBF7"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E145Q</w:t>
            </w:r>
          </w:p>
        </w:tc>
        <w:tc>
          <w:tcPr>
            <w:tcW w:w="2940" w:type="dxa"/>
            <w:tcBorders>
              <w:left w:val="single" w:sz="4" w:space="0" w:color="auto"/>
              <w:right w:val="single" w:sz="4" w:space="0" w:color="auto"/>
            </w:tcBorders>
            <w:shd w:val="clear" w:color="auto" w:fill="auto"/>
          </w:tcPr>
          <w:p w14:paraId="6AD79BCA"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Akerstrom et al. 2012</w:t>
            </w:r>
          </w:p>
        </w:tc>
      </w:tr>
      <w:tr w:rsidR="00EE1680" w:rsidRPr="006600C8" w14:paraId="3422262C"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92AAEC3"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157F3666"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E147Q_T149_I150insTTT</w:t>
            </w:r>
          </w:p>
        </w:tc>
        <w:tc>
          <w:tcPr>
            <w:tcW w:w="2940" w:type="dxa"/>
            <w:tcBorders>
              <w:left w:val="single" w:sz="4" w:space="0" w:color="auto"/>
              <w:right w:val="single" w:sz="4" w:space="0" w:color="auto"/>
            </w:tcBorders>
            <w:shd w:val="clear" w:color="auto" w:fill="auto"/>
          </w:tcPr>
          <w:p w14:paraId="4C56AC7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Wang et al. 2015</w:t>
            </w:r>
          </w:p>
        </w:tc>
      </w:tr>
      <w:tr w:rsidR="00EE1680" w:rsidRPr="006600C8" w14:paraId="4AED5B8D"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D1F2587"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4EEF60B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T148_T149insR</w:t>
            </w:r>
          </w:p>
        </w:tc>
        <w:tc>
          <w:tcPr>
            <w:tcW w:w="2940" w:type="dxa"/>
            <w:tcBorders>
              <w:left w:val="single" w:sz="4" w:space="0" w:color="auto"/>
              <w:right w:val="single" w:sz="4" w:space="0" w:color="auto"/>
            </w:tcBorders>
            <w:shd w:val="clear" w:color="auto" w:fill="auto"/>
          </w:tcPr>
          <w:p w14:paraId="505E40EB"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6600C8">
              <w:rPr>
                <w:rFonts w:ascii="Times New Roman" w:hAnsi="Times New Roman" w:cs="Times New Roman"/>
                <w:sz w:val="24"/>
                <w:szCs w:val="24"/>
              </w:rPr>
              <w:t>Zheng et al. 2015</w:t>
            </w:r>
          </w:p>
        </w:tc>
      </w:tr>
      <w:tr w:rsidR="00EE1680" w:rsidRPr="006600C8" w14:paraId="2C346EDB"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EDE0472"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765D432E"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T149_I150insT</w:t>
            </w:r>
          </w:p>
        </w:tc>
        <w:tc>
          <w:tcPr>
            <w:tcW w:w="2940" w:type="dxa"/>
            <w:tcBorders>
              <w:left w:val="single" w:sz="4" w:space="0" w:color="auto"/>
              <w:right w:val="single" w:sz="4" w:space="0" w:color="auto"/>
            </w:tcBorders>
            <w:shd w:val="clear" w:color="auto" w:fill="auto"/>
          </w:tcPr>
          <w:p w14:paraId="72E73DA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lang w:eastAsia="ko-KR"/>
              </w:rPr>
            </w:pPr>
            <w:r w:rsidRPr="006600C8">
              <w:rPr>
                <w:rFonts w:ascii="Times New Roman" w:hAnsi="Times New Roman" w:cs="Times New Roman"/>
                <w:kern w:val="2"/>
                <w:sz w:val="24"/>
                <w:szCs w:val="24"/>
                <w:lang w:eastAsia="ko-KR"/>
              </w:rPr>
              <w:t>Kuppusamy et al. 2014</w:t>
            </w:r>
          </w:p>
        </w:tc>
      </w:tr>
      <w:tr w:rsidR="00EE1680" w:rsidRPr="006600C8" w14:paraId="423E062B"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28D9CE6"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3DC91F7D"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red"/>
              </w:rPr>
            </w:pPr>
            <w:r w:rsidRPr="006600C8">
              <w:rPr>
                <w:rFonts w:ascii="Times New Roman" w:hAnsi="Times New Roman" w:cs="Times New Roman"/>
                <w:sz w:val="24"/>
                <w:szCs w:val="24"/>
              </w:rPr>
              <w:t xml:space="preserve">I150_G151insM </w:t>
            </w:r>
          </w:p>
        </w:tc>
        <w:tc>
          <w:tcPr>
            <w:tcW w:w="2940" w:type="dxa"/>
            <w:tcBorders>
              <w:left w:val="single" w:sz="4" w:space="0" w:color="auto"/>
              <w:right w:val="single" w:sz="4" w:space="0" w:color="auto"/>
            </w:tcBorders>
            <w:shd w:val="clear" w:color="auto" w:fill="auto"/>
          </w:tcPr>
          <w:p w14:paraId="67C9C2AB"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Scholl et al. 2015</w:t>
            </w:r>
          </w:p>
        </w:tc>
      </w:tr>
      <w:tr w:rsidR="00EE1680" w:rsidRPr="006600C8" w14:paraId="767CE332"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07F769C"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14F63A75"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G151E*</w:t>
            </w:r>
          </w:p>
        </w:tc>
        <w:tc>
          <w:tcPr>
            <w:tcW w:w="2940" w:type="dxa"/>
            <w:tcBorders>
              <w:left w:val="single" w:sz="4" w:space="0" w:color="auto"/>
              <w:right w:val="single" w:sz="4" w:space="0" w:color="auto"/>
            </w:tcBorders>
            <w:shd w:val="clear" w:color="auto" w:fill="auto"/>
          </w:tcPr>
          <w:p w14:paraId="452D50AD"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Scholl et al 2012</w:t>
            </w:r>
          </w:p>
        </w:tc>
      </w:tr>
      <w:tr w:rsidR="00EE1680" w:rsidRPr="006600C8" w14:paraId="05D34CE7"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024FA03"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159820E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G151R*</w:t>
            </w:r>
          </w:p>
        </w:tc>
        <w:tc>
          <w:tcPr>
            <w:tcW w:w="2940" w:type="dxa"/>
            <w:tcBorders>
              <w:left w:val="single" w:sz="4" w:space="0" w:color="auto"/>
              <w:right w:val="single" w:sz="4" w:space="0" w:color="auto"/>
            </w:tcBorders>
            <w:shd w:val="clear" w:color="auto" w:fill="auto"/>
          </w:tcPr>
          <w:p w14:paraId="08321EC6"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Choi et al. 2011</w:t>
            </w:r>
          </w:p>
        </w:tc>
      </w:tr>
      <w:tr w:rsidR="00EE1680" w:rsidRPr="006600C8" w14:paraId="1A90F182"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639EB86"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470D309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G153_G164dup</w:t>
            </w:r>
          </w:p>
        </w:tc>
        <w:tc>
          <w:tcPr>
            <w:tcW w:w="2940" w:type="dxa"/>
            <w:tcBorders>
              <w:left w:val="single" w:sz="4" w:space="0" w:color="auto"/>
              <w:right w:val="single" w:sz="4" w:space="0" w:color="auto"/>
            </w:tcBorders>
            <w:shd w:val="clear" w:color="auto" w:fill="auto"/>
          </w:tcPr>
          <w:p w14:paraId="600E2AE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Wang et al. 2015</w:t>
            </w:r>
          </w:p>
        </w:tc>
      </w:tr>
      <w:tr w:rsidR="00EE1680" w:rsidRPr="006600C8" w14:paraId="17EAEE9E"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58DB8EE"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68FC5ED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F154C</w:t>
            </w:r>
          </w:p>
        </w:tc>
        <w:tc>
          <w:tcPr>
            <w:tcW w:w="2940" w:type="dxa"/>
            <w:tcBorders>
              <w:left w:val="single" w:sz="4" w:space="0" w:color="auto"/>
              <w:right w:val="single" w:sz="4" w:space="0" w:color="auto"/>
            </w:tcBorders>
            <w:shd w:val="clear" w:color="auto" w:fill="auto"/>
          </w:tcPr>
          <w:p w14:paraId="34CF8340"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 xml:space="preserve">Choi et al. 2011 </w:t>
            </w:r>
          </w:p>
        </w:tc>
      </w:tr>
      <w:tr w:rsidR="00EE1680" w:rsidRPr="006600C8" w14:paraId="20392105"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AD0D800"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28FB3F1C"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I157del</w:t>
            </w:r>
          </w:p>
        </w:tc>
        <w:tc>
          <w:tcPr>
            <w:tcW w:w="2940" w:type="dxa"/>
            <w:tcBorders>
              <w:left w:val="single" w:sz="4" w:space="0" w:color="auto"/>
              <w:right w:val="single" w:sz="4" w:space="0" w:color="auto"/>
            </w:tcBorders>
            <w:shd w:val="clear" w:color="auto" w:fill="auto"/>
          </w:tcPr>
          <w:p w14:paraId="49B0D71C"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Azizan et al. 2012</w:t>
            </w:r>
          </w:p>
        </w:tc>
      </w:tr>
      <w:tr w:rsidR="00EE1680" w:rsidRPr="006600C8" w14:paraId="054C0FA2"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AB47A1C"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08BD4DFB"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I157K</w:t>
            </w:r>
          </w:p>
        </w:tc>
        <w:tc>
          <w:tcPr>
            <w:tcW w:w="2940" w:type="dxa"/>
            <w:tcBorders>
              <w:left w:val="single" w:sz="4" w:space="0" w:color="auto"/>
              <w:right w:val="single" w:sz="4" w:space="0" w:color="auto"/>
            </w:tcBorders>
            <w:shd w:val="clear" w:color="auto" w:fill="auto"/>
          </w:tcPr>
          <w:p w14:paraId="61654670"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Scholl et al. 2015</w:t>
            </w:r>
          </w:p>
        </w:tc>
      </w:tr>
      <w:tr w:rsidR="00EE1680" w:rsidRPr="006600C8" w14:paraId="3AEA057C"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2005E44"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732D3B2E"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T158A*</w:t>
            </w:r>
          </w:p>
        </w:tc>
        <w:tc>
          <w:tcPr>
            <w:tcW w:w="2940" w:type="dxa"/>
            <w:tcBorders>
              <w:left w:val="single" w:sz="4" w:space="0" w:color="auto"/>
              <w:right w:val="single" w:sz="4" w:space="0" w:color="auto"/>
            </w:tcBorders>
            <w:shd w:val="clear" w:color="auto" w:fill="auto"/>
          </w:tcPr>
          <w:p w14:paraId="294443CE"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Mulatero et al. 2012</w:t>
            </w:r>
          </w:p>
        </w:tc>
      </w:tr>
      <w:tr w:rsidR="00EE1680" w:rsidRPr="006600C8" w14:paraId="64674BC0"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EE1431C"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bottom w:val="single" w:sz="4" w:space="0" w:color="auto"/>
              <w:right w:val="single" w:sz="4" w:space="0" w:color="auto"/>
            </w:tcBorders>
            <w:shd w:val="clear" w:color="auto" w:fill="auto"/>
          </w:tcPr>
          <w:p w14:paraId="62D85393"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L168R</w:t>
            </w:r>
          </w:p>
        </w:tc>
        <w:tc>
          <w:tcPr>
            <w:tcW w:w="2940" w:type="dxa"/>
            <w:tcBorders>
              <w:left w:val="single" w:sz="4" w:space="0" w:color="auto"/>
              <w:bottom w:val="single" w:sz="4" w:space="0" w:color="auto"/>
              <w:right w:val="single" w:sz="4" w:space="0" w:color="auto"/>
            </w:tcBorders>
            <w:shd w:val="clear" w:color="auto" w:fill="auto"/>
          </w:tcPr>
          <w:p w14:paraId="200B166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Choi et al. 2011</w:t>
            </w:r>
          </w:p>
        </w:tc>
      </w:tr>
      <w:tr w:rsidR="00EE1680" w:rsidRPr="006600C8" w14:paraId="6D4383B8"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bottom w:val="single" w:sz="4" w:space="0" w:color="auto"/>
              <w:right w:val="single" w:sz="4" w:space="0" w:color="auto"/>
            </w:tcBorders>
            <w:shd w:val="clear" w:color="auto" w:fill="auto"/>
          </w:tcPr>
          <w:p w14:paraId="69D1F8E3" w14:textId="77777777" w:rsidR="00EE1680" w:rsidRPr="006600C8" w:rsidRDefault="00EE1680" w:rsidP="00350B09">
            <w:pPr>
              <w:jc w:val="both"/>
              <w:rPr>
                <w:rFonts w:ascii="Times New Roman" w:hAnsi="Times New Roman" w:cs="Times New Roman"/>
                <w:i/>
                <w:color w:val="FF0000"/>
                <w:sz w:val="24"/>
                <w:szCs w:val="24"/>
              </w:rPr>
            </w:pPr>
          </w:p>
        </w:tc>
        <w:tc>
          <w:tcPr>
            <w:tcW w:w="3007" w:type="dxa"/>
            <w:tcBorders>
              <w:left w:val="single" w:sz="4" w:space="0" w:color="auto"/>
              <w:bottom w:val="single" w:sz="4" w:space="0" w:color="auto"/>
              <w:right w:val="single" w:sz="4" w:space="0" w:color="auto"/>
            </w:tcBorders>
            <w:shd w:val="clear" w:color="auto" w:fill="auto"/>
          </w:tcPr>
          <w:p w14:paraId="37460B2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E246G</w:t>
            </w:r>
          </w:p>
        </w:tc>
        <w:tc>
          <w:tcPr>
            <w:tcW w:w="2940" w:type="dxa"/>
            <w:tcBorders>
              <w:left w:val="single" w:sz="4" w:space="0" w:color="auto"/>
              <w:bottom w:val="single" w:sz="4" w:space="0" w:color="auto"/>
              <w:right w:val="single" w:sz="4" w:space="0" w:color="auto"/>
            </w:tcBorders>
            <w:shd w:val="clear" w:color="auto" w:fill="auto"/>
          </w:tcPr>
          <w:p w14:paraId="1525FC0F"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Chaoi et al. 2011</w:t>
            </w:r>
          </w:p>
        </w:tc>
      </w:tr>
      <w:tr w:rsidR="00EE1680" w:rsidRPr="006600C8" w14:paraId="0D62F496"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val="restart"/>
            <w:tcBorders>
              <w:left w:val="single" w:sz="4" w:space="0" w:color="auto"/>
              <w:right w:val="single" w:sz="4" w:space="0" w:color="auto"/>
            </w:tcBorders>
            <w:shd w:val="clear" w:color="auto" w:fill="auto"/>
          </w:tcPr>
          <w:p w14:paraId="5221137E" w14:textId="77777777" w:rsidR="00EE1680" w:rsidRPr="006600C8" w:rsidRDefault="00EE1680" w:rsidP="00350B09">
            <w:pPr>
              <w:jc w:val="both"/>
              <w:rPr>
                <w:rFonts w:ascii="Times New Roman" w:hAnsi="Times New Roman" w:cs="Times New Roman"/>
                <w:i/>
                <w:sz w:val="24"/>
                <w:szCs w:val="24"/>
              </w:rPr>
            </w:pPr>
            <w:r w:rsidRPr="006600C8">
              <w:rPr>
                <w:rFonts w:ascii="Times New Roman" w:hAnsi="Times New Roman" w:cs="Times New Roman"/>
                <w:i/>
                <w:sz w:val="24"/>
                <w:szCs w:val="24"/>
              </w:rPr>
              <w:t>ATP1A1</w:t>
            </w:r>
          </w:p>
        </w:tc>
        <w:tc>
          <w:tcPr>
            <w:tcW w:w="3007" w:type="dxa"/>
            <w:tcBorders>
              <w:left w:val="single" w:sz="4" w:space="0" w:color="auto"/>
              <w:bottom w:val="single" w:sz="4" w:space="0" w:color="auto"/>
              <w:right w:val="single" w:sz="4" w:space="0" w:color="auto"/>
            </w:tcBorders>
            <w:shd w:val="clear" w:color="auto" w:fill="auto"/>
          </w:tcPr>
          <w:p w14:paraId="59F5A71B"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G99R</w:t>
            </w:r>
          </w:p>
        </w:tc>
        <w:tc>
          <w:tcPr>
            <w:tcW w:w="2940" w:type="dxa"/>
            <w:tcBorders>
              <w:left w:val="single" w:sz="4" w:space="0" w:color="auto"/>
              <w:bottom w:val="single" w:sz="4" w:space="0" w:color="auto"/>
              <w:right w:val="single" w:sz="4" w:space="0" w:color="auto"/>
            </w:tcBorders>
            <w:shd w:val="clear" w:color="auto" w:fill="auto"/>
          </w:tcPr>
          <w:p w14:paraId="4018AAF3"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795D82D8"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84DDCD6"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4E1DB60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L104R**</w:t>
            </w:r>
          </w:p>
        </w:tc>
        <w:tc>
          <w:tcPr>
            <w:tcW w:w="2940" w:type="dxa"/>
            <w:tcBorders>
              <w:left w:val="single" w:sz="4" w:space="0" w:color="auto"/>
              <w:right w:val="single" w:sz="4" w:space="0" w:color="auto"/>
            </w:tcBorders>
            <w:shd w:val="clear" w:color="auto" w:fill="auto"/>
          </w:tcPr>
          <w:p w14:paraId="64DC7ABD"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63FEE099"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3717EAD" w14:textId="77777777" w:rsidR="00EE1680" w:rsidRPr="006600C8" w:rsidRDefault="00EE1680" w:rsidP="00350B09">
            <w:pPr>
              <w:jc w:val="center"/>
              <w:rPr>
                <w:rFonts w:ascii="Times New Roman" w:hAnsi="Times New Roman" w:cs="Times New Roman"/>
                <w:sz w:val="24"/>
                <w:szCs w:val="24"/>
              </w:rPr>
            </w:pPr>
          </w:p>
        </w:tc>
        <w:tc>
          <w:tcPr>
            <w:tcW w:w="3007" w:type="dxa"/>
            <w:tcBorders>
              <w:left w:val="single" w:sz="4" w:space="0" w:color="auto"/>
              <w:bottom w:val="single" w:sz="4" w:space="0" w:color="auto"/>
              <w:right w:val="single" w:sz="4" w:space="0" w:color="auto"/>
            </w:tcBorders>
            <w:shd w:val="clear" w:color="auto" w:fill="auto"/>
          </w:tcPr>
          <w:p w14:paraId="04155D09"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L104V**</w:t>
            </w:r>
          </w:p>
        </w:tc>
        <w:tc>
          <w:tcPr>
            <w:tcW w:w="2940" w:type="dxa"/>
            <w:tcBorders>
              <w:left w:val="single" w:sz="4" w:space="0" w:color="auto"/>
              <w:bottom w:val="single" w:sz="4" w:space="0" w:color="auto"/>
              <w:right w:val="single" w:sz="4" w:space="0" w:color="auto"/>
            </w:tcBorders>
            <w:shd w:val="clear" w:color="auto" w:fill="auto"/>
          </w:tcPr>
          <w:p w14:paraId="429EDFDC"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241F6333"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3FB3A14" w14:textId="77777777" w:rsidR="00EE1680" w:rsidRPr="006600C8" w:rsidRDefault="00EE1680" w:rsidP="00350B09">
            <w:pPr>
              <w:jc w:val="center"/>
              <w:rPr>
                <w:rFonts w:ascii="Times New Roman" w:hAnsi="Times New Roman" w:cs="Times New Roman"/>
                <w:sz w:val="24"/>
                <w:szCs w:val="24"/>
              </w:rPr>
            </w:pPr>
          </w:p>
        </w:tc>
        <w:tc>
          <w:tcPr>
            <w:tcW w:w="3007" w:type="dxa"/>
            <w:tcBorders>
              <w:left w:val="single" w:sz="4" w:space="0" w:color="auto"/>
              <w:right w:val="single" w:sz="4" w:space="0" w:color="auto"/>
            </w:tcBorders>
            <w:shd w:val="clear" w:color="auto" w:fill="auto"/>
          </w:tcPr>
          <w:p w14:paraId="17EFEBB5"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V332G**</w:t>
            </w:r>
          </w:p>
        </w:tc>
        <w:tc>
          <w:tcPr>
            <w:tcW w:w="2940" w:type="dxa"/>
            <w:tcBorders>
              <w:left w:val="single" w:sz="4" w:space="0" w:color="auto"/>
              <w:right w:val="single" w:sz="4" w:space="0" w:color="auto"/>
            </w:tcBorders>
            <w:shd w:val="clear" w:color="auto" w:fill="auto"/>
          </w:tcPr>
          <w:p w14:paraId="6A323B7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72F3EF1D"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32D6CBF" w14:textId="77777777" w:rsidR="00EE1680" w:rsidRPr="006600C8" w:rsidRDefault="00EE1680" w:rsidP="00350B09">
            <w:pPr>
              <w:jc w:val="center"/>
              <w:rPr>
                <w:rFonts w:ascii="Times New Roman" w:hAnsi="Times New Roman" w:cs="Times New Roman"/>
                <w:sz w:val="24"/>
                <w:szCs w:val="24"/>
              </w:rPr>
            </w:pPr>
          </w:p>
        </w:tc>
        <w:tc>
          <w:tcPr>
            <w:tcW w:w="3007" w:type="dxa"/>
            <w:tcBorders>
              <w:left w:val="single" w:sz="4" w:space="0" w:color="auto"/>
              <w:bottom w:val="single" w:sz="4" w:space="0" w:color="auto"/>
              <w:right w:val="single" w:sz="4" w:space="0" w:color="auto"/>
            </w:tcBorders>
            <w:shd w:val="clear" w:color="auto" w:fill="auto"/>
          </w:tcPr>
          <w:p w14:paraId="60B1D7B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E687K**</w:t>
            </w:r>
          </w:p>
        </w:tc>
        <w:tc>
          <w:tcPr>
            <w:tcW w:w="2940" w:type="dxa"/>
            <w:tcBorders>
              <w:left w:val="single" w:sz="4" w:space="0" w:color="auto"/>
              <w:bottom w:val="single" w:sz="4" w:space="0" w:color="auto"/>
              <w:right w:val="single" w:sz="4" w:space="0" w:color="auto"/>
            </w:tcBorders>
            <w:shd w:val="clear" w:color="auto" w:fill="auto"/>
          </w:tcPr>
          <w:p w14:paraId="21AC884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08D821F7"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3293302" w14:textId="77777777" w:rsidR="00EE1680" w:rsidRPr="006600C8" w:rsidRDefault="00EE1680" w:rsidP="00350B09">
            <w:pPr>
              <w:jc w:val="center"/>
              <w:rPr>
                <w:rFonts w:ascii="Times New Roman" w:hAnsi="Times New Roman" w:cs="Times New Roman"/>
                <w:sz w:val="24"/>
                <w:szCs w:val="24"/>
              </w:rPr>
            </w:pPr>
          </w:p>
        </w:tc>
        <w:tc>
          <w:tcPr>
            <w:tcW w:w="3007" w:type="dxa"/>
            <w:tcBorders>
              <w:left w:val="single" w:sz="4" w:space="0" w:color="auto"/>
              <w:bottom w:val="single" w:sz="4" w:space="0" w:color="auto"/>
              <w:right w:val="single" w:sz="4" w:space="0" w:color="auto"/>
            </w:tcBorders>
            <w:shd w:val="clear" w:color="auto" w:fill="auto"/>
          </w:tcPr>
          <w:p w14:paraId="2E9696C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M734L**</w:t>
            </w:r>
          </w:p>
        </w:tc>
        <w:tc>
          <w:tcPr>
            <w:tcW w:w="2940" w:type="dxa"/>
            <w:tcBorders>
              <w:left w:val="single" w:sz="4" w:space="0" w:color="auto"/>
              <w:bottom w:val="single" w:sz="4" w:space="0" w:color="auto"/>
              <w:right w:val="single" w:sz="4" w:space="0" w:color="auto"/>
            </w:tcBorders>
            <w:shd w:val="clear" w:color="auto" w:fill="auto"/>
          </w:tcPr>
          <w:p w14:paraId="62238CA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35409C9A"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val="restart"/>
            <w:tcBorders>
              <w:left w:val="single" w:sz="4" w:space="0" w:color="auto"/>
              <w:right w:val="single" w:sz="4" w:space="0" w:color="auto"/>
            </w:tcBorders>
            <w:shd w:val="clear" w:color="auto" w:fill="auto"/>
          </w:tcPr>
          <w:p w14:paraId="669BA9CA" w14:textId="77777777" w:rsidR="00EE1680" w:rsidRPr="006600C8" w:rsidRDefault="00EE1680" w:rsidP="00350B09">
            <w:pPr>
              <w:jc w:val="both"/>
              <w:rPr>
                <w:rFonts w:ascii="Times New Roman" w:hAnsi="Times New Roman" w:cs="Times New Roman"/>
                <w:i/>
                <w:sz w:val="24"/>
                <w:szCs w:val="24"/>
              </w:rPr>
            </w:pPr>
            <w:r w:rsidRPr="006600C8">
              <w:rPr>
                <w:rFonts w:ascii="Times New Roman" w:hAnsi="Times New Roman" w:cs="Times New Roman"/>
                <w:i/>
                <w:sz w:val="24"/>
                <w:szCs w:val="24"/>
              </w:rPr>
              <w:t>ATP2B3</w:t>
            </w:r>
          </w:p>
        </w:tc>
        <w:tc>
          <w:tcPr>
            <w:tcW w:w="3007" w:type="dxa"/>
            <w:tcBorders>
              <w:left w:val="single" w:sz="4" w:space="0" w:color="auto"/>
              <w:right w:val="single" w:sz="4" w:space="0" w:color="auto"/>
            </w:tcBorders>
            <w:shd w:val="clear" w:color="auto" w:fill="auto"/>
          </w:tcPr>
          <w:p w14:paraId="7CCD98E6"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D77N**</w:t>
            </w:r>
          </w:p>
        </w:tc>
        <w:tc>
          <w:tcPr>
            <w:tcW w:w="2940" w:type="dxa"/>
            <w:tcBorders>
              <w:left w:val="single" w:sz="4" w:space="0" w:color="auto"/>
              <w:right w:val="single" w:sz="4" w:space="0" w:color="auto"/>
            </w:tcBorders>
            <w:shd w:val="clear" w:color="auto" w:fill="auto"/>
          </w:tcPr>
          <w:p w14:paraId="766FACAF"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37DD6B62"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AC4907F"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31E815BB"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E135K**</w:t>
            </w:r>
          </w:p>
        </w:tc>
        <w:tc>
          <w:tcPr>
            <w:tcW w:w="2940" w:type="dxa"/>
            <w:tcBorders>
              <w:left w:val="single" w:sz="4" w:space="0" w:color="auto"/>
              <w:right w:val="single" w:sz="4" w:space="0" w:color="auto"/>
            </w:tcBorders>
            <w:shd w:val="clear" w:color="auto" w:fill="auto"/>
          </w:tcPr>
          <w:p w14:paraId="2F96664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216E0F6E"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46D690A"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346387B0"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G270D**</w:t>
            </w:r>
          </w:p>
        </w:tc>
        <w:tc>
          <w:tcPr>
            <w:tcW w:w="2940" w:type="dxa"/>
            <w:tcBorders>
              <w:left w:val="single" w:sz="4" w:space="0" w:color="auto"/>
              <w:right w:val="single" w:sz="4" w:space="0" w:color="auto"/>
            </w:tcBorders>
            <w:shd w:val="clear" w:color="auto" w:fill="auto"/>
          </w:tcPr>
          <w:p w14:paraId="695949B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6422050F"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652C4E8"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0058B8E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G325D**</w:t>
            </w:r>
          </w:p>
        </w:tc>
        <w:tc>
          <w:tcPr>
            <w:tcW w:w="2940" w:type="dxa"/>
            <w:tcBorders>
              <w:left w:val="single" w:sz="4" w:space="0" w:color="auto"/>
              <w:right w:val="single" w:sz="4" w:space="0" w:color="auto"/>
            </w:tcBorders>
            <w:shd w:val="clear" w:color="auto" w:fill="auto"/>
          </w:tcPr>
          <w:p w14:paraId="66B90C84"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303EF027"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8290843"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292EB6D3"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R345Q**</w:t>
            </w:r>
          </w:p>
        </w:tc>
        <w:tc>
          <w:tcPr>
            <w:tcW w:w="2940" w:type="dxa"/>
            <w:tcBorders>
              <w:left w:val="single" w:sz="4" w:space="0" w:color="auto"/>
              <w:right w:val="single" w:sz="4" w:space="0" w:color="auto"/>
            </w:tcBorders>
            <w:shd w:val="clear" w:color="auto" w:fill="auto"/>
          </w:tcPr>
          <w:p w14:paraId="0028973F"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Nishimoto et al. 2015</w:t>
            </w:r>
          </w:p>
        </w:tc>
      </w:tr>
      <w:tr w:rsidR="00EE1680" w:rsidRPr="006600C8" w14:paraId="21EB9778"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98FDEB5"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1F5FCC7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A790V**</w:t>
            </w:r>
          </w:p>
        </w:tc>
        <w:tc>
          <w:tcPr>
            <w:tcW w:w="2940" w:type="dxa"/>
            <w:tcBorders>
              <w:left w:val="single" w:sz="4" w:space="0" w:color="auto"/>
              <w:right w:val="single" w:sz="4" w:space="0" w:color="auto"/>
            </w:tcBorders>
            <w:shd w:val="clear" w:color="auto" w:fill="auto"/>
          </w:tcPr>
          <w:p w14:paraId="39342E9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0627406D"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61E96CE"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3E8C503A"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G931D</w:t>
            </w:r>
          </w:p>
        </w:tc>
        <w:tc>
          <w:tcPr>
            <w:tcW w:w="2940" w:type="dxa"/>
            <w:tcBorders>
              <w:left w:val="single" w:sz="4" w:space="0" w:color="auto"/>
              <w:right w:val="single" w:sz="4" w:space="0" w:color="auto"/>
            </w:tcBorders>
            <w:shd w:val="clear" w:color="auto" w:fill="auto"/>
          </w:tcPr>
          <w:p w14:paraId="27EE906C"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Nishimoto et al. 2015</w:t>
            </w:r>
          </w:p>
        </w:tc>
      </w:tr>
      <w:tr w:rsidR="00EE1680" w:rsidRPr="006600C8" w14:paraId="6A75E3CF"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ADF4A20"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532B6DC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S1137F**</w:t>
            </w:r>
          </w:p>
        </w:tc>
        <w:tc>
          <w:tcPr>
            <w:tcW w:w="2940" w:type="dxa"/>
            <w:tcBorders>
              <w:left w:val="single" w:sz="4" w:space="0" w:color="auto"/>
              <w:right w:val="single" w:sz="4" w:space="0" w:color="auto"/>
            </w:tcBorders>
            <w:shd w:val="clear" w:color="auto" w:fill="auto"/>
          </w:tcPr>
          <w:p w14:paraId="441EBE4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75297DF6"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7B16360"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7B3E384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P1150L**</w:t>
            </w:r>
          </w:p>
        </w:tc>
        <w:tc>
          <w:tcPr>
            <w:tcW w:w="2940" w:type="dxa"/>
            <w:tcBorders>
              <w:left w:val="single" w:sz="4" w:space="0" w:color="auto"/>
              <w:right w:val="single" w:sz="4" w:space="0" w:color="auto"/>
            </w:tcBorders>
            <w:shd w:val="clear" w:color="auto" w:fill="auto"/>
          </w:tcPr>
          <w:p w14:paraId="1D021D44"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281D39B1"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3D2326A" w14:textId="77777777" w:rsidR="00EE1680" w:rsidRPr="006600C8" w:rsidRDefault="00EE1680" w:rsidP="00350B09">
            <w:pPr>
              <w:jc w:val="both"/>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41E4E3A6"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A1157V**</w:t>
            </w:r>
          </w:p>
        </w:tc>
        <w:tc>
          <w:tcPr>
            <w:tcW w:w="2940" w:type="dxa"/>
            <w:tcBorders>
              <w:left w:val="single" w:sz="4" w:space="0" w:color="auto"/>
              <w:right w:val="single" w:sz="4" w:space="0" w:color="auto"/>
            </w:tcBorders>
            <w:shd w:val="clear" w:color="auto" w:fill="auto"/>
          </w:tcPr>
          <w:p w14:paraId="04FE3AA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Omata et al. 2017</w:t>
            </w:r>
          </w:p>
        </w:tc>
      </w:tr>
      <w:tr w:rsidR="00EE1680" w:rsidRPr="006600C8" w14:paraId="5FA7D160"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val="restart"/>
            <w:tcBorders>
              <w:left w:val="single" w:sz="4" w:space="0" w:color="auto"/>
              <w:right w:val="single" w:sz="4" w:space="0" w:color="auto"/>
            </w:tcBorders>
            <w:shd w:val="clear" w:color="auto" w:fill="auto"/>
          </w:tcPr>
          <w:p w14:paraId="043AFC0B" w14:textId="77777777" w:rsidR="00EE1680" w:rsidRPr="006600C8" w:rsidRDefault="00EE1680" w:rsidP="00350B09">
            <w:pPr>
              <w:rPr>
                <w:rFonts w:ascii="Times New Roman" w:hAnsi="Times New Roman" w:cs="Times New Roman"/>
                <w:i/>
                <w:sz w:val="24"/>
                <w:szCs w:val="24"/>
              </w:rPr>
            </w:pPr>
            <w:r w:rsidRPr="006600C8">
              <w:rPr>
                <w:rFonts w:ascii="Times New Roman" w:hAnsi="Times New Roman" w:cs="Times New Roman"/>
                <w:i/>
                <w:sz w:val="24"/>
                <w:szCs w:val="24"/>
              </w:rPr>
              <w:t>CACNA1D</w:t>
            </w:r>
          </w:p>
        </w:tc>
        <w:tc>
          <w:tcPr>
            <w:tcW w:w="3007" w:type="dxa"/>
            <w:tcBorders>
              <w:left w:val="single" w:sz="4" w:space="0" w:color="auto"/>
              <w:bottom w:val="single" w:sz="4" w:space="0" w:color="auto"/>
              <w:right w:val="single" w:sz="4" w:space="0" w:color="auto"/>
            </w:tcBorders>
            <w:shd w:val="clear" w:color="auto" w:fill="auto"/>
          </w:tcPr>
          <w:p w14:paraId="65E3E31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green"/>
              </w:rPr>
            </w:pPr>
            <w:r w:rsidRPr="006600C8">
              <w:rPr>
                <w:rFonts w:ascii="Times New Roman" w:hAnsi="Times New Roman" w:cs="Times New Roman"/>
                <w:sz w:val="24"/>
                <w:szCs w:val="24"/>
              </w:rPr>
              <w:t>E124K**</w:t>
            </w:r>
          </w:p>
        </w:tc>
        <w:tc>
          <w:tcPr>
            <w:tcW w:w="2940" w:type="dxa"/>
            <w:tcBorders>
              <w:left w:val="single" w:sz="4" w:space="0" w:color="auto"/>
              <w:right w:val="single" w:sz="4" w:space="0" w:color="auto"/>
            </w:tcBorders>
            <w:shd w:val="clear" w:color="auto" w:fill="auto"/>
          </w:tcPr>
          <w:p w14:paraId="728B28C4"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0E180C67"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418388D"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03E498B"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6600C8">
              <w:rPr>
                <w:rFonts w:ascii="Times New Roman" w:hAnsi="Times New Roman" w:cs="Times New Roman"/>
                <w:sz w:val="24"/>
                <w:szCs w:val="24"/>
              </w:rPr>
              <w:t>L248F**</w:t>
            </w:r>
          </w:p>
        </w:tc>
        <w:tc>
          <w:tcPr>
            <w:tcW w:w="2940" w:type="dxa"/>
            <w:tcBorders>
              <w:left w:val="single" w:sz="4" w:space="0" w:color="auto"/>
              <w:right w:val="single" w:sz="4" w:space="0" w:color="auto"/>
            </w:tcBorders>
            <w:shd w:val="clear" w:color="auto" w:fill="auto"/>
          </w:tcPr>
          <w:p w14:paraId="20984EE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240BA890"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BA07108"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51D20C9"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V259D</w:t>
            </w:r>
          </w:p>
        </w:tc>
        <w:tc>
          <w:tcPr>
            <w:tcW w:w="2940" w:type="dxa"/>
            <w:tcBorders>
              <w:left w:val="single" w:sz="4" w:space="0" w:color="auto"/>
              <w:right w:val="single" w:sz="4" w:space="0" w:color="auto"/>
            </w:tcBorders>
            <w:shd w:val="clear" w:color="auto" w:fill="auto"/>
          </w:tcPr>
          <w:p w14:paraId="297FB9E7"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76722A49"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E4E6763"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0E14151"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6600C8">
              <w:rPr>
                <w:rFonts w:ascii="Times New Roman" w:hAnsi="Times New Roman" w:cs="Times New Roman"/>
                <w:sz w:val="24"/>
                <w:szCs w:val="24"/>
              </w:rPr>
              <w:t>V259G**</w:t>
            </w:r>
          </w:p>
        </w:tc>
        <w:tc>
          <w:tcPr>
            <w:tcW w:w="2940" w:type="dxa"/>
            <w:tcBorders>
              <w:left w:val="single" w:sz="4" w:space="0" w:color="auto"/>
              <w:right w:val="single" w:sz="4" w:space="0" w:color="auto"/>
            </w:tcBorders>
            <w:shd w:val="clear" w:color="auto" w:fill="auto"/>
          </w:tcPr>
          <w:p w14:paraId="6C93A01B"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62F2828D"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4CD23BD"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CE0CED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L272R**</w:t>
            </w:r>
          </w:p>
        </w:tc>
        <w:tc>
          <w:tcPr>
            <w:tcW w:w="2940" w:type="dxa"/>
            <w:tcBorders>
              <w:left w:val="single" w:sz="4" w:space="0" w:color="auto"/>
              <w:right w:val="single" w:sz="4" w:space="0" w:color="auto"/>
            </w:tcBorders>
            <w:shd w:val="clear" w:color="auto" w:fill="auto"/>
          </w:tcPr>
          <w:p w14:paraId="776B1ADD"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390E6552"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C873537"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3A11383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G323R**</w:t>
            </w:r>
          </w:p>
        </w:tc>
        <w:tc>
          <w:tcPr>
            <w:tcW w:w="2940" w:type="dxa"/>
            <w:tcBorders>
              <w:left w:val="single" w:sz="4" w:space="0" w:color="auto"/>
              <w:right w:val="single" w:sz="4" w:space="0" w:color="auto"/>
            </w:tcBorders>
            <w:shd w:val="clear" w:color="auto" w:fill="auto"/>
          </w:tcPr>
          <w:p w14:paraId="41A6DA3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4886D1A4"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851BF7F"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32C5AA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V401L**</w:t>
            </w:r>
          </w:p>
        </w:tc>
        <w:tc>
          <w:tcPr>
            <w:tcW w:w="2940" w:type="dxa"/>
            <w:tcBorders>
              <w:left w:val="single" w:sz="4" w:space="0" w:color="auto"/>
              <w:right w:val="single" w:sz="4" w:space="0" w:color="auto"/>
            </w:tcBorders>
            <w:shd w:val="clear" w:color="auto" w:fill="auto"/>
          </w:tcPr>
          <w:p w14:paraId="079DB71F"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6A23889C"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7254EF3"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D52C054"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G403R**</w:t>
            </w:r>
          </w:p>
        </w:tc>
        <w:tc>
          <w:tcPr>
            <w:tcW w:w="2940" w:type="dxa"/>
            <w:tcBorders>
              <w:left w:val="single" w:sz="4" w:space="0" w:color="auto"/>
              <w:right w:val="single" w:sz="4" w:space="0" w:color="auto"/>
            </w:tcBorders>
            <w:shd w:val="clear" w:color="auto" w:fill="auto"/>
          </w:tcPr>
          <w:p w14:paraId="1AA940B1"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 Omata et al. 2017; Omata et al. 2018</w:t>
            </w:r>
          </w:p>
        </w:tc>
      </w:tr>
      <w:tr w:rsidR="00EE1680" w:rsidRPr="006600C8" w14:paraId="72133E17"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03CBF5B"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585FB7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S410L**</w:t>
            </w:r>
          </w:p>
        </w:tc>
        <w:tc>
          <w:tcPr>
            <w:tcW w:w="2940" w:type="dxa"/>
            <w:tcBorders>
              <w:left w:val="single" w:sz="4" w:space="0" w:color="auto"/>
              <w:right w:val="single" w:sz="4" w:space="0" w:color="auto"/>
            </w:tcBorders>
            <w:shd w:val="clear" w:color="auto" w:fill="auto"/>
          </w:tcPr>
          <w:p w14:paraId="600D1CB5"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 Omata et al. 2018</w:t>
            </w:r>
          </w:p>
        </w:tc>
      </w:tr>
      <w:tr w:rsidR="00EE1680" w:rsidRPr="006600C8" w14:paraId="1ACFAB59"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741FF99"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9F78B8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G457R**</w:t>
            </w:r>
          </w:p>
        </w:tc>
        <w:tc>
          <w:tcPr>
            <w:tcW w:w="2940" w:type="dxa"/>
            <w:tcBorders>
              <w:left w:val="single" w:sz="4" w:space="0" w:color="auto"/>
              <w:right w:val="single" w:sz="4" w:space="0" w:color="auto"/>
            </w:tcBorders>
            <w:shd w:val="clear" w:color="auto" w:fill="auto"/>
          </w:tcPr>
          <w:p w14:paraId="58B109BE"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6763F10F"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BED2955"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44577DF7"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R510X**</w:t>
            </w:r>
          </w:p>
        </w:tc>
        <w:tc>
          <w:tcPr>
            <w:tcW w:w="2940" w:type="dxa"/>
            <w:tcBorders>
              <w:left w:val="single" w:sz="4" w:space="0" w:color="auto"/>
              <w:right w:val="single" w:sz="4" w:space="0" w:color="auto"/>
            </w:tcBorders>
            <w:shd w:val="clear" w:color="auto" w:fill="auto"/>
          </w:tcPr>
          <w:p w14:paraId="6B884FA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43368083"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023CC5B"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86374DB"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P548L**</w:t>
            </w:r>
          </w:p>
        </w:tc>
        <w:tc>
          <w:tcPr>
            <w:tcW w:w="2940" w:type="dxa"/>
            <w:tcBorders>
              <w:left w:val="single" w:sz="4" w:space="0" w:color="auto"/>
              <w:right w:val="single" w:sz="4" w:space="0" w:color="auto"/>
            </w:tcBorders>
            <w:shd w:val="clear" w:color="auto" w:fill="auto"/>
          </w:tcPr>
          <w:p w14:paraId="1A86DF7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4E8B2AA1"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CECFD9B"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4AC9D8E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L613Q**</w:t>
            </w:r>
          </w:p>
        </w:tc>
        <w:tc>
          <w:tcPr>
            <w:tcW w:w="2940" w:type="dxa"/>
            <w:tcBorders>
              <w:left w:val="single" w:sz="4" w:space="0" w:color="auto"/>
              <w:right w:val="single" w:sz="4" w:space="0" w:color="auto"/>
            </w:tcBorders>
            <w:shd w:val="clear" w:color="auto" w:fill="auto"/>
          </w:tcPr>
          <w:p w14:paraId="3C922B1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30BE5633"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BEF3B34"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33BF1621"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R619W**</w:t>
            </w:r>
          </w:p>
        </w:tc>
        <w:tc>
          <w:tcPr>
            <w:tcW w:w="2940" w:type="dxa"/>
            <w:tcBorders>
              <w:left w:val="single" w:sz="4" w:space="0" w:color="auto"/>
              <w:right w:val="single" w:sz="4" w:space="0" w:color="auto"/>
            </w:tcBorders>
            <w:shd w:val="clear" w:color="auto" w:fill="auto"/>
          </w:tcPr>
          <w:p w14:paraId="44C0BA7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2042EA9A"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0FDBCBF"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13E932C"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S652L**</w:t>
            </w:r>
          </w:p>
        </w:tc>
        <w:tc>
          <w:tcPr>
            <w:tcW w:w="2940" w:type="dxa"/>
            <w:tcBorders>
              <w:left w:val="single" w:sz="4" w:space="0" w:color="auto"/>
              <w:right w:val="single" w:sz="4" w:space="0" w:color="auto"/>
            </w:tcBorders>
            <w:shd w:val="clear" w:color="auto" w:fill="auto"/>
          </w:tcPr>
          <w:p w14:paraId="08A0EA23"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4D71B278"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22EDE07"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B08825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S653P**</w:t>
            </w:r>
          </w:p>
        </w:tc>
        <w:tc>
          <w:tcPr>
            <w:tcW w:w="2940" w:type="dxa"/>
            <w:tcBorders>
              <w:left w:val="single" w:sz="4" w:space="0" w:color="auto"/>
              <w:right w:val="single" w:sz="4" w:space="0" w:color="auto"/>
            </w:tcBorders>
            <w:shd w:val="clear" w:color="auto" w:fill="auto"/>
          </w:tcPr>
          <w:p w14:paraId="307D2E9B"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5BC5C91E"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DD88E59"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7D99D43"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L655P</w:t>
            </w:r>
          </w:p>
        </w:tc>
        <w:tc>
          <w:tcPr>
            <w:tcW w:w="2940" w:type="dxa"/>
            <w:tcBorders>
              <w:left w:val="single" w:sz="4" w:space="0" w:color="auto"/>
              <w:right w:val="single" w:sz="4" w:space="0" w:color="auto"/>
            </w:tcBorders>
            <w:shd w:val="clear" w:color="auto" w:fill="auto"/>
          </w:tcPr>
          <w:p w14:paraId="1272DE45"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73B54E35"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DC16BC0"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04F7527"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S672L</w:t>
            </w:r>
          </w:p>
        </w:tc>
        <w:tc>
          <w:tcPr>
            <w:tcW w:w="2940" w:type="dxa"/>
            <w:tcBorders>
              <w:left w:val="single" w:sz="4" w:space="0" w:color="auto"/>
              <w:right w:val="single" w:sz="4" w:space="0" w:color="auto"/>
            </w:tcBorders>
            <w:shd w:val="clear" w:color="auto" w:fill="auto"/>
          </w:tcPr>
          <w:p w14:paraId="534E08D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3B3A5576"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D863301"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05F68A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L675P</w:t>
            </w:r>
          </w:p>
        </w:tc>
        <w:tc>
          <w:tcPr>
            <w:tcW w:w="2940" w:type="dxa"/>
            <w:tcBorders>
              <w:left w:val="single" w:sz="4" w:space="0" w:color="auto"/>
              <w:right w:val="single" w:sz="4" w:space="0" w:color="auto"/>
            </w:tcBorders>
            <w:shd w:val="clear" w:color="auto" w:fill="auto"/>
          </w:tcPr>
          <w:p w14:paraId="173DDC55"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5534EC0B"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7ED6CA1"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A6D3161"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S724L**</w:t>
            </w:r>
          </w:p>
        </w:tc>
        <w:tc>
          <w:tcPr>
            <w:tcW w:w="2940" w:type="dxa"/>
            <w:tcBorders>
              <w:left w:val="single" w:sz="4" w:space="0" w:color="auto"/>
              <w:right w:val="single" w:sz="4" w:space="0" w:color="auto"/>
            </w:tcBorders>
            <w:shd w:val="clear" w:color="auto" w:fill="auto"/>
          </w:tcPr>
          <w:p w14:paraId="4A0C4EB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4AEC0C41"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A503DDB"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2361EEED"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V728I</w:t>
            </w:r>
          </w:p>
        </w:tc>
        <w:tc>
          <w:tcPr>
            <w:tcW w:w="2940" w:type="dxa"/>
            <w:tcBorders>
              <w:left w:val="single" w:sz="4" w:space="0" w:color="auto"/>
              <w:right w:val="single" w:sz="4" w:space="0" w:color="auto"/>
            </w:tcBorders>
            <w:shd w:val="clear" w:color="auto" w:fill="auto"/>
          </w:tcPr>
          <w:p w14:paraId="7F17B0F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Wang et al. 2015</w:t>
            </w:r>
          </w:p>
        </w:tc>
      </w:tr>
      <w:tr w:rsidR="00EE1680" w:rsidRPr="006600C8" w14:paraId="73EFAD16"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C9EF972"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9D47077"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Y741C</w:t>
            </w:r>
          </w:p>
        </w:tc>
        <w:tc>
          <w:tcPr>
            <w:tcW w:w="2940" w:type="dxa"/>
            <w:tcBorders>
              <w:left w:val="single" w:sz="4" w:space="0" w:color="auto"/>
              <w:right w:val="single" w:sz="4" w:space="0" w:color="auto"/>
            </w:tcBorders>
            <w:shd w:val="clear" w:color="auto" w:fill="auto"/>
          </w:tcPr>
          <w:p w14:paraId="45EB6E34"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314765A9"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CD009EC"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4196FFC"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F747C**</w:t>
            </w:r>
          </w:p>
        </w:tc>
        <w:tc>
          <w:tcPr>
            <w:tcW w:w="2940" w:type="dxa"/>
            <w:tcBorders>
              <w:left w:val="single" w:sz="4" w:space="0" w:color="auto"/>
              <w:right w:val="single" w:sz="4" w:space="0" w:color="auto"/>
            </w:tcBorders>
            <w:shd w:val="clear" w:color="auto" w:fill="auto"/>
          </w:tcPr>
          <w:p w14:paraId="3EE9FACD"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3E4888A7"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B13E069"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494D1B7"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F747L**</w:t>
            </w:r>
          </w:p>
        </w:tc>
        <w:tc>
          <w:tcPr>
            <w:tcW w:w="2940" w:type="dxa"/>
            <w:tcBorders>
              <w:left w:val="single" w:sz="4" w:space="0" w:color="auto"/>
              <w:right w:val="single" w:sz="4" w:space="0" w:color="auto"/>
            </w:tcBorders>
            <w:shd w:val="clear" w:color="auto" w:fill="auto"/>
          </w:tcPr>
          <w:p w14:paraId="3C3E54D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 Omata et al. 2017; Omata et al. 2018</w:t>
            </w:r>
          </w:p>
        </w:tc>
      </w:tr>
      <w:tr w:rsidR="00EE1680" w:rsidRPr="006600C8" w14:paraId="6EEF62F8"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FAF4761"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25256D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F747V**</w:t>
            </w:r>
          </w:p>
        </w:tc>
        <w:tc>
          <w:tcPr>
            <w:tcW w:w="2940" w:type="dxa"/>
            <w:tcBorders>
              <w:left w:val="single" w:sz="4" w:space="0" w:color="auto"/>
              <w:right w:val="single" w:sz="4" w:space="0" w:color="auto"/>
            </w:tcBorders>
            <w:shd w:val="clear" w:color="auto" w:fill="auto"/>
          </w:tcPr>
          <w:p w14:paraId="2BDA40A9"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 Omata et al. 2017; Omata et al. 2018</w:t>
            </w:r>
          </w:p>
        </w:tc>
      </w:tr>
      <w:tr w:rsidR="00EE1680" w:rsidRPr="006600C8" w14:paraId="54B36D40"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0B4B130"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EFE6A4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L748S**</w:t>
            </w:r>
          </w:p>
        </w:tc>
        <w:tc>
          <w:tcPr>
            <w:tcW w:w="2940" w:type="dxa"/>
            <w:tcBorders>
              <w:left w:val="single" w:sz="4" w:space="0" w:color="auto"/>
              <w:right w:val="single" w:sz="4" w:space="0" w:color="auto"/>
            </w:tcBorders>
            <w:shd w:val="clear" w:color="auto" w:fill="auto"/>
          </w:tcPr>
          <w:p w14:paraId="613F4E8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3720D629"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273078C"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1F52A6D"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V748I</w:t>
            </w:r>
          </w:p>
        </w:tc>
        <w:tc>
          <w:tcPr>
            <w:tcW w:w="2940" w:type="dxa"/>
            <w:tcBorders>
              <w:left w:val="single" w:sz="4" w:space="0" w:color="auto"/>
              <w:right w:val="single" w:sz="4" w:space="0" w:color="auto"/>
            </w:tcBorders>
            <w:shd w:val="clear" w:color="auto" w:fill="auto"/>
          </w:tcPr>
          <w:p w14:paraId="056963A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42CA8044"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1C4AA3B"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0C349E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I750F</w:t>
            </w:r>
          </w:p>
        </w:tc>
        <w:tc>
          <w:tcPr>
            <w:tcW w:w="2940" w:type="dxa"/>
            <w:tcBorders>
              <w:left w:val="single" w:sz="4" w:space="0" w:color="auto"/>
              <w:right w:val="single" w:sz="4" w:space="0" w:color="auto"/>
            </w:tcBorders>
            <w:shd w:val="clear" w:color="auto" w:fill="auto"/>
          </w:tcPr>
          <w:p w14:paraId="0EF75D7F"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3CB7D258"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DA79435"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0ED977C"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I750M</w:t>
            </w:r>
          </w:p>
        </w:tc>
        <w:tc>
          <w:tcPr>
            <w:tcW w:w="2940" w:type="dxa"/>
            <w:tcBorders>
              <w:left w:val="single" w:sz="4" w:space="0" w:color="auto"/>
              <w:right w:val="single" w:sz="4" w:space="0" w:color="auto"/>
            </w:tcBorders>
            <w:shd w:val="clear" w:color="auto" w:fill="auto"/>
          </w:tcPr>
          <w:p w14:paraId="45D94EFB"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Azizan et al. 2013</w:t>
            </w:r>
          </w:p>
        </w:tc>
      </w:tr>
      <w:tr w:rsidR="00EE1680" w:rsidRPr="006600C8" w14:paraId="303BD5CC"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30D47AB"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F8352D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755_757del**</w:t>
            </w:r>
          </w:p>
        </w:tc>
        <w:tc>
          <w:tcPr>
            <w:tcW w:w="2940" w:type="dxa"/>
            <w:tcBorders>
              <w:left w:val="single" w:sz="4" w:space="0" w:color="auto"/>
              <w:right w:val="single" w:sz="4" w:space="0" w:color="auto"/>
            </w:tcBorders>
            <w:shd w:val="clear" w:color="auto" w:fill="auto"/>
          </w:tcPr>
          <w:p w14:paraId="4C0D2B1D"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757997D8"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285B9EC"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F3A38CC"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Y761C</w:t>
            </w:r>
          </w:p>
        </w:tc>
        <w:tc>
          <w:tcPr>
            <w:tcW w:w="2940" w:type="dxa"/>
            <w:tcBorders>
              <w:left w:val="single" w:sz="4" w:space="0" w:color="auto"/>
              <w:right w:val="single" w:sz="4" w:space="0" w:color="auto"/>
            </w:tcBorders>
            <w:shd w:val="clear" w:color="auto" w:fill="auto"/>
          </w:tcPr>
          <w:p w14:paraId="57A1CE7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36FDAE27"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4C32EA8"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EE1C02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F767L</w:t>
            </w:r>
          </w:p>
        </w:tc>
        <w:tc>
          <w:tcPr>
            <w:tcW w:w="2940" w:type="dxa"/>
            <w:tcBorders>
              <w:left w:val="single" w:sz="4" w:space="0" w:color="auto"/>
              <w:right w:val="single" w:sz="4" w:space="0" w:color="auto"/>
            </w:tcBorders>
            <w:shd w:val="clear" w:color="auto" w:fill="auto"/>
          </w:tcPr>
          <w:p w14:paraId="159602FF"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54BFB0D2"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D0EECE1"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0A23DFF"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I770F</w:t>
            </w:r>
          </w:p>
        </w:tc>
        <w:tc>
          <w:tcPr>
            <w:tcW w:w="2940" w:type="dxa"/>
            <w:tcBorders>
              <w:left w:val="single" w:sz="4" w:space="0" w:color="auto"/>
              <w:right w:val="single" w:sz="4" w:space="0" w:color="auto"/>
            </w:tcBorders>
            <w:shd w:val="clear" w:color="auto" w:fill="auto"/>
          </w:tcPr>
          <w:p w14:paraId="6B311356"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56F14B13"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8EF40EE"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D9ABFB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S969L**</w:t>
            </w:r>
          </w:p>
        </w:tc>
        <w:tc>
          <w:tcPr>
            <w:tcW w:w="2940" w:type="dxa"/>
            <w:tcBorders>
              <w:left w:val="single" w:sz="4" w:space="0" w:color="auto"/>
              <w:right w:val="single" w:sz="4" w:space="0" w:color="auto"/>
            </w:tcBorders>
            <w:shd w:val="clear" w:color="auto" w:fill="auto"/>
          </w:tcPr>
          <w:p w14:paraId="64BA378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2A1EE8B8"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1D9FC9C"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22BCA4F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V979E</w:t>
            </w:r>
          </w:p>
        </w:tc>
        <w:tc>
          <w:tcPr>
            <w:tcW w:w="2940" w:type="dxa"/>
            <w:tcBorders>
              <w:left w:val="single" w:sz="4" w:space="0" w:color="auto"/>
              <w:right w:val="single" w:sz="4" w:space="0" w:color="auto"/>
            </w:tcBorders>
            <w:shd w:val="clear" w:color="auto" w:fill="auto"/>
          </w:tcPr>
          <w:p w14:paraId="3A109B34"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06339BF2"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ED2919D"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F292BC5"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K981N</w:t>
            </w:r>
          </w:p>
        </w:tc>
        <w:tc>
          <w:tcPr>
            <w:tcW w:w="2940" w:type="dxa"/>
            <w:tcBorders>
              <w:left w:val="single" w:sz="4" w:space="0" w:color="auto"/>
              <w:right w:val="single" w:sz="4" w:space="0" w:color="auto"/>
            </w:tcBorders>
            <w:shd w:val="clear" w:color="auto" w:fill="auto"/>
          </w:tcPr>
          <w:p w14:paraId="1981089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04403DEF"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4F23589"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AFC7919"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R990H**</w:t>
            </w:r>
          </w:p>
        </w:tc>
        <w:tc>
          <w:tcPr>
            <w:tcW w:w="2940" w:type="dxa"/>
            <w:tcBorders>
              <w:left w:val="single" w:sz="4" w:space="0" w:color="auto"/>
              <w:right w:val="single" w:sz="4" w:space="0" w:color="auto"/>
            </w:tcBorders>
            <w:shd w:val="clear" w:color="auto" w:fill="auto"/>
          </w:tcPr>
          <w:p w14:paraId="22BE93FE"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 Omata et al. 2018</w:t>
            </w:r>
          </w:p>
        </w:tc>
      </w:tr>
      <w:tr w:rsidR="00EE1680" w:rsidRPr="006600C8" w14:paraId="42C1D3E9"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F94B851"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76FC1A1"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A998I</w:t>
            </w:r>
          </w:p>
        </w:tc>
        <w:tc>
          <w:tcPr>
            <w:tcW w:w="2940" w:type="dxa"/>
            <w:tcBorders>
              <w:left w:val="single" w:sz="4" w:space="0" w:color="auto"/>
              <w:right w:val="single" w:sz="4" w:space="0" w:color="auto"/>
            </w:tcBorders>
            <w:shd w:val="clear" w:color="auto" w:fill="auto"/>
          </w:tcPr>
          <w:p w14:paraId="1564454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381D736C"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0EB70CE"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3535C8A"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A998V**</w:t>
            </w:r>
          </w:p>
        </w:tc>
        <w:tc>
          <w:tcPr>
            <w:tcW w:w="2940" w:type="dxa"/>
            <w:tcBorders>
              <w:left w:val="single" w:sz="4" w:space="0" w:color="auto"/>
              <w:right w:val="single" w:sz="4" w:space="0" w:color="auto"/>
            </w:tcBorders>
            <w:shd w:val="clear" w:color="auto" w:fill="auto"/>
          </w:tcPr>
          <w:p w14:paraId="3011DB79"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 Omata et al. 2018</w:t>
            </w:r>
          </w:p>
        </w:tc>
      </w:tr>
      <w:tr w:rsidR="00EE1680" w:rsidRPr="006600C8" w14:paraId="1348665F"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CE1C522"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C548D74"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V999D</w:t>
            </w:r>
          </w:p>
        </w:tc>
        <w:tc>
          <w:tcPr>
            <w:tcW w:w="2940" w:type="dxa"/>
            <w:tcBorders>
              <w:left w:val="single" w:sz="4" w:space="0" w:color="auto"/>
              <w:right w:val="single" w:sz="4" w:space="0" w:color="auto"/>
            </w:tcBorders>
            <w:shd w:val="clear" w:color="auto" w:fill="auto"/>
          </w:tcPr>
          <w:p w14:paraId="32C38EC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6D3B7D30"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B8BFF56"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24CF624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K1001N</w:t>
            </w:r>
          </w:p>
        </w:tc>
        <w:tc>
          <w:tcPr>
            <w:tcW w:w="2940" w:type="dxa"/>
            <w:tcBorders>
              <w:left w:val="single" w:sz="4" w:space="0" w:color="auto"/>
              <w:right w:val="single" w:sz="4" w:space="0" w:color="auto"/>
            </w:tcBorders>
            <w:shd w:val="clear" w:color="auto" w:fill="auto"/>
          </w:tcPr>
          <w:p w14:paraId="42F9338D"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48ADA8AB"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E3E99E5"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62A2989E"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A1011T**</w:t>
            </w:r>
          </w:p>
        </w:tc>
        <w:tc>
          <w:tcPr>
            <w:tcW w:w="2940" w:type="dxa"/>
            <w:tcBorders>
              <w:left w:val="single" w:sz="4" w:space="0" w:color="auto"/>
              <w:right w:val="single" w:sz="4" w:space="0" w:color="auto"/>
            </w:tcBorders>
            <w:shd w:val="clear" w:color="auto" w:fill="auto"/>
          </w:tcPr>
          <w:p w14:paraId="12C5C89B"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494377C8"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92C711A"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48FBC923"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I1015V**</w:t>
            </w:r>
          </w:p>
        </w:tc>
        <w:tc>
          <w:tcPr>
            <w:tcW w:w="2940" w:type="dxa"/>
            <w:tcBorders>
              <w:left w:val="single" w:sz="4" w:space="0" w:color="auto"/>
              <w:right w:val="single" w:sz="4" w:space="0" w:color="auto"/>
            </w:tcBorders>
            <w:shd w:val="clear" w:color="auto" w:fill="auto"/>
          </w:tcPr>
          <w:p w14:paraId="7E60239F"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0237152B"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C571896"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456FFA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A1018V</w:t>
            </w:r>
          </w:p>
        </w:tc>
        <w:tc>
          <w:tcPr>
            <w:tcW w:w="2940" w:type="dxa"/>
            <w:tcBorders>
              <w:left w:val="single" w:sz="4" w:space="0" w:color="auto"/>
              <w:right w:val="single" w:sz="4" w:space="0" w:color="auto"/>
            </w:tcBorders>
            <w:shd w:val="clear" w:color="auto" w:fill="auto"/>
          </w:tcPr>
          <w:p w14:paraId="489B206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2FE1C21C"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633CEDE"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5C93CFA0"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F1147C**</w:t>
            </w:r>
          </w:p>
        </w:tc>
        <w:tc>
          <w:tcPr>
            <w:tcW w:w="2940" w:type="dxa"/>
            <w:tcBorders>
              <w:left w:val="single" w:sz="4" w:space="0" w:color="auto"/>
              <w:right w:val="single" w:sz="4" w:space="0" w:color="auto"/>
            </w:tcBorders>
            <w:shd w:val="clear" w:color="auto" w:fill="auto"/>
          </w:tcPr>
          <w:p w14:paraId="2D9107B7"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549D7FBD"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2E082B8"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7A03787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F1147L**</w:t>
            </w:r>
          </w:p>
        </w:tc>
        <w:tc>
          <w:tcPr>
            <w:tcW w:w="2940" w:type="dxa"/>
            <w:tcBorders>
              <w:left w:val="single" w:sz="4" w:space="0" w:color="auto"/>
              <w:right w:val="single" w:sz="4" w:space="0" w:color="auto"/>
            </w:tcBorders>
            <w:shd w:val="clear" w:color="auto" w:fill="auto"/>
          </w:tcPr>
          <w:p w14:paraId="7230C90A"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 Omata et al. 2018</w:t>
            </w:r>
          </w:p>
        </w:tc>
      </w:tr>
      <w:tr w:rsidR="00EE1680" w:rsidRPr="006600C8" w14:paraId="6BB2F684"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93A6049"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F8C9635"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V1151F</w:t>
            </w:r>
          </w:p>
        </w:tc>
        <w:tc>
          <w:tcPr>
            <w:tcW w:w="2940" w:type="dxa"/>
            <w:tcBorders>
              <w:left w:val="single" w:sz="4" w:space="0" w:color="auto"/>
              <w:right w:val="single" w:sz="4" w:space="0" w:color="auto"/>
            </w:tcBorders>
            <w:shd w:val="clear" w:color="auto" w:fill="auto"/>
          </w:tcPr>
          <w:p w14:paraId="1F6B1FE2"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663EEB92"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BA828DA"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D3419A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I1152N</w:t>
            </w:r>
          </w:p>
        </w:tc>
        <w:tc>
          <w:tcPr>
            <w:tcW w:w="2940" w:type="dxa"/>
            <w:tcBorders>
              <w:left w:val="single" w:sz="4" w:space="0" w:color="auto"/>
              <w:right w:val="single" w:sz="4" w:space="0" w:color="auto"/>
            </w:tcBorders>
            <w:shd w:val="clear" w:color="auto" w:fill="auto"/>
          </w:tcPr>
          <w:p w14:paraId="22C7CE37"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Fernandes-Rosa et al. 2014</w:t>
            </w:r>
          </w:p>
        </w:tc>
      </w:tr>
      <w:tr w:rsidR="00EE1680" w:rsidRPr="006600C8" w14:paraId="77CAB812"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6E026D8"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303EE80A"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V1171F</w:t>
            </w:r>
          </w:p>
        </w:tc>
        <w:tc>
          <w:tcPr>
            <w:tcW w:w="2940" w:type="dxa"/>
            <w:tcBorders>
              <w:left w:val="single" w:sz="4" w:space="0" w:color="auto"/>
              <w:right w:val="single" w:sz="4" w:space="0" w:color="auto"/>
            </w:tcBorders>
            <w:shd w:val="clear" w:color="auto" w:fill="auto"/>
          </w:tcPr>
          <w:p w14:paraId="78588A9E"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06F951A8"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704814D"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42E13D11"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I1172N</w:t>
            </w:r>
          </w:p>
        </w:tc>
        <w:tc>
          <w:tcPr>
            <w:tcW w:w="2940" w:type="dxa"/>
            <w:tcBorders>
              <w:left w:val="single" w:sz="4" w:space="0" w:color="auto"/>
              <w:right w:val="single" w:sz="4" w:space="0" w:color="auto"/>
            </w:tcBorders>
            <w:shd w:val="clear" w:color="auto" w:fill="auto"/>
          </w:tcPr>
          <w:p w14:paraId="55F083B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1A7DD4D6"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5BE5587"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1E3D810"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R1183H**</w:t>
            </w:r>
          </w:p>
        </w:tc>
        <w:tc>
          <w:tcPr>
            <w:tcW w:w="2940" w:type="dxa"/>
            <w:tcBorders>
              <w:left w:val="single" w:sz="4" w:space="0" w:color="auto"/>
              <w:right w:val="single" w:sz="4" w:space="0" w:color="auto"/>
            </w:tcBorders>
            <w:shd w:val="clear" w:color="auto" w:fill="auto"/>
          </w:tcPr>
          <w:p w14:paraId="6CE4A43E"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22513E0D"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85AE863"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292053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F1248L**</w:t>
            </w:r>
          </w:p>
        </w:tc>
        <w:tc>
          <w:tcPr>
            <w:tcW w:w="2940" w:type="dxa"/>
            <w:tcBorders>
              <w:left w:val="single" w:sz="4" w:space="0" w:color="auto"/>
              <w:right w:val="single" w:sz="4" w:space="0" w:color="auto"/>
            </w:tcBorders>
            <w:shd w:val="clear" w:color="auto" w:fill="auto"/>
          </w:tcPr>
          <w:p w14:paraId="36DEF45C"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 Omata et al. 2018</w:t>
            </w:r>
          </w:p>
        </w:tc>
      </w:tr>
      <w:tr w:rsidR="00EE1680" w:rsidRPr="006600C8" w14:paraId="6F782542"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1C62DED"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4ADC8F39"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D1273N**</w:t>
            </w:r>
          </w:p>
        </w:tc>
        <w:tc>
          <w:tcPr>
            <w:tcW w:w="2940" w:type="dxa"/>
            <w:tcBorders>
              <w:left w:val="single" w:sz="4" w:space="0" w:color="auto"/>
              <w:right w:val="single" w:sz="4" w:space="0" w:color="auto"/>
            </w:tcBorders>
            <w:shd w:val="clear" w:color="auto" w:fill="auto"/>
          </w:tcPr>
          <w:p w14:paraId="0A6F6B6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264DC77A"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F3A42D2"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2922573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P1336R**</w:t>
            </w:r>
          </w:p>
        </w:tc>
        <w:tc>
          <w:tcPr>
            <w:tcW w:w="2940" w:type="dxa"/>
            <w:tcBorders>
              <w:left w:val="single" w:sz="4" w:space="0" w:color="auto"/>
              <w:right w:val="single" w:sz="4" w:space="0" w:color="auto"/>
            </w:tcBorders>
            <w:shd w:val="clear" w:color="auto" w:fill="auto"/>
          </w:tcPr>
          <w:p w14:paraId="2578CC9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5791A13C"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0EA4826"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6DE8F75"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V1338M**</w:t>
            </w:r>
          </w:p>
        </w:tc>
        <w:tc>
          <w:tcPr>
            <w:tcW w:w="2940" w:type="dxa"/>
            <w:tcBorders>
              <w:left w:val="single" w:sz="4" w:space="0" w:color="auto"/>
              <w:right w:val="single" w:sz="4" w:space="0" w:color="auto"/>
            </w:tcBorders>
            <w:shd w:val="clear" w:color="auto" w:fill="auto"/>
          </w:tcPr>
          <w:p w14:paraId="23323114"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 Omata et al. 2017; Omata et al. 2018</w:t>
            </w:r>
          </w:p>
        </w:tc>
      </w:tr>
      <w:tr w:rsidR="00EE1680" w:rsidRPr="006600C8" w14:paraId="621B18C1"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8E353E4"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416042F"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I1352T**</w:t>
            </w:r>
          </w:p>
        </w:tc>
        <w:tc>
          <w:tcPr>
            <w:tcW w:w="2940" w:type="dxa"/>
            <w:tcBorders>
              <w:left w:val="single" w:sz="4" w:space="0" w:color="auto"/>
              <w:right w:val="single" w:sz="4" w:space="0" w:color="auto"/>
            </w:tcBorders>
            <w:shd w:val="clear" w:color="auto" w:fill="auto"/>
          </w:tcPr>
          <w:p w14:paraId="2BAB34F3"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3997AA8C"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4919315"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1FC466D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M1354I</w:t>
            </w:r>
          </w:p>
        </w:tc>
        <w:tc>
          <w:tcPr>
            <w:tcW w:w="2940" w:type="dxa"/>
            <w:tcBorders>
              <w:left w:val="single" w:sz="4" w:space="0" w:color="auto"/>
              <w:right w:val="single" w:sz="4" w:space="0" w:color="auto"/>
            </w:tcBorders>
            <w:shd w:val="clear" w:color="auto" w:fill="auto"/>
          </w:tcPr>
          <w:p w14:paraId="4CAA3A9E"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6600C8">
              <w:rPr>
                <w:rFonts w:ascii="Times New Roman" w:hAnsi="Times New Roman" w:cs="Times New Roman"/>
                <w:sz w:val="24"/>
                <w:szCs w:val="24"/>
              </w:rPr>
              <w:t>Azizan et al. 2013</w:t>
            </w:r>
          </w:p>
        </w:tc>
      </w:tr>
      <w:tr w:rsidR="00EE1680" w:rsidRPr="006600C8" w14:paraId="1D024ABD"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A768CF6"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010A7384"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P1371R</w:t>
            </w:r>
          </w:p>
        </w:tc>
        <w:tc>
          <w:tcPr>
            <w:tcW w:w="2940" w:type="dxa"/>
            <w:tcBorders>
              <w:left w:val="single" w:sz="4" w:space="0" w:color="auto"/>
              <w:right w:val="single" w:sz="4" w:space="0" w:color="auto"/>
            </w:tcBorders>
            <w:shd w:val="clear" w:color="auto" w:fill="auto"/>
          </w:tcPr>
          <w:p w14:paraId="08FE40A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6EF97E25"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BFA095D"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bottom w:val="single" w:sz="4" w:space="0" w:color="auto"/>
              <w:right w:val="single" w:sz="4" w:space="0" w:color="auto"/>
            </w:tcBorders>
            <w:shd w:val="clear" w:color="auto" w:fill="auto"/>
          </w:tcPr>
          <w:p w14:paraId="42462F0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V1373M</w:t>
            </w:r>
          </w:p>
        </w:tc>
        <w:tc>
          <w:tcPr>
            <w:tcW w:w="2940" w:type="dxa"/>
            <w:tcBorders>
              <w:left w:val="single" w:sz="4" w:space="0" w:color="auto"/>
              <w:right w:val="single" w:sz="4" w:space="0" w:color="auto"/>
            </w:tcBorders>
            <w:shd w:val="clear" w:color="auto" w:fill="auto"/>
          </w:tcPr>
          <w:p w14:paraId="198719E7"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Nishimoto et al 2015</w:t>
            </w:r>
          </w:p>
        </w:tc>
      </w:tr>
      <w:tr w:rsidR="00EE1680" w:rsidRPr="006600C8" w14:paraId="2CB783E4"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469395D"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03CAA29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6600C8">
              <w:rPr>
                <w:rFonts w:ascii="Times New Roman" w:hAnsi="Times New Roman" w:cs="Times New Roman"/>
                <w:sz w:val="24"/>
                <w:szCs w:val="24"/>
              </w:rPr>
              <w:t>P1499L**</w:t>
            </w:r>
          </w:p>
        </w:tc>
        <w:tc>
          <w:tcPr>
            <w:tcW w:w="2940" w:type="dxa"/>
            <w:tcBorders>
              <w:left w:val="single" w:sz="4" w:space="0" w:color="auto"/>
              <w:right w:val="single" w:sz="4" w:space="0" w:color="auto"/>
            </w:tcBorders>
            <w:shd w:val="clear" w:color="auto" w:fill="auto"/>
          </w:tcPr>
          <w:p w14:paraId="0FCC53CC"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69E9F2EA"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174B7FF2"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467830A5"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green"/>
              </w:rPr>
            </w:pPr>
            <w:r w:rsidRPr="006600C8">
              <w:rPr>
                <w:rFonts w:ascii="Times New Roman" w:hAnsi="Times New Roman" w:cs="Times New Roman"/>
                <w:sz w:val="24"/>
                <w:szCs w:val="24"/>
              </w:rPr>
              <w:t>T1835I**</w:t>
            </w:r>
          </w:p>
        </w:tc>
        <w:tc>
          <w:tcPr>
            <w:tcW w:w="2940" w:type="dxa"/>
            <w:tcBorders>
              <w:left w:val="single" w:sz="4" w:space="0" w:color="auto"/>
              <w:right w:val="single" w:sz="4" w:space="0" w:color="auto"/>
            </w:tcBorders>
            <w:shd w:val="clear" w:color="auto" w:fill="auto"/>
          </w:tcPr>
          <w:p w14:paraId="0BEEF998"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2018</w:t>
            </w:r>
          </w:p>
        </w:tc>
      </w:tr>
      <w:tr w:rsidR="00EE1680" w:rsidRPr="006600C8" w14:paraId="5405C9E2"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F18EBC6" w14:textId="77777777" w:rsidR="00EE1680" w:rsidRPr="006600C8" w:rsidRDefault="00EE1680" w:rsidP="00350B09">
            <w:pPr>
              <w:rPr>
                <w:rFonts w:ascii="Times New Roman" w:hAnsi="Times New Roman" w:cs="Times New Roman"/>
                <w:i/>
                <w:sz w:val="24"/>
                <w:szCs w:val="24"/>
              </w:rPr>
            </w:pPr>
          </w:p>
        </w:tc>
        <w:tc>
          <w:tcPr>
            <w:tcW w:w="3007" w:type="dxa"/>
            <w:tcBorders>
              <w:left w:val="single" w:sz="4" w:space="0" w:color="auto"/>
              <w:right w:val="single" w:sz="4" w:space="0" w:color="auto"/>
            </w:tcBorders>
            <w:shd w:val="clear" w:color="auto" w:fill="auto"/>
          </w:tcPr>
          <w:p w14:paraId="0A19F2EF"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6600C8">
              <w:rPr>
                <w:rFonts w:ascii="Times New Roman" w:hAnsi="Times New Roman" w:cs="Times New Roman"/>
                <w:sz w:val="24"/>
                <w:szCs w:val="24"/>
              </w:rPr>
              <w:t>W1836X**</w:t>
            </w:r>
          </w:p>
        </w:tc>
        <w:tc>
          <w:tcPr>
            <w:tcW w:w="2940" w:type="dxa"/>
            <w:tcBorders>
              <w:left w:val="single" w:sz="4" w:space="0" w:color="auto"/>
              <w:right w:val="single" w:sz="4" w:space="0" w:color="auto"/>
            </w:tcBorders>
            <w:shd w:val="clear" w:color="auto" w:fill="auto"/>
          </w:tcPr>
          <w:p w14:paraId="208972CC"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Omata et al. 2017</w:t>
            </w:r>
          </w:p>
        </w:tc>
      </w:tr>
      <w:tr w:rsidR="00EE1680" w:rsidRPr="006600C8" w14:paraId="66E54CAD"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val="restart"/>
            <w:tcBorders>
              <w:left w:val="single" w:sz="4" w:space="0" w:color="auto"/>
              <w:right w:val="single" w:sz="4" w:space="0" w:color="auto"/>
            </w:tcBorders>
            <w:shd w:val="clear" w:color="auto" w:fill="auto"/>
          </w:tcPr>
          <w:p w14:paraId="7D1ED1C4" w14:textId="77777777" w:rsidR="00EE1680" w:rsidRPr="006600C8" w:rsidRDefault="00EE1680" w:rsidP="00350B09">
            <w:pPr>
              <w:rPr>
                <w:rFonts w:ascii="Times New Roman" w:hAnsi="Times New Roman" w:cs="Times New Roman"/>
                <w:i/>
                <w:color w:val="FF0000"/>
                <w:sz w:val="24"/>
                <w:szCs w:val="24"/>
                <w:highlight w:val="yellow"/>
              </w:rPr>
            </w:pPr>
            <w:r w:rsidRPr="006600C8">
              <w:rPr>
                <w:rFonts w:ascii="Times New Roman" w:hAnsi="Times New Roman" w:cs="Times New Roman"/>
                <w:i/>
                <w:sz w:val="24"/>
                <w:szCs w:val="24"/>
              </w:rPr>
              <w:t>CTNNB1</w:t>
            </w:r>
          </w:p>
        </w:tc>
        <w:tc>
          <w:tcPr>
            <w:tcW w:w="3007" w:type="dxa"/>
            <w:tcBorders>
              <w:left w:val="single" w:sz="4" w:space="0" w:color="auto"/>
              <w:right w:val="single" w:sz="4" w:space="0" w:color="auto"/>
            </w:tcBorders>
            <w:shd w:val="clear" w:color="auto" w:fill="auto"/>
          </w:tcPr>
          <w:p w14:paraId="22625746"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 xml:space="preserve">D32G </w:t>
            </w:r>
          </w:p>
        </w:tc>
        <w:tc>
          <w:tcPr>
            <w:tcW w:w="2940" w:type="dxa"/>
            <w:tcBorders>
              <w:left w:val="single" w:sz="4" w:space="0" w:color="auto"/>
              <w:right w:val="single" w:sz="4" w:space="0" w:color="auto"/>
            </w:tcBorders>
            <w:shd w:val="clear" w:color="auto" w:fill="auto"/>
          </w:tcPr>
          <w:p w14:paraId="31BAD0B4"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2E49D4CD"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5BB6709"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bottom w:val="single" w:sz="4" w:space="0" w:color="auto"/>
              <w:right w:val="single" w:sz="4" w:space="0" w:color="auto"/>
            </w:tcBorders>
            <w:shd w:val="clear" w:color="auto" w:fill="auto"/>
          </w:tcPr>
          <w:p w14:paraId="016C841D"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 xml:space="preserve"> D32N</w:t>
            </w:r>
          </w:p>
        </w:tc>
        <w:tc>
          <w:tcPr>
            <w:tcW w:w="2940" w:type="dxa"/>
            <w:tcBorders>
              <w:left w:val="single" w:sz="4" w:space="0" w:color="auto"/>
              <w:right w:val="single" w:sz="4" w:space="0" w:color="auto"/>
            </w:tcBorders>
            <w:shd w:val="clear" w:color="auto" w:fill="auto"/>
          </w:tcPr>
          <w:p w14:paraId="3B14F6B8"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Wu et al. 2017</w:t>
            </w:r>
          </w:p>
        </w:tc>
      </w:tr>
      <w:tr w:rsidR="00EE1680" w:rsidRPr="006600C8" w14:paraId="27ECB269" w14:textId="77777777" w:rsidTr="0035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1758740"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74D286BA"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 xml:space="preserve">  S33C</w:t>
            </w:r>
          </w:p>
        </w:tc>
        <w:tc>
          <w:tcPr>
            <w:tcW w:w="2940" w:type="dxa"/>
            <w:tcBorders>
              <w:left w:val="single" w:sz="4" w:space="0" w:color="auto"/>
              <w:right w:val="single" w:sz="4" w:space="0" w:color="auto"/>
            </w:tcBorders>
            <w:shd w:val="clear" w:color="auto" w:fill="auto"/>
          </w:tcPr>
          <w:p w14:paraId="4B877DAA"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2AA96C6D" w14:textId="77777777" w:rsidTr="00350B09">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E851CD8"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bottom w:val="single" w:sz="4" w:space="0" w:color="auto"/>
              <w:right w:val="single" w:sz="4" w:space="0" w:color="auto"/>
            </w:tcBorders>
            <w:shd w:val="clear" w:color="auto" w:fill="auto"/>
          </w:tcPr>
          <w:p w14:paraId="13B054E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S33F</w:t>
            </w:r>
          </w:p>
        </w:tc>
        <w:tc>
          <w:tcPr>
            <w:tcW w:w="2940" w:type="dxa"/>
            <w:tcBorders>
              <w:left w:val="single" w:sz="4" w:space="0" w:color="auto"/>
              <w:right w:val="single" w:sz="4" w:space="0" w:color="auto"/>
            </w:tcBorders>
            <w:shd w:val="clear" w:color="auto" w:fill="auto"/>
          </w:tcPr>
          <w:p w14:paraId="6EB4D70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7331B46B" w14:textId="77777777" w:rsidTr="00350B0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0B15F73"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6FA78E0D"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G34R</w:t>
            </w:r>
          </w:p>
        </w:tc>
        <w:tc>
          <w:tcPr>
            <w:tcW w:w="2940" w:type="dxa"/>
            <w:tcBorders>
              <w:left w:val="single" w:sz="4" w:space="0" w:color="auto"/>
              <w:right w:val="single" w:sz="4" w:space="0" w:color="auto"/>
            </w:tcBorders>
            <w:shd w:val="clear" w:color="auto" w:fill="auto"/>
          </w:tcPr>
          <w:p w14:paraId="0A01694F"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2D7A5144" w14:textId="77777777" w:rsidTr="00350B09">
        <w:trPr>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4E359F7"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bottom w:val="single" w:sz="4" w:space="0" w:color="auto"/>
              <w:right w:val="single" w:sz="4" w:space="0" w:color="auto"/>
            </w:tcBorders>
            <w:shd w:val="clear" w:color="auto" w:fill="auto"/>
          </w:tcPr>
          <w:p w14:paraId="30FF448E"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H36P</w:t>
            </w:r>
          </w:p>
        </w:tc>
        <w:tc>
          <w:tcPr>
            <w:tcW w:w="2940" w:type="dxa"/>
            <w:tcBorders>
              <w:left w:val="single" w:sz="4" w:space="0" w:color="auto"/>
              <w:right w:val="single" w:sz="4" w:space="0" w:color="auto"/>
            </w:tcBorders>
            <w:shd w:val="clear" w:color="auto" w:fill="auto"/>
          </w:tcPr>
          <w:p w14:paraId="4BF5BDAC"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Wu et al. 2017</w:t>
            </w:r>
          </w:p>
        </w:tc>
      </w:tr>
      <w:tr w:rsidR="00EE1680" w:rsidRPr="006600C8" w14:paraId="4F23BD93" w14:textId="77777777" w:rsidTr="00350B0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88C791E"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500F3E74"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S37C</w:t>
            </w:r>
          </w:p>
        </w:tc>
        <w:tc>
          <w:tcPr>
            <w:tcW w:w="2940" w:type="dxa"/>
            <w:tcBorders>
              <w:left w:val="single" w:sz="4" w:space="0" w:color="auto"/>
              <w:right w:val="single" w:sz="4" w:space="0" w:color="auto"/>
            </w:tcBorders>
            <w:shd w:val="clear" w:color="auto" w:fill="auto"/>
          </w:tcPr>
          <w:p w14:paraId="73DBB7B6"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5A6F6065" w14:textId="77777777" w:rsidTr="00350B09">
        <w:trPr>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92C7F01"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bottom w:val="single" w:sz="4" w:space="0" w:color="auto"/>
              <w:right w:val="single" w:sz="4" w:space="0" w:color="auto"/>
            </w:tcBorders>
            <w:shd w:val="clear" w:color="auto" w:fill="auto"/>
          </w:tcPr>
          <w:p w14:paraId="2B111199"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T40A</w:t>
            </w:r>
          </w:p>
        </w:tc>
        <w:tc>
          <w:tcPr>
            <w:tcW w:w="2940" w:type="dxa"/>
            <w:tcBorders>
              <w:left w:val="single" w:sz="4" w:space="0" w:color="auto"/>
              <w:right w:val="single" w:sz="4" w:space="0" w:color="auto"/>
            </w:tcBorders>
            <w:shd w:val="clear" w:color="auto" w:fill="auto"/>
          </w:tcPr>
          <w:p w14:paraId="48DCD1F4"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0B11541B" w14:textId="77777777" w:rsidTr="00350B0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7DD1EBF6"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7956446F"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T41A</w:t>
            </w:r>
          </w:p>
        </w:tc>
        <w:tc>
          <w:tcPr>
            <w:tcW w:w="2940" w:type="dxa"/>
            <w:tcBorders>
              <w:left w:val="single" w:sz="4" w:space="0" w:color="auto"/>
              <w:right w:val="single" w:sz="4" w:space="0" w:color="auto"/>
            </w:tcBorders>
            <w:shd w:val="clear" w:color="auto" w:fill="auto"/>
          </w:tcPr>
          <w:p w14:paraId="7D8C5121"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6BBF8A4A" w14:textId="77777777" w:rsidTr="00350B09">
        <w:trPr>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32D43FB0"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bottom w:val="single" w:sz="4" w:space="0" w:color="auto"/>
              <w:right w:val="single" w:sz="4" w:space="0" w:color="auto"/>
            </w:tcBorders>
            <w:shd w:val="clear" w:color="auto" w:fill="auto"/>
          </w:tcPr>
          <w:p w14:paraId="139C1F67"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T42S</w:t>
            </w:r>
          </w:p>
        </w:tc>
        <w:tc>
          <w:tcPr>
            <w:tcW w:w="2940" w:type="dxa"/>
            <w:tcBorders>
              <w:left w:val="single" w:sz="4" w:space="0" w:color="auto"/>
              <w:right w:val="single" w:sz="4" w:space="0" w:color="auto"/>
            </w:tcBorders>
            <w:shd w:val="clear" w:color="auto" w:fill="auto"/>
          </w:tcPr>
          <w:p w14:paraId="676D6B70"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Wu et al. 2017</w:t>
            </w:r>
          </w:p>
        </w:tc>
      </w:tr>
      <w:tr w:rsidR="00EE1680" w:rsidRPr="006600C8" w14:paraId="36F33720" w14:textId="77777777" w:rsidTr="00350B0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E293A96"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7EB95026"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S45C</w:t>
            </w:r>
          </w:p>
        </w:tc>
        <w:tc>
          <w:tcPr>
            <w:tcW w:w="2940" w:type="dxa"/>
            <w:tcBorders>
              <w:left w:val="single" w:sz="4" w:space="0" w:color="auto"/>
              <w:right w:val="single" w:sz="4" w:space="0" w:color="auto"/>
            </w:tcBorders>
            <w:shd w:val="clear" w:color="auto" w:fill="auto"/>
          </w:tcPr>
          <w:p w14:paraId="2644C2D5"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Wu et al. 2017</w:t>
            </w:r>
          </w:p>
        </w:tc>
      </w:tr>
      <w:tr w:rsidR="00EE1680" w:rsidRPr="006600C8" w14:paraId="527F9790" w14:textId="77777777" w:rsidTr="00350B09">
        <w:trPr>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2B96A6FC"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4D90DBA7"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S45F</w:t>
            </w:r>
          </w:p>
        </w:tc>
        <w:tc>
          <w:tcPr>
            <w:tcW w:w="2940" w:type="dxa"/>
            <w:tcBorders>
              <w:left w:val="single" w:sz="4" w:space="0" w:color="auto"/>
              <w:right w:val="single" w:sz="4" w:space="0" w:color="auto"/>
            </w:tcBorders>
            <w:shd w:val="clear" w:color="auto" w:fill="auto"/>
          </w:tcPr>
          <w:p w14:paraId="494761CB"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Wu et al. 2017</w:t>
            </w:r>
          </w:p>
        </w:tc>
      </w:tr>
      <w:tr w:rsidR="00EE1680" w:rsidRPr="006600C8" w14:paraId="35A3D47A" w14:textId="77777777" w:rsidTr="00350B0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03E661F5"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3848A409"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S45P</w:t>
            </w:r>
          </w:p>
        </w:tc>
        <w:tc>
          <w:tcPr>
            <w:tcW w:w="2940" w:type="dxa"/>
            <w:tcBorders>
              <w:left w:val="single" w:sz="4" w:space="0" w:color="auto"/>
              <w:right w:val="single" w:sz="4" w:space="0" w:color="auto"/>
            </w:tcBorders>
            <w:shd w:val="clear" w:color="auto" w:fill="auto"/>
          </w:tcPr>
          <w:p w14:paraId="55C9B14E"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Wu et al. 2017</w:t>
            </w:r>
          </w:p>
        </w:tc>
      </w:tr>
      <w:tr w:rsidR="00EE1680" w:rsidRPr="006600C8" w14:paraId="1C2BCC28" w14:textId="77777777" w:rsidTr="00350B09">
        <w:trPr>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691B2FAC"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5300D424"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S45Y</w:t>
            </w:r>
          </w:p>
        </w:tc>
        <w:tc>
          <w:tcPr>
            <w:tcW w:w="2940" w:type="dxa"/>
            <w:tcBorders>
              <w:left w:val="single" w:sz="4" w:space="0" w:color="auto"/>
              <w:right w:val="single" w:sz="4" w:space="0" w:color="auto"/>
            </w:tcBorders>
            <w:shd w:val="clear" w:color="auto" w:fill="auto"/>
          </w:tcPr>
          <w:p w14:paraId="61D7502D"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Wu et al. 2017</w:t>
            </w:r>
          </w:p>
        </w:tc>
      </w:tr>
      <w:tr w:rsidR="00EE1680" w:rsidRPr="006600C8" w14:paraId="3C37BF01" w14:textId="77777777" w:rsidTr="00350B0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5743CD08"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5F1D9614"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K345R</w:t>
            </w:r>
          </w:p>
        </w:tc>
        <w:tc>
          <w:tcPr>
            <w:tcW w:w="2940" w:type="dxa"/>
            <w:tcBorders>
              <w:left w:val="single" w:sz="4" w:space="0" w:color="auto"/>
              <w:right w:val="single" w:sz="4" w:space="0" w:color="auto"/>
            </w:tcBorders>
            <w:shd w:val="clear" w:color="auto" w:fill="auto"/>
          </w:tcPr>
          <w:p w14:paraId="0D1365DE" w14:textId="77777777" w:rsidR="00EE1680" w:rsidRPr="006600C8" w:rsidRDefault="00EE1680" w:rsidP="00350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r w:rsidR="00EE1680" w:rsidRPr="006600C8" w14:paraId="7246E991" w14:textId="77777777" w:rsidTr="00350B09">
        <w:trPr>
          <w:trHeight w:val="252"/>
        </w:trPr>
        <w:tc>
          <w:tcPr>
            <w:cnfStyle w:val="001000000000" w:firstRow="0" w:lastRow="0" w:firstColumn="1" w:lastColumn="0" w:oddVBand="0" w:evenVBand="0" w:oddHBand="0" w:evenHBand="0" w:firstRowFirstColumn="0" w:firstRowLastColumn="0" w:lastRowFirstColumn="0" w:lastRowLastColumn="0"/>
            <w:tcW w:w="2956" w:type="dxa"/>
            <w:vMerge/>
            <w:tcBorders>
              <w:left w:val="single" w:sz="4" w:space="0" w:color="auto"/>
              <w:right w:val="single" w:sz="4" w:space="0" w:color="auto"/>
            </w:tcBorders>
            <w:shd w:val="clear" w:color="auto" w:fill="auto"/>
          </w:tcPr>
          <w:p w14:paraId="41A75C89" w14:textId="77777777" w:rsidR="00EE1680" w:rsidRPr="006600C8" w:rsidRDefault="00EE1680" w:rsidP="00350B09">
            <w:pPr>
              <w:rPr>
                <w:rFonts w:ascii="Times New Roman" w:hAnsi="Times New Roman" w:cs="Times New Roman"/>
                <w:i/>
                <w:color w:val="FF0000"/>
                <w:sz w:val="24"/>
                <w:szCs w:val="24"/>
              </w:rPr>
            </w:pPr>
          </w:p>
        </w:tc>
        <w:tc>
          <w:tcPr>
            <w:tcW w:w="3007" w:type="dxa"/>
            <w:tcBorders>
              <w:left w:val="single" w:sz="4" w:space="0" w:color="auto"/>
              <w:right w:val="single" w:sz="4" w:space="0" w:color="auto"/>
            </w:tcBorders>
            <w:shd w:val="clear" w:color="auto" w:fill="auto"/>
          </w:tcPr>
          <w:p w14:paraId="4C95BF12"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N387K</w:t>
            </w:r>
          </w:p>
        </w:tc>
        <w:tc>
          <w:tcPr>
            <w:tcW w:w="2940" w:type="dxa"/>
            <w:tcBorders>
              <w:left w:val="single" w:sz="4" w:space="0" w:color="auto"/>
              <w:right w:val="single" w:sz="4" w:space="0" w:color="auto"/>
            </w:tcBorders>
            <w:shd w:val="clear" w:color="auto" w:fill="auto"/>
          </w:tcPr>
          <w:p w14:paraId="27D0046F" w14:textId="77777777" w:rsidR="00EE1680" w:rsidRPr="006600C8" w:rsidRDefault="00EE1680" w:rsidP="00350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00C8">
              <w:rPr>
                <w:rFonts w:ascii="Times New Roman" w:hAnsi="Times New Roman" w:cs="Times New Roman"/>
                <w:sz w:val="24"/>
                <w:szCs w:val="24"/>
              </w:rPr>
              <w:t>Teo et al. 2015</w:t>
            </w:r>
          </w:p>
        </w:tc>
      </w:tr>
    </w:tbl>
    <w:p w14:paraId="257B5850" w14:textId="77777777" w:rsidR="00EE1680" w:rsidRDefault="00EE1680" w:rsidP="00EE1680">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p>
    <w:p w14:paraId="07F7B9A0" w14:textId="77777777" w:rsidR="00EE1680" w:rsidRPr="006600C8" w:rsidRDefault="00EE1680" w:rsidP="00EE1680">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6600C8">
        <w:rPr>
          <w:rFonts w:ascii="Times New Roman" w:eastAsia="SimSun" w:hAnsi="Times New Roman" w:cs="Times New Roman"/>
          <w:kern w:val="2"/>
          <w:sz w:val="24"/>
          <w:szCs w:val="24"/>
          <w:lang w:val="en-US" w:eastAsia="ko-KR"/>
        </w:rPr>
        <w:t>*</w:t>
      </w:r>
      <w:r w:rsidRPr="006600C8">
        <w:rPr>
          <w:rFonts w:ascii="Calibri" w:eastAsia="SimSun" w:hAnsi="Calibri" w:cs="Times New Roman"/>
          <w:kern w:val="2"/>
          <w:sz w:val="20"/>
          <w:lang w:val="en-US" w:eastAsia="ko-KR"/>
        </w:rPr>
        <w:t xml:space="preserve"> </w:t>
      </w:r>
      <w:r w:rsidRPr="006600C8">
        <w:rPr>
          <w:rFonts w:ascii="Times New Roman" w:eastAsia="SimSun" w:hAnsi="Times New Roman" w:cs="Times New Roman"/>
          <w:kern w:val="2"/>
          <w:sz w:val="24"/>
          <w:szCs w:val="24"/>
          <w:lang w:val="en-US" w:eastAsia="ko-KR"/>
        </w:rPr>
        <w:t>Muta</w:t>
      </w:r>
      <w:r>
        <w:rPr>
          <w:rFonts w:ascii="Times New Roman" w:eastAsia="SimSun" w:hAnsi="Times New Roman" w:cs="Times New Roman"/>
          <w:kern w:val="2"/>
          <w:sz w:val="24"/>
          <w:szCs w:val="24"/>
          <w:lang w:val="en-US" w:eastAsia="ko-KR"/>
        </w:rPr>
        <w:t>si yang dilaporkan berada dalam</w:t>
      </w:r>
      <w:r w:rsidRPr="006600C8">
        <w:rPr>
          <w:rFonts w:ascii="Times New Roman" w:eastAsia="SimSun" w:hAnsi="Times New Roman" w:cs="Times New Roman"/>
          <w:kern w:val="2"/>
          <w:sz w:val="24"/>
          <w:szCs w:val="24"/>
          <w:lang w:val="en-US" w:eastAsia="ko-KR"/>
        </w:rPr>
        <w:t xml:space="preserve"> Familial Hiperaldosteronism (FH)</w:t>
      </w:r>
    </w:p>
    <w:p w14:paraId="4598EA51" w14:textId="77777777" w:rsidR="00EE1680" w:rsidRPr="006600C8" w:rsidRDefault="00EE1680" w:rsidP="00EE1680">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6600C8">
        <w:rPr>
          <w:rFonts w:ascii="Times New Roman" w:eastAsia="SimSun" w:hAnsi="Times New Roman" w:cs="Times New Roman"/>
          <w:kern w:val="2"/>
          <w:sz w:val="24"/>
          <w:szCs w:val="24"/>
          <w:lang w:val="en-US" w:eastAsia="ko-KR"/>
        </w:rPr>
        <w:t>**Muta</w:t>
      </w:r>
      <w:r>
        <w:rPr>
          <w:rFonts w:ascii="Times New Roman" w:eastAsia="SimSun" w:hAnsi="Times New Roman" w:cs="Times New Roman"/>
          <w:kern w:val="2"/>
          <w:sz w:val="24"/>
          <w:szCs w:val="24"/>
          <w:lang w:val="en-US" w:eastAsia="ko-KR"/>
        </w:rPr>
        <w:t>si yang dilaporkan berada dalam an</w:t>
      </w:r>
      <w:r w:rsidRPr="006600C8">
        <w:rPr>
          <w:rFonts w:ascii="Times New Roman" w:eastAsia="SimSun" w:hAnsi="Times New Roman" w:cs="Times New Roman"/>
          <w:kern w:val="2"/>
          <w:sz w:val="24"/>
          <w:szCs w:val="24"/>
          <w:lang w:val="en-US" w:eastAsia="ko-KR"/>
        </w:rPr>
        <w:t>tigen Presenting Sel (APCCs)</w:t>
      </w:r>
    </w:p>
    <w:p w14:paraId="1A95B0B9" w14:textId="77777777" w:rsidR="00777534" w:rsidRPr="00B55A04" w:rsidRDefault="00777534" w:rsidP="00777534">
      <w:pPr>
        <w:widowControl w:val="0"/>
        <w:autoSpaceDE w:val="0"/>
        <w:autoSpaceDN w:val="0"/>
        <w:spacing w:after="0" w:line="240" w:lineRule="auto"/>
        <w:jc w:val="both"/>
        <w:outlineLvl w:val="0"/>
        <w:rPr>
          <w:rFonts w:ascii="Times New Roman" w:eastAsia="SimSun" w:hAnsi="Times New Roman" w:cs="Times New Roman"/>
          <w:kern w:val="2"/>
          <w:sz w:val="24"/>
          <w:szCs w:val="24"/>
          <w:lang w:val="en-US" w:eastAsia="ko-KR"/>
        </w:rPr>
      </w:pPr>
    </w:p>
    <w:p w14:paraId="33D4FFB7" w14:textId="77777777" w:rsidR="00857F7A" w:rsidRPr="001E746E" w:rsidRDefault="00857F7A" w:rsidP="00857F7A">
      <w:pPr>
        <w:spacing w:after="0" w:line="480" w:lineRule="auto"/>
        <w:jc w:val="both"/>
        <w:rPr>
          <w:rFonts w:ascii="Times New Roman" w:hAnsi="Times New Roman" w:cs="Times New Roman"/>
          <w:sz w:val="24"/>
          <w:szCs w:val="24"/>
        </w:rPr>
      </w:pPr>
    </w:p>
    <w:p w14:paraId="5CFB629E" w14:textId="20B2BFED" w:rsidR="00FD3266" w:rsidRPr="0003319C" w:rsidRDefault="00FD3266" w:rsidP="001E746E">
      <w:pPr>
        <w:spacing w:line="480" w:lineRule="auto"/>
        <w:jc w:val="both"/>
        <w:rPr>
          <w:rFonts w:ascii="Times New Roman" w:hAnsi="Times New Roman" w:cs="Times New Roman"/>
          <w:b/>
          <w:bCs/>
          <w:sz w:val="24"/>
          <w:szCs w:val="24"/>
        </w:rPr>
      </w:pPr>
      <w:r w:rsidRPr="0003319C">
        <w:rPr>
          <w:rFonts w:ascii="Times New Roman" w:hAnsi="Times New Roman" w:cs="Times New Roman"/>
          <w:b/>
          <w:bCs/>
          <w:sz w:val="24"/>
          <w:szCs w:val="24"/>
        </w:rPr>
        <w:t>Gen</w:t>
      </w:r>
      <w:r w:rsidR="0003319C" w:rsidRPr="0003319C">
        <w:rPr>
          <w:rFonts w:ascii="Times New Roman" w:hAnsi="Times New Roman" w:cs="Times New Roman"/>
          <w:b/>
          <w:bCs/>
          <w:sz w:val="24"/>
          <w:szCs w:val="24"/>
        </w:rPr>
        <w:t>-Gen Yang Berkaitan Dengan Hiperaldosteronisme Keturunan</w:t>
      </w:r>
    </w:p>
    <w:p w14:paraId="3303261C" w14:textId="29A67E8E" w:rsidR="00FD3266" w:rsidRDefault="00FD3266" w:rsidP="00857F7A">
      <w:pPr>
        <w:spacing w:after="0" w:line="480" w:lineRule="auto"/>
        <w:jc w:val="both"/>
        <w:rPr>
          <w:rFonts w:ascii="Times New Roman" w:hAnsi="Times New Roman" w:cs="Times New Roman"/>
          <w:b/>
          <w:bCs/>
          <w:sz w:val="24"/>
          <w:szCs w:val="24"/>
        </w:rPr>
      </w:pPr>
      <w:r w:rsidRPr="0003319C">
        <w:rPr>
          <w:rFonts w:ascii="Times New Roman" w:hAnsi="Times New Roman" w:cs="Times New Roman"/>
          <w:b/>
          <w:bCs/>
          <w:sz w:val="24"/>
          <w:szCs w:val="24"/>
        </w:rPr>
        <w:t xml:space="preserve">Familial Hiperaldosteronisme </w:t>
      </w:r>
      <w:r w:rsidR="00507A94">
        <w:rPr>
          <w:rFonts w:ascii="Times New Roman" w:hAnsi="Times New Roman" w:cs="Times New Roman"/>
          <w:b/>
          <w:bCs/>
          <w:sz w:val="24"/>
          <w:szCs w:val="24"/>
        </w:rPr>
        <w:t xml:space="preserve">Jenis </w:t>
      </w:r>
      <w:r w:rsidRPr="0003319C">
        <w:rPr>
          <w:rFonts w:ascii="Times New Roman" w:hAnsi="Times New Roman" w:cs="Times New Roman"/>
          <w:b/>
          <w:bCs/>
          <w:sz w:val="24"/>
          <w:szCs w:val="24"/>
        </w:rPr>
        <w:t>I</w:t>
      </w:r>
    </w:p>
    <w:p w14:paraId="69EE77D3" w14:textId="77777777" w:rsidR="00857F7A" w:rsidRPr="0003319C" w:rsidRDefault="00857F7A" w:rsidP="00857F7A">
      <w:pPr>
        <w:spacing w:after="0" w:line="480" w:lineRule="auto"/>
        <w:jc w:val="both"/>
        <w:rPr>
          <w:rFonts w:ascii="Times New Roman" w:hAnsi="Times New Roman" w:cs="Times New Roman"/>
          <w:b/>
          <w:bCs/>
          <w:sz w:val="24"/>
          <w:szCs w:val="24"/>
        </w:rPr>
      </w:pPr>
    </w:p>
    <w:p w14:paraId="1AD9CA6E" w14:textId="45DBD888" w:rsidR="00FD3266" w:rsidRPr="0078721C" w:rsidRDefault="00FD3266" w:rsidP="00857F7A">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Pada tahun 1966, Sutherland et al merekodkan kes seorang bapa dan anak dengan hipertensi yang disebabkan oleh hiperaldosteronisme. Tekanan darah tinggi bapa tersebut berterusan walaupun selepas membedah keluar sebelah kelenjar adrenal, tetapi sembuh sepenuhnya dengan rawatan deksametason. Pesakit tersebut digelar mempunyai familial hiperaldosteronisme I (FH-I) atau lebih dikenali sebagai aldosteronisme yang boleh diubati dengan glukokortikoid (“glucocorticoid-remediable aldosteronism” - GRA). Kebanyakan FH-I dijumpai dikalangan kanak-kanak dengan PA, iaitu 1 – 3% kes manakala dikalangan populasi dewasa hanya 0.5-1% kes PA mempunyai sindrom ini (Carvajal et al. 2012). Menariknya, </w:t>
      </w:r>
      <w:r w:rsidRPr="001E746E">
        <w:rPr>
          <w:rFonts w:ascii="Times New Roman" w:hAnsi="Times New Roman" w:cs="Times New Roman"/>
          <w:sz w:val="24"/>
          <w:szCs w:val="24"/>
        </w:rPr>
        <w:lastRenderedPageBreak/>
        <w:t xml:space="preserve">Carvajal et al. (2012) telah menjumpai perbezaan dari segi klinikal dan biokimia pesakit pediaktrik FH-1 berbanding pesakit dewasa di dalam keluarga yang sama dimana pesakit pediatrik mempunyai fenotip yang lebih parah. Namun, kedua-dua pesakit pediatrik dan juga pesakit dewasa lebih kebiasaannya mempunyai adrenal hiperplasia bilateral daripada adrenal adenoma yang </w:t>
      </w:r>
      <w:r w:rsidRPr="0078721C">
        <w:rPr>
          <w:rFonts w:ascii="Times New Roman" w:hAnsi="Times New Roman" w:cs="Times New Roman"/>
          <w:sz w:val="24"/>
          <w:szCs w:val="24"/>
        </w:rPr>
        <w:t xml:space="preserve">unilateral (Jadual 2). </w:t>
      </w:r>
    </w:p>
    <w:p w14:paraId="1E0EBB6A" w14:textId="77777777" w:rsidR="00857F7A" w:rsidRPr="001E746E" w:rsidRDefault="00857F7A" w:rsidP="00857F7A">
      <w:pPr>
        <w:spacing w:after="0" w:line="480" w:lineRule="auto"/>
        <w:jc w:val="both"/>
        <w:rPr>
          <w:rFonts w:ascii="Times New Roman" w:hAnsi="Times New Roman" w:cs="Times New Roman"/>
          <w:sz w:val="24"/>
          <w:szCs w:val="24"/>
        </w:rPr>
      </w:pPr>
    </w:p>
    <w:p w14:paraId="5EDBE6F8" w14:textId="23F6A722" w:rsidR="00FD3266" w:rsidRDefault="00FD3266" w:rsidP="00857F7A">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Etiologi molekul FH-I pertama kali dijumpai oleh Lifton et al. pada tahun 1992. Kajian ini melaporkan bahawa pesakit dengan FH-I mewarisi gen CYP11B1 dan CYP11B2 yang hibrid. Gen hibrid ini mempunyai urutan DNA promoter CYP11B1 dihadapan urutan DNA CYP11B2 (Lifton et al. 1992). Oleh itu, pengeluaran aldosteron dalam pesakit ini dikawal oleh ACTH yang biasanya hanya mengawal pengeluaran kortisol, dan tidak lagi distimulasi oleh stimulasi fisiologi aldosteron iaitu angiotensin II. Akibatnya, pengeluaran aldosteron adalah mengikut corak rembesan sirkadian kortisol. Gen hibrid ini didapati diekspresi dalam semua lapisan sel adrenal kortex. Oleh yang demikian, pesakit FH-I dilaporkan merembeskan steroid hibrid 18-hydroxycortisol dan 18-oxocortisol (Lifton et al. 1992). Menariknya, pesakit FH-I juga telah dilaporkan mempunyai kadar komplikasi serebrovaskular yang tinggi (Litchfield et al. 1998).</w:t>
      </w:r>
    </w:p>
    <w:p w14:paraId="487695B3" w14:textId="77777777" w:rsidR="00857F7A" w:rsidRPr="001E746E" w:rsidRDefault="00857F7A" w:rsidP="00857F7A">
      <w:pPr>
        <w:spacing w:after="0" w:line="480" w:lineRule="auto"/>
        <w:jc w:val="both"/>
        <w:rPr>
          <w:rFonts w:ascii="Times New Roman" w:hAnsi="Times New Roman" w:cs="Times New Roman"/>
          <w:sz w:val="24"/>
          <w:szCs w:val="24"/>
        </w:rPr>
      </w:pPr>
    </w:p>
    <w:p w14:paraId="5A178365" w14:textId="5AAD7304" w:rsidR="00FD3266" w:rsidRDefault="00FD3266" w:rsidP="00857F7A">
      <w:pPr>
        <w:spacing w:after="0" w:line="480" w:lineRule="auto"/>
        <w:jc w:val="both"/>
        <w:rPr>
          <w:rFonts w:ascii="Times New Roman" w:hAnsi="Times New Roman" w:cs="Times New Roman"/>
          <w:b/>
          <w:bCs/>
          <w:sz w:val="24"/>
          <w:szCs w:val="24"/>
        </w:rPr>
      </w:pPr>
      <w:r w:rsidRPr="009A556E">
        <w:rPr>
          <w:rFonts w:ascii="Times New Roman" w:hAnsi="Times New Roman" w:cs="Times New Roman"/>
          <w:b/>
          <w:bCs/>
          <w:sz w:val="24"/>
          <w:szCs w:val="24"/>
        </w:rPr>
        <w:t xml:space="preserve">Familial Hiperaldosteronisme </w:t>
      </w:r>
      <w:r w:rsidR="00507A94">
        <w:rPr>
          <w:rFonts w:ascii="Times New Roman" w:hAnsi="Times New Roman" w:cs="Times New Roman"/>
          <w:b/>
          <w:bCs/>
          <w:sz w:val="24"/>
          <w:szCs w:val="24"/>
        </w:rPr>
        <w:t xml:space="preserve">Jenis </w:t>
      </w:r>
      <w:r w:rsidRPr="009A556E">
        <w:rPr>
          <w:rFonts w:ascii="Times New Roman" w:hAnsi="Times New Roman" w:cs="Times New Roman"/>
          <w:b/>
          <w:bCs/>
          <w:sz w:val="24"/>
          <w:szCs w:val="24"/>
        </w:rPr>
        <w:t>II</w:t>
      </w:r>
    </w:p>
    <w:p w14:paraId="295084AA" w14:textId="77777777" w:rsidR="00857F7A" w:rsidRPr="009A556E" w:rsidRDefault="00857F7A" w:rsidP="00857F7A">
      <w:pPr>
        <w:spacing w:after="0" w:line="480" w:lineRule="auto"/>
        <w:jc w:val="both"/>
        <w:rPr>
          <w:rFonts w:ascii="Times New Roman" w:hAnsi="Times New Roman" w:cs="Times New Roman"/>
          <w:b/>
          <w:bCs/>
          <w:sz w:val="24"/>
          <w:szCs w:val="24"/>
        </w:rPr>
      </w:pPr>
    </w:p>
    <w:p w14:paraId="5318A13E" w14:textId="321B51F1" w:rsidR="00FD3266" w:rsidRDefault="00FD3266" w:rsidP="003631B6">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Pada tah</w:t>
      </w:r>
      <w:r w:rsidR="00065442">
        <w:rPr>
          <w:rFonts w:ascii="Times New Roman" w:hAnsi="Times New Roman" w:cs="Times New Roman"/>
          <w:sz w:val="24"/>
          <w:szCs w:val="24"/>
        </w:rPr>
        <w:t>un 1992, Stowasser et al.</w:t>
      </w:r>
      <w:r w:rsidRPr="001E746E">
        <w:rPr>
          <w:rFonts w:ascii="Times New Roman" w:hAnsi="Times New Roman" w:cs="Times New Roman"/>
          <w:sz w:val="24"/>
          <w:szCs w:val="24"/>
        </w:rPr>
        <w:t xml:space="preserve"> pertama kalinya melaporkan familial hyperaldosteronisme II (FH-II), iaitu yang dicirikan sebagai PA yang diwarisi yang bukan FH-I. Berlainan dengan FH-I, pesakit didiagnosis FH-II pada umur yang berbeza-beza dari 14 hingga 78 tahun (Mulatero et al. 2011). Pesakit didiagnosis dengan FH-II apabila sekurang-kurangnya dua ahli keluarganya telah didiagnosis dengan PA (sama ada APA atau BAH) dan apabila FH-I dan familial hiperaldosteronisme jenis III (FH-III) telah dikecualikan. Dalam FH-II, ciri-ciri </w:t>
      </w:r>
      <w:r w:rsidRPr="001E746E">
        <w:rPr>
          <w:rFonts w:ascii="Times New Roman" w:hAnsi="Times New Roman" w:cs="Times New Roman"/>
          <w:sz w:val="24"/>
          <w:szCs w:val="24"/>
        </w:rPr>
        <w:lastRenderedPageBreak/>
        <w:t>klinikal dan biokimia serta keparahan tahap penyakit berbeza-beza antara pesakit dan ahli keluarga. FH-II mungkin unilateral atau bilateral, dan sangat mirip dengan PA sporadik seperti yang dibentangkan dalam Jadual 2 (Mulatero et al. 2011). Prevalen FH-II juga lebih tinggi (kira-kira 6%) jika dibandingkan dengan jenis familial hiperaldosteronisme yang lain. Bergantung kepada keparahan dan presentasi, FH-II dirawat sama ada melalui adrenalektomi atau menggunakan antagonis mineralokortikoid</w:t>
      </w:r>
      <w:r w:rsidR="003631B6">
        <w:rPr>
          <w:rFonts w:ascii="Times New Roman" w:hAnsi="Times New Roman" w:cs="Times New Roman"/>
          <w:sz w:val="24"/>
          <w:szCs w:val="24"/>
        </w:rPr>
        <w:t>.</w:t>
      </w:r>
    </w:p>
    <w:p w14:paraId="23B299A8" w14:textId="77777777" w:rsidR="003631B6" w:rsidRPr="001E746E" w:rsidRDefault="003631B6" w:rsidP="003631B6">
      <w:pPr>
        <w:spacing w:after="0" w:line="480" w:lineRule="auto"/>
        <w:jc w:val="both"/>
        <w:rPr>
          <w:rFonts w:ascii="Times New Roman" w:hAnsi="Times New Roman" w:cs="Times New Roman"/>
          <w:sz w:val="24"/>
          <w:szCs w:val="24"/>
        </w:rPr>
      </w:pPr>
    </w:p>
    <w:p w14:paraId="47D97CA5" w14:textId="0D455405" w:rsidR="00FD3266" w:rsidRDefault="00FD3266" w:rsidP="003631B6">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Mod pewarisan yang ditemui dalam kalangan FH-II adalah autosomal dominan (Sukor et al. 2008). Satu kajian keseluruhan genom satu keluarga yang menghidapi FH-II melaporkan pembabitan kromosom 7p22 dengan presentasi penyakit ini (Lafferty et al. 2000). Pembabitan kromosom 7p22 dengan FH-II dijumpai lagi sekali oleh Sukor et al. (2008) apabila lima keluarga yang berbeza dianalisis. Walaubagaimanapun, calon gen di kawasan kromosom ini gagal dikenalpasti. Baru-baru ini sebahagian daripada pesakit FH-II didapati mempunyai mutasi di dalam gen CLCN2 (Scholl et al. 2018). Dalam kajian ini, keluarga bersejarah FH-II ini dan 80 pesakit FH-II yang lain dianalisis menggunakan penjujukan exom mengenal pasti lapan pesakit dengan mutasi CLCN2. Gen CLCN2 mengkodkan saluran klorida yang diekspresi di dalam banyak tisu, termasuk otak, paru-paru, ginjal, usus, dan di ZG kelenjar adrenal (Thiemann et al. 1992; Scholl et al. 2018). Mutasi gen CLCN2 (p.Met22Lys, p.Tyr26Asn, p.Arg172Gln, p.Lys362del, p.Ser865Arg) mendepolarisasi potensi membran sel ZG yang meningkatkan ekspresi CYP11B2 dan menyebabkan pengeluaran aldosteron yang berlebihan.</w:t>
      </w:r>
    </w:p>
    <w:p w14:paraId="37B50C7F" w14:textId="77777777" w:rsidR="003631B6" w:rsidRPr="001E746E" w:rsidRDefault="003631B6" w:rsidP="003631B6">
      <w:pPr>
        <w:spacing w:after="0" w:line="480" w:lineRule="auto"/>
        <w:jc w:val="both"/>
        <w:rPr>
          <w:rFonts w:ascii="Times New Roman" w:hAnsi="Times New Roman" w:cs="Times New Roman"/>
          <w:sz w:val="24"/>
          <w:szCs w:val="24"/>
        </w:rPr>
      </w:pPr>
    </w:p>
    <w:p w14:paraId="0CBA6D42" w14:textId="66ECC4CB" w:rsidR="00FD3266" w:rsidRDefault="00FD3266" w:rsidP="003631B6">
      <w:pPr>
        <w:spacing w:after="0" w:line="480" w:lineRule="auto"/>
        <w:jc w:val="both"/>
        <w:rPr>
          <w:rFonts w:ascii="Times New Roman" w:hAnsi="Times New Roman" w:cs="Times New Roman"/>
          <w:b/>
          <w:bCs/>
          <w:sz w:val="24"/>
          <w:szCs w:val="24"/>
        </w:rPr>
      </w:pPr>
      <w:r w:rsidRPr="00B5619C">
        <w:rPr>
          <w:rFonts w:ascii="Times New Roman" w:hAnsi="Times New Roman" w:cs="Times New Roman"/>
          <w:b/>
          <w:bCs/>
          <w:sz w:val="24"/>
          <w:szCs w:val="24"/>
        </w:rPr>
        <w:t>Familial Hiperaldosteronisme Jenis III</w:t>
      </w:r>
    </w:p>
    <w:p w14:paraId="24469B74" w14:textId="77777777" w:rsidR="003631B6" w:rsidRPr="00B5619C" w:rsidRDefault="003631B6" w:rsidP="003631B6">
      <w:pPr>
        <w:spacing w:after="0" w:line="480" w:lineRule="auto"/>
        <w:jc w:val="both"/>
        <w:rPr>
          <w:rFonts w:ascii="Times New Roman" w:hAnsi="Times New Roman" w:cs="Times New Roman"/>
          <w:b/>
          <w:bCs/>
          <w:sz w:val="24"/>
          <w:szCs w:val="24"/>
        </w:rPr>
      </w:pPr>
    </w:p>
    <w:p w14:paraId="66FE3DF0" w14:textId="31CB69D2" w:rsidR="00FD3266" w:rsidRDefault="00FD3266" w:rsidP="003631B6">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lastRenderedPageBreak/>
        <w:t>Pada</w:t>
      </w:r>
      <w:r w:rsidR="0078721C">
        <w:rPr>
          <w:rFonts w:ascii="Times New Roman" w:hAnsi="Times New Roman" w:cs="Times New Roman"/>
          <w:sz w:val="24"/>
          <w:szCs w:val="24"/>
        </w:rPr>
        <w:t xml:space="preserve"> tahun 2008, Geller et al.</w:t>
      </w:r>
      <w:r w:rsidRPr="001E746E">
        <w:rPr>
          <w:rFonts w:ascii="Times New Roman" w:hAnsi="Times New Roman" w:cs="Times New Roman"/>
          <w:sz w:val="24"/>
          <w:szCs w:val="24"/>
        </w:rPr>
        <w:t xml:space="preserve"> pertama kali mencirikan familial hiperaldosteronisme III dalam laporan kajian mereka melibatkan seorang bapa dan dua anak perempuannya. Pesakit yang terlibat ini mempunyai sejarah hipertensi yang teruk semenjak kanak-kanak dengan ciri-ciri klinikal dan biokimia yang tersendiri seperti yang dinyatakan dalam Jadual 2. Mereka juga mempamerkan tahap steroid hibrid yang tinggi (18-hidrokortisol dan 18-ozokortisol) diiringi dengan hypokalemia. Menariknya, ujian suppresi deksametason meningkatkan tahap pengeluaran aldosteron dan tekanan darah pesakit ini. Adrenalektomi kedua-dua belah kelenjar adrenal menormalisasikan tekanan darah dan tahap aldosteron pesakit tersebut. Adrenal yang dibedah keluar bersaiz besar, dan histopatologi menunjukkan satu zona-glomerulosa yang atropik dan hiperplasia zona fasikulata (Geller et al. 2008). Namun begitu, klinikal fenotip berbeza-beza kerana ada pesakit yang jenis fenotip serius dan ada juga yang jenis fenotip ringan </w:t>
      </w:r>
      <w:r w:rsidR="00691AFD">
        <w:rPr>
          <w:rFonts w:ascii="Times New Roman" w:hAnsi="Times New Roman" w:cs="Times New Roman"/>
          <w:sz w:val="24"/>
          <w:szCs w:val="24"/>
        </w:rPr>
        <w:t xml:space="preserve">(Monticone et al. </w:t>
      </w:r>
      <w:r w:rsidRPr="001E746E">
        <w:rPr>
          <w:rFonts w:ascii="Times New Roman" w:hAnsi="Times New Roman" w:cs="Times New Roman"/>
          <w:sz w:val="24"/>
          <w:szCs w:val="24"/>
        </w:rPr>
        <w:t>2015).</w:t>
      </w:r>
    </w:p>
    <w:p w14:paraId="194ACFC0" w14:textId="77777777" w:rsidR="003631B6" w:rsidRPr="001E746E" w:rsidRDefault="003631B6" w:rsidP="003631B6">
      <w:pPr>
        <w:spacing w:after="0" w:line="480" w:lineRule="auto"/>
        <w:jc w:val="both"/>
        <w:rPr>
          <w:rFonts w:ascii="Times New Roman" w:hAnsi="Times New Roman" w:cs="Times New Roman"/>
          <w:sz w:val="24"/>
          <w:szCs w:val="24"/>
        </w:rPr>
      </w:pPr>
    </w:p>
    <w:p w14:paraId="3BD310F2" w14:textId="77777777" w:rsidR="003631B6" w:rsidRDefault="00FD3266" w:rsidP="003631B6">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Choi et al. (2011) mengenalpasti etiologi genetik di sebalik FH-III melalui penjujukan seluruh exom. Mereka menjumpai mutasi p.T158A KCNJ5 dalam DNA seorang pesakit FH-III sama seperti yang telah dijumpai secara somatik di dalam APA. Menyokong perjumpaan ini, Scholl et al. (2012) juga telah mengenal pasti mutasi titisan germa KCNJ5 di dalam empat keluarga yang mempunyai FH-III dengan presentasi fenotip yang awal. Mutasi tersebut p.G151E dan p.G151R merupakan sebahagian daripada kawasan yang sering mendapat mutasi somatik di dalam APA. Kini, ramai penyelidik telah mengenal pasti mutasi KCNJ5 didalam pesakit yang sebelum ini didiagnosis sebagai FH-II (Mulatero et al. 2012). </w:t>
      </w:r>
    </w:p>
    <w:p w14:paraId="513CB045" w14:textId="2F2865B8" w:rsidR="00FD3266" w:rsidRPr="001E746E" w:rsidRDefault="00FD3266" w:rsidP="003631B6">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 </w:t>
      </w:r>
    </w:p>
    <w:p w14:paraId="4CEFF7D2" w14:textId="7551A8B3" w:rsidR="00FD3266" w:rsidRDefault="00FD3266" w:rsidP="003631B6">
      <w:pPr>
        <w:spacing w:after="0" w:line="480" w:lineRule="auto"/>
        <w:jc w:val="both"/>
        <w:rPr>
          <w:rFonts w:ascii="Times New Roman" w:hAnsi="Times New Roman" w:cs="Times New Roman"/>
          <w:b/>
          <w:bCs/>
          <w:sz w:val="24"/>
          <w:szCs w:val="24"/>
        </w:rPr>
      </w:pPr>
      <w:r w:rsidRPr="00B5619C">
        <w:rPr>
          <w:rFonts w:ascii="Times New Roman" w:hAnsi="Times New Roman" w:cs="Times New Roman"/>
          <w:b/>
          <w:bCs/>
          <w:sz w:val="24"/>
          <w:szCs w:val="24"/>
        </w:rPr>
        <w:t>Familial Hiperaldosteronisme yang disebabkan oleh gen CACNA1H and CACNA1D (Familial Hiperaldosteronisme-IV/V)</w:t>
      </w:r>
    </w:p>
    <w:p w14:paraId="58C1D370" w14:textId="77777777" w:rsidR="003631B6" w:rsidRPr="00B5619C" w:rsidRDefault="003631B6" w:rsidP="003631B6">
      <w:pPr>
        <w:spacing w:after="0" w:line="480" w:lineRule="auto"/>
        <w:jc w:val="both"/>
        <w:rPr>
          <w:rFonts w:ascii="Times New Roman" w:hAnsi="Times New Roman" w:cs="Times New Roman"/>
          <w:b/>
          <w:bCs/>
          <w:sz w:val="24"/>
          <w:szCs w:val="24"/>
        </w:rPr>
      </w:pPr>
    </w:p>
    <w:p w14:paraId="6E53721C" w14:textId="4B225857" w:rsidR="00B5619C" w:rsidRDefault="00FD3266" w:rsidP="003631B6">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lastRenderedPageBreak/>
        <w:t>Gen CACNA1D dan CACNA1H ditemui di dalam pesakit familial hiperaldosteronisme. Setakat ini, CACNA1D hanya ditemukan di dalam dua kes yang berkaitan dengan sindrom PA, sawan dan abnormal neurologi. Mutasi CACNA1D pada familial hiperaldosteronisme hanya ditemui berikutan pengenalan mutasi somatik yang sama pada APA. Manakala, mutasi berulang dalam CACNA1H (pengekodan untuk Cav3.2) dikenal pasti dalam bentuk familial awal PA (Scholl et al. 2015). Untuk mengenal pasti gen penyebab penyakit baru pada familial hiperaldosteronisme, Scholl et al. (2015) memeriksa 40 individu yang tidak berkaitan yang didiagnosis dengan PA sehingga usia 10 tahun dengan penjujukan exom. Lima subjek yang tidak berkaitan berkongsi mutasi heterozigot novel yang sama dari saluran kalsium jenis-T berpagar voltan CACNA1H (M1549V). Analisis keluarga menunjukkan terjadinya mutasi de novo dalam dua keluarga dan mencadangkan penembusan yang tidak lengkap (Scholl et al. 2015).  Saluran kalsium mutan menunjukkan ketidakaktifan dan pengaktifan saluran yang terganggu secara dramatik pada potensi membran yang lebih berpolarisasi, yang mengakibatkan peningkatan Ca2 + intraselular, isyarat untuk pengeluaran aldosteron. Ekspresi saluran mutan dalam sel H295R dan subklon HAC15 menghasilkan peningkatan pengeluaran aldosteron berbanding dengan saluran liar, yang dihapuskan oleh penghambatan saluran CACNA1H dengan penyekat saluran kalsium jenis-T mibefradil (Reimer et al. 2016). Variasi garis kuman CACNA1H selanjutnya dikenal pasti oleh penjujukan keseluruhan exom pada pesakit dengan pelbagai jenis PA: satu lagi kes de novo yang membawa M1549I pada pesakit dengan permulaan awal PA; S196L dalam saudara lelaki dan perempuan; P2083L pada saudara yang didiagnosis dengan Familial Hiperaldosteronisme; dan V1951E pada pesakit dengan APA (Reimer et al. 2016). Bagaimanapun, sama ada varian pada residu selain M1549 adalah penyebab Familail Hiperaldosteronisme-IV, masih belum dapat ditentukan.</w:t>
      </w:r>
    </w:p>
    <w:p w14:paraId="7FA3CD0E" w14:textId="49FE8EEB" w:rsidR="00777534" w:rsidRDefault="00777534" w:rsidP="003631B6">
      <w:pPr>
        <w:spacing w:after="0" w:line="480" w:lineRule="auto"/>
        <w:jc w:val="both"/>
        <w:rPr>
          <w:rFonts w:ascii="Times New Roman" w:hAnsi="Times New Roman" w:cs="Times New Roman"/>
          <w:sz w:val="24"/>
          <w:szCs w:val="24"/>
        </w:rPr>
      </w:pPr>
    </w:p>
    <w:p w14:paraId="66077D59" w14:textId="77777777" w:rsidR="00975D0A" w:rsidRPr="00B55A04" w:rsidRDefault="00975D0A" w:rsidP="00975D0A">
      <w:pPr>
        <w:spacing w:after="0" w:line="240" w:lineRule="auto"/>
        <w:jc w:val="center"/>
        <w:rPr>
          <w:rFonts w:ascii="Times New Roman" w:eastAsia="SimSun" w:hAnsi="Times New Roman" w:cs="Times New Roman"/>
          <w:b/>
          <w:bCs/>
          <w:kern w:val="2"/>
          <w:sz w:val="24"/>
          <w:szCs w:val="24"/>
          <w:lang w:val="en-US" w:eastAsia="ko-KR"/>
        </w:rPr>
      </w:pPr>
      <w:r w:rsidRPr="00B55A04">
        <w:rPr>
          <w:rFonts w:ascii="Times New Roman" w:eastAsia="SimSun" w:hAnsi="Times New Roman" w:cs="Times New Roman"/>
          <w:b/>
          <w:bCs/>
          <w:kern w:val="2"/>
          <w:sz w:val="24"/>
          <w:szCs w:val="24"/>
          <w:lang w:val="en-US" w:eastAsia="ko-KR"/>
        </w:rPr>
        <w:t>Jadual 2: Data klinikal dan biokimia pesakit dengan familial hiperaldosteronisme (FH)</w:t>
      </w:r>
    </w:p>
    <w:p w14:paraId="4860BB30" w14:textId="77777777" w:rsidR="00975D0A" w:rsidRPr="00B55A04" w:rsidRDefault="00975D0A" w:rsidP="00975D0A">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Style w:val="TableGrid1"/>
        <w:tblW w:w="0" w:type="auto"/>
        <w:tblLook w:val="04A0" w:firstRow="1" w:lastRow="0" w:firstColumn="1" w:lastColumn="0" w:noHBand="0" w:noVBand="1"/>
      </w:tblPr>
      <w:tblGrid>
        <w:gridCol w:w="2249"/>
        <w:gridCol w:w="2424"/>
        <w:gridCol w:w="2078"/>
        <w:gridCol w:w="2249"/>
      </w:tblGrid>
      <w:tr w:rsidR="00975D0A" w:rsidRPr="00B55A04" w14:paraId="7C88BA42" w14:textId="77777777" w:rsidTr="007735D5">
        <w:trPr>
          <w:trHeight w:val="307"/>
        </w:trPr>
        <w:tc>
          <w:tcPr>
            <w:tcW w:w="2249" w:type="dxa"/>
          </w:tcPr>
          <w:p w14:paraId="41FA03F1"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p>
        </w:tc>
        <w:tc>
          <w:tcPr>
            <w:tcW w:w="2424" w:type="dxa"/>
          </w:tcPr>
          <w:p w14:paraId="2F7616C8" w14:textId="77777777" w:rsidR="00975D0A" w:rsidRPr="00B55A04" w:rsidRDefault="00975D0A" w:rsidP="007735D5">
            <w:pPr>
              <w:widowControl w:val="0"/>
              <w:wordWrap w:val="0"/>
              <w:autoSpaceDE w:val="0"/>
              <w:autoSpaceDN w:val="0"/>
              <w:jc w:val="center"/>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FH-I</w:t>
            </w:r>
          </w:p>
        </w:tc>
        <w:tc>
          <w:tcPr>
            <w:tcW w:w="2078" w:type="dxa"/>
          </w:tcPr>
          <w:p w14:paraId="6054D584" w14:textId="77777777" w:rsidR="00975D0A" w:rsidRPr="00B55A04" w:rsidRDefault="00975D0A" w:rsidP="007735D5">
            <w:pPr>
              <w:widowControl w:val="0"/>
              <w:wordWrap w:val="0"/>
              <w:autoSpaceDE w:val="0"/>
              <w:autoSpaceDN w:val="0"/>
              <w:jc w:val="center"/>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FH-II</w:t>
            </w:r>
          </w:p>
        </w:tc>
        <w:tc>
          <w:tcPr>
            <w:tcW w:w="2249" w:type="dxa"/>
          </w:tcPr>
          <w:p w14:paraId="31900125" w14:textId="77777777" w:rsidR="00975D0A" w:rsidRPr="00B55A04" w:rsidRDefault="00975D0A" w:rsidP="007735D5">
            <w:pPr>
              <w:widowControl w:val="0"/>
              <w:wordWrap w:val="0"/>
              <w:autoSpaceDE w:val="0"/>
              <w:autoSpaceDN w:val="0"/>
              <w:jc w:val="center"/>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FH-III</w:t>
            </w:r>
          </w:p>
        </w:tc>
      </w:tr>
      <w:tr w:rsidR="00975D0A" w:rsidRPr="00B55A04" w14:paraId="2C230AE0" w14:textId="77777777" w:rsidTr="007735D5">
        <w:trPr>
          <w:trHeight w:val="527"/>
        </w:trPr>
        <w:tc>
          <w:tcPr>
            <w:tcW w:w="2249" w:type="dxa"/>
          </w:tcPr>
          <w:p w14:paraId="245E83AB"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Mutasi Gen</w:t>
            </w:r>
          </w:p>
        </w:tc>
        <w:tc>
          <w:tcPr>
            <w:tcW w:w="2424" w:type="dxa"/>
          </w:tcPr>
          <w:p w14:paraId="58EDFD2E" w14:textId="7CC98FFD" w:rsidR="00975D0A" w:rsidRPr="00B55A04" w:rsidRDefault="00EE1680"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Pr>
                <w:rFonts w:ascii="Times New Roman" w:eastAsia="SimSun" w:hAnsi="Times New Roman" w:cs="Times New Roman"/>
                <w:kern w:val="2"/>
                <w:sz w:val="24"/>
                <w:szCs w:val="24"/>
                <w:lang w:val="en-US" w:eastAsia="ko-KR"/>
              </w:rPr>
              <w:t xml:space="preserve">Hibrid CYP11B1/CYP11B2 </w:t>
            </w:r>
          </w:p>
        </w:tc>
        <w:tc>
          <w:tcPr>
            <w:tcW w:w="2078" w:type="dxa"/>
          </w:tcPr>
          <w:p w14:paraId="3D16A12E" w14:textId="7AEEBAB3" w:rsidR="00975D0A" w:rsidRPr="00B55A04" w:rsidRDefault="00EE1680"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Pr>
                <w:rFonts w:ascii="Times New Roman" w:eastAsia="SimSun" w:hAnsi="Times New Roman" w:cs="Times New Roman"/>
                <w:kern w:val="2"/>
                <w:sz w:val="24"/>
                <w:szCs w:val="24"/>
                <w:lang w:val="en-US" w:eastAsia="ko-KR"/>
              </w:rPr>
              <w:t xml:space="preserve">CLCN2 </w:t>
            </w:r>
          </w:p>
        </w:tc>
        <w:tc>
          <w:tcPr>
            <w:tcW w:w="2249" w:type="dxa"/>
          </w:tcPr>
          <w:p w14:paraId="283248E4" w14:textId="253BA6FC" w:rsidR="00975D0A" w:rsidRPr="00B55A04" w:rsidRDefault="00EE1680"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Pr>
                <w:rFonts w:ascii="Times New Roman" w:eastAsia="SimSun" w:hAnsi="Times New Roman" w:cs="Times New Roman"/>
                <w:kern w:val="2"/>
                <w:sz w:val="24"/>
                <w:szCs w:val="24"/>
                <w:lang w:val="en-US" w:eastAsia="ko-KR"/>
              </w:rPr>
              <w:t>KCNJ5</w:t>
            </w:r>
          </w:p>
        </w:tc>
      </w:tr>
      <w:tr w:rsidR="00975D0A" w:rsidRPr="00B55A04" w14:paraId="49CC0482" w14:textId="77777777" w:rsidTr="007735D5">
        <w:trPr>
          <w:trHeight w:val="307"/>
        </w:trPr>
        <w:tc>
          <w:tcPr>
            <w:tcW w:w="2249" w:type="dxa"/>
          </w:tcPr>
          <w:p w14:paraId="5765081E"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Mod pewarisan</w:t>
            </w:r>
          </w:p>
        </w:tc>
        <w:tc>
          <w:tcPr>
            <w:tcW w:w="2424" w:type="dxa"/>
          </w:tcPr>
          <w:p w14:paraId="59F55172"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Autosomal dominan</w:t>
            </w:r>
          </w:p>
        </w:tc>
        <w:tc>
          <w:tcPr>
            <w:tcW w:w="2078" w:type="dxa"/>
          </w:tcPr>
          <w:p w14:paraId="3342677E"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Autosomal dominan</w:t>
            </w:r>
          </w:p>
        </w:tc>
        <w:tc>
          <w:tcPr>
            <w:tcW w:w="2249" w:type="dxa"/>
          </w:tcPr>
          <w:p w14:paraId="158927E4"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Autosomal dominan</w:t>
            </w:r>
          </w:p>
        </w:tc>
      </w:tr>
      <w:tr w:rsidR="00975D0A" w:rsidRPr="00B55A04" w14:paraId="0D892035" w14:textId="77777777" w:rsidTr="007735D5">
        <w:trPr>
          <w:trHeight w:val="511"/>
        </w:trPr>
        <w:tc>
          <w:tcPr>
            <w:tcW w:w="2249" w:type="dxa"/>
          </w:tcPr>
          <w:p w14:paraId="32D5CF49"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Umur di diagnosis</w:t>
            </w:r>
          </w:p>
        </w:tc>
        <w:tc>
          <w:tcPr>
            <w:tcW w:w="2424" w:type="dxa"/>
          </w:tcPr>
          <w:p w14:paraId="4F7DF81D"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Berubah-ubah, kebanyakannya muda</w:t>
            </w:r>
          </w:p>
        </w:tc>
        <w:tc>
          <w:tcPr>
            <w:tcW w:w="2078" w:type="dxa"/>
          </w:tcPr>
          <w:p w14:paraId="2EA44D26"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Berubah-ubah atau seperti-APA</w:t>
            </w:r>
          </w:p>
        </w:tc>
        <w:tc>
          <w:tcPr>
            <w:tcW w:w="2249" w:type="dxa"/>
          </w:tcPr>
          <w:p w14:paraId="703071C2"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Kebanyakannya semasa kanak-kanak</w:t>
            </w:r>
          </w:p>
        </w:tc>
      </w:tr>
      <w:tr w:rsidR="00975D0A" w:rsidRPr="00B55A04" w14:paraId="56E3942C" w14:textId="77777777" w:rsidTr="007735D5">
        <w:trPr>
          <w:trHeight w:val="292"/>
        </w:trPr>
        <w:tc>
          <w:tcPr>
            <w:tcW w:w="2249" w:type="dxa"/>
          </w:tcPr>
          <w:p w14:paraId="60A54720"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Hipertensi</w:t>
            </w:r>
          </w:p>
        </w:tc>
        <w:tc>
          <w:tcPr>
            <w:tcW w:w="2424" w:type="dxa"/>
          </w:tcPr>
          <w:p w14:paraId="3FA68778"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Normotensif kepada hipertensi yang teruk</w:t>
            </w:r>
          </w:p>
        </w:tc>
        <w:tc>
          <w:tcPr>
            <w:tcW w:w="2078" w:type="dxa"/>
          </w:tcPr>
          <w:p w14:paraId="72A7CF32"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Normotensif kepada hipertensi yang teruk</w:t>
            </w:r>
          </w:p>
        </w:tc>
        <w:tc>
          <w:tcPr>
            <w:tcW w:w="2249" w:type="dxa"/>
          </w:tcPr>
          <w:p w14:paraId="2AC4B1BE"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Hipertensi yang teruk</w:t>
            </w:r>
          </w:p>
        </w:tc>
      </w:tr>
      <w:tr w:rsidR="00975D0A" w:rsidRPr="00B55A04" w14:paraId="0CABC50A" w14:textId="77777777" w:rsidTr="007735D5">
        <w:trPr>
          <w:trHeight w:val="699"/>
        </w:trPr>
        <w:tc>
          <w:tcPr>
            <w:tcW w:w="2249" w:type="dxa"/>
          </w:tcPr>
          <w:p w14:paraId="73B84721"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Tahap aldosteron</w:t>
            </w:r>
          </w:p>
        </w:tc>
        <w:tc>
          <w:tcPr>
            <w:tcW w:w="2424" w:type="dxa"/>
          </w:tcPr>
          <w:p w14:paraId="7F8DB372"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Biasa kepada meningkat dengan ketara</w:t>
            </w:r>
          </w:p>
        </w:tc>
        <w:tc>
          <w:tcPr>
            <w:tcW w:w="2078" w:type="dxa"/>
          </w:tcPr>
          <w:p w14:paraId="7A2A235B"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Biasa kepada meningkat dengan ketara</w:t>
            </w:r>
          </w:p>
        </w:tc>
        <w:tc>
          <w:tcPr>
            <w:tcW w:w="2249" w:type="dxa"/>
          </w:tcPr>
          <w:p w14:paraId="3D9B5F82"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Sangat tinggi</w:t>
            </w:r>
          </w:p>
        </w:tc>
      </w:tr>
      <w:tr w:rsidR="00975D0A" w:rsidRPr="00B55A04" w14:paraId="22371696" w14:textId="77777777" w:rsidTr="007735D5">
        <w:trPr>
          <w:trHeight w:val="307"/>
        </w:trPr>
        <w:tc>
          <w:tcPr>
            <w:tcW w:w="2249" w:type="dxa"/>
          </w:tcPr>
          <w:p w14:paraId="34B2B6B3"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Tahap potassium</w:t>
            </w:r>
          </w:p>
        </w:tc>
        <w:tc>
          <w:tcPr>
            <w:tcW w:w="2424" w:type="dxa"/>
          </w:tcPr>
          <w:p w14:paraId="4717AEFE"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Biasa kepada rendah</w:t>
            </w:r>
          </w:p>
        </w:tc>
        <w:tc>
          <w:tcPr>
            <w:tcW w:w="2078" w:type="dxa"/>
          </w:tcPr>
          <w:p w14:paraId="72A1286D"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Biasa kepada rendah</w:t>
            </w:r>
          </w:p>
        </w:tc>
        <w:tc>
          <w:tcPr>
            <w:tcW w:w="2249" w:type="dxa"/>
          </w:tcPr>
          <w:p w14:paraId="2B98DBDA"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Hipokalemik</w:t>
            </w:r>
          </w:p>
        </w:tc>
      </w:tr>
      <w:tr w:rsidR="00975D0A" w:rsidRPr="00B55A04" w14:paraId="01C30029" w14:textId="77777777" w:rsidTr="007735D5">
        <w:trPr>
          <w:trHeight w:val="400"/>
        </w:trPr>
        <w:tc>
          <w:tcPr>
            <w:tcW w:w="2249" w:type="dxa"/>
          </w:tcPr>
          <w:p w14:paraId="366A2A8C"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Steroid hibrid</w:t>
            </w:r>
          </w:p>
        </w:tc>
        <w:tc>
          <w:tcPr>
            <w:tcW w:w="2424" w:type="dxa"/>
          </w:tcPr>
          <w:p w14:paraId="21EEFD3A"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Tinggi</w:t>
            </w:r>
          </w:p>
        </w:tc>
        <w:tc>
          <w:tcPr>
            <w:tcW w:w="2078" w:type="dxa"/>
          </w:tcPr>
          <w:p w14:paraId="68754EAB"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Biasa atau tinggi</w:t>
            </w:r>
          </w:p>
        </w:tc>
        <w:tc>
          <w:tcPr>
            <w:tcW w:w="2249" w:type="dxa"/>
          </w:tcPr>
          <w:p w14:paraId="7757E397"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Sangat tinggi</w:t>
            </w:r>
          </w:p>
        </w:tc>
      </w:tr>
      <w:tr w:rsidR="00975D0A" w:rsidRPr="00B55A04" w14:paraId="64E04EB0" w14:textId="77777777" w:rsidTr="007735D5">
        <w:trPr>
          <w:trHeight w:val="690"/>
        </w:trPr>
        <w:tc>
          <w:tcPr>
            <w:tcW w:w="2249" w:type="dxa"/>
          </w:tcPr>
          <w:p w14:paraId="30E9D261"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Morfologi adrenal</w:t>
            </w:r>
          </w:p>
        </w:tc>
        <w:tc>
          <w:tcPr>
            <w:tcW w:w="2424" w:type="dxa"/>
          </w:tcPr>
          <w:p w14:paraId="15389089"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Biasa atau sesekali keterangan mengenai</w:t>
            </w:r>
          </w:p>
          <w:p w14:paraId="360D9237"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Hyperplasia</w:t>
            </w:r>
          </w:p>
        </w:tc>
        <w:tc>
          <w:tcPr>
            <w:tcW w:w="2078" w:type="dxa"/>
          </w:tcPr>
          <w:p w14:paraId="41AF1588"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APA atau BAH</w:t>
            </w:r>
          </w:p>
        </w:tc>
        <w:tc>
          <w:tcPr>
            <w:tcW w:w="2249" w:type="dxa"/>
          </w:tcPr>
          <w:p w14:paraId="74D9DC2B"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Biasa atau BAH</w:t>
            </w:r>
          </w:p>
        </w:tc>
      </w:tr>
      <w:tr w:rsidR="00975D0A" w:rsidRPr="00B55A04" w14:paraId="4453D19D" w14:textId="77777777" w:rsidTr="007735D5">
        <w:trPr>
          <w:trHeight w:val="614"/>
        </w:trPr>
        <w:tc>
          <w:tcPr>
            <w:tcW w:w="2249" w:type="dxa"/>
          </w:tcPr>
          <w:p w14:paraId="0C379387"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Lateralisasi adrenal</w:t>
            </w:r>
          </w:p>
        </w:tc>
        <w:tc>
          <w:tcPr>
            <w:tcW w:w="2424" w:type="dxa"/>
          </w:tcPr>
          <w:p w14:paraId="4B235080"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Bilateral</w:t>
            </w:r>
          </w:p>
        </w:tc>
        <w:tc>
          <w:tcPr>
            <w:tcW w:w="2078" w:type="dxa"/>
          </w:tcPr>
          <w:p w14:paraId="24D409A8"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Unilateral atau  bilateral</w:t>
            </w:r>
          </w:p>
        </w:tc>
        <w:tc>
          <w:tcPr>
            <w:tcW w:w="2249" w:type="dxa"/>
          </w:tcPr>
          <w:p w14:paraId="75832C9F"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Bilateral</w:t>
            </w:r>
          </w:p>
        </w:tc>
      </w:tr>
      <w:tr w:rsidR="00975D0A" w:rsidRPr="00B55A04" w14:paraId="7BF977FB" w14:textId="77777777" w:rsidTr="007735D5">
        <w:trPr>
          <w:trHeight w:val="637"/>
        </w:trPr>
        <w:tc>
          <w:tcPr>
            <w:tcW w:w="2249" w:type="dxa"/>
          </w:tcPr>
          <w:p w14:paraId="5E9D45A1"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Rawatan</w:t>
            </w:r>
          </w:p>
        </w:tc>
        <w:tc>
          <w:tcPr>
            <w:tcW w:w="2424" w:type="dxa"/>
          </w:tcPr>
          <w:p w14:paraId="52852A46"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Deksametason atau  MRA</w:t>
            </w:r>
          </w:p>
        </w:tc>
        <w:tc>
          <w:tcPr>
            <w:tcW w:w="2078" w:type="dxa"/>
          </w:tcPr>
          <w:p w14:paraId="59B391C6" w14:textId="7439A496"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 xml:space="preserve">Unilateral adrenalektomi </w:t>
            </w:r>
            <w:r w:rsidR="003F1F98">
              <w:rPr>
                <w:rFonts w:ascii="Times New Roman" w:eastAsia="SimSun" w:hAnsi="Times New Roman" w:cs="Times New Roman"/>
                <w:kern w:val="2"/>
                <w:sz w:val="24"/>
                <w:szCs w:val="24"/>
                <w:lang w:val="en-US" w:eastAsia="ko-KR"/>
              </w:rPr>
              <w:t>atau</w:t>
            </w:r>
            <w:r w:rsidRPr="00B55A04">
              <w:rPr>
                <w:rFonts w:ascii="Times New Roman" w:eastAsia="SimSun" w:hAnsi="Times New Roman" w:cs="Times New Roman"/>
                <w:kern w:val="2"/>
                <w:sz w:val="24"/>
                <w:szCs w:val="24"/>
                <w:lang w:val="en-US" w:eastAsia="ko-KR"/>
              </w:rPr>
              <w:t xml:space="preserve"> MRA</w:t>
            </w:r>
          </w:p>
        </w:tc>
        <w:tc>
          <w:tcPr>
            <w:tcW w:w="2249" w:type="dxa"/>
          </w:tcPr>
          <w:p w14:paraId="58EC4AAB" w14:textId="77777777" w:rsidR="00975D0A" w:rsidRPr="00B55A04" w:rsidRDefault="00975D0A" w:rsidP="007735D5">
            <w:pPr>
              <w:widowControl w:val="0"/>
              <w:wordWrap w:val="0"/>
              <w:autoSpaceDE w:val="0"/>
              <w:autoSpaceDN w:val="0"/>
              <w:jc w:val="both"/>
              <w:rPr>
                <w:rFonts w:ascii="Times New Roman" w:eastAsia="SimSun" w:hAnsi="Times New Roman" w:cs="Times New Roman"/>
                <w:kern w:val="2"/>
                <w:sz w:val="24"/>
                <w:szCs w:val="24"/>
                <w:lang w:val="en-US" w:eastAsia="ko-KR"/>
              </w:rPr>
            </w:pPr>
            <w:r w:rsidRPr="00B55A04">
              <w:rPr>
                <w:rFonts w:ascii="Times New Roman" w:eastAsia="SimSun" w:hAnsi="Times New Roman" w:cs="Times New Roman"/>
                <w:kern w:val="2"/>
                <w:sz w:val="24"/>
                <w:szCs w:val="24"/>
                <w:lang w:val="en-US" w:eastAsia="ko-KR"/>
              </w:rPr>
              <w:t>Bilateral adrenalektomi</w:t>
            </w:r>
          </w:p>
        </w:tc>
      </w:tr>
    </w:tbl>
    <w:p w14:paraId="2C7CCDAC" w14:textId="77777777" w:rsidR="00975D0A" w:rsidRPr="00B55A04" w:rsidRDefault="00975D0A" w:rsidP="00975D0A">
      <w:pPr>
        <w:widowControl w:val="0"/>
        <w:wordWrap w:val="0"/>
        <w:autoSpaceDE w:val="0"/>
        <w:autoSpaceDN w:val="0"/>
        <w:spacing w:after="0" w:line="240" w:lineRule="auto"/>
        <w:jc w:val="both"/>
        <w:rPr>
          <w:rFonts w:ascii="Times New Roman" w:eastAsia="SimSun" w:hAnsi="Times New Roman" w:cs="Times New Roman"/>
          <w:kern w:val="2"/>
          <w:sz w:val="24"/>
          <w:szCs w:val="24"/>
          <w:lang w:val="en-US" w:eastAsia="ko-KR"/>
        </w:rPr>
      </w:pPr>
    </w:p>
    <w:p w14:paraId="4443B0E6" w14:textId="77777777" w:rsidR="00D33047" w:rsidRPr="002E3B52" w:rsidRDefault="00D33047" w:rsidP="00D33047">
      <w:pPr>
        <w:widowControl w:val="0"/>
        <w:wordWrap w:val="0"/>
        <w:autoSpaceDE w:val="0"/>
        <w:autoSpaceDN w:val="0"/>
        <w:spacing w:after="0" w:line="360" w:lineRule="auto"/>
        <w:jc w:val="both"/>
        <w:rPr>
          <w:rFonts w:ascii="Times New Roman" w:eastAsia="SimSun" w:hAnsi="Times New Roman" w:cs="Times New Roman"/>
          <w:color w:val="000000"/>
          <w:kern w:val="2"/>
          <w:sz w:val="24"/>
          <w:szCs w:val="24"/>
          <w:lang w:val="en-US" w:eastAsia="ko-KR"/>
        </w:rPr>
      </w:pPr>
      <w:r w:rsidRPr="002E3B52">
        <w:rPr>
          <w:rFonts w:ascii="Times New Roman" w:eastAsia="SimSun" w:hAnsi="Times New Roman" w:cs="Times New Roman"/>
          <w:kern w:val="2"/>
          <w:sz w:val="24"/>
          <w:szCs w:val="24"/>
          <w:lang w:val="en-US" w:eastAsia="ko-KR"/>
        </w:rPr>
        <w:t>*</w:t>
      </w:r>
      <w:r w:rsidRPr="002E3B52">
        <w:rPr>
          <w:rFonts w:ascii="Times New Roman" w:eastAsia="SimSun" w:hAnsi="Times New Roman" w:cs="Times New Roman"/>
          <w:color w:val="000000"/>
          <w:kern w:val="2"/>
          <w:sz w:val="24"/>
          <w:szCs w:val="24"/>
          <w:lang w:val="en-US" w:eastAsia="ko-KR"/>
        </w:rPr>
        <w:t xml:space="preserve">Data </w:t>
      </w:r>
      <w:r>
        <w:rPr>
          <w:rFonts w:ascii="Times New Roman" w:eastAsia="SimSun" w:hAnsi="Times New Roman" w:cs="Times New Roman"/>
          <w:color w:val="000000"/>
          <w:kern w:val="2"/>
          <w:sz w:val="24"/>
          <w:szCs w:val="24"/>
          <w:lang w:val="en-US" w:eastAsia="ko-KR"/>
        </w:rPr>
        <w:t>diolah daripada</w:t>
      </w:r>
      <w:r w:rsidRPr="002E3B52">
        <w:rPr>
          <w:rFonts w:ascii="Times New Roman" w:eastAsia="SimSun" w:hAnsi="Times New Roman" w:cs="Times New Roman"/>
          <w:color w:val="000000"/>
          <w:kern w:val="2"/>
          <w:sz w:val="24"/>
          <w:szCs w:val="24"/>
          <w:lang w:val="en-US" w:eastAsia="ko-KR"/>
        </w:rPr>
        <w:t xml:space="preserve"> Lifton et al. 1992; Mulatero et al. 2011; Scholl et al. 2012; Scholl et al. 2018</w:t>
      </w:r>
    </w:p>
    <w:p w14:paraId="45BD9886" w14:textId="651F5D93" w:rsidR="00777534" w:rsidRDefault="00777534" w:rsidP="003631B6">
      <w:pPr>
        <w:spacing w:after="0" w:line="480" w:lineRule="auto"/>
        <w:jc w:val="both"/>
        <w:rPr>
          <w:rFonts w:ascii="Times New Roman" w:hAnsi="Times New Roman" w:cs="Times New Roman"/>
          <w:sz w:val="24"/>
          <w:szCs w:val="24"/>
        </w:rPr>
      </w:pPr>
    </w:p>
    <w:p w14:paraId="326EB0FD" w14:textId="01039D0A" w:rsidR="00FD3266" w:rsidRDefault="00FD3266" w:rsidP="003631B6">
      <w:pPr>
        <w:spacing w:after="0" w:line="480" w:lineRule="auto"/>
        <w:jc w:val="both"/>
        <w:rPr>
          <w:rFonts w:ascii="Times New Roman" w:hAnsi="Times New Roman" w:cs="Times New Roman"/>
          <w:b/>
          <w:bCs/>
          <w:sz w:val="24"/>
          <w:szCs w:val="24"/>
        </w:rPr>
      </w:pPr>
      <w:r w:rsidRPr="00B5619C">
        <w:rPr>
          <w:rFonts w:ascii="Times New Roman" w:hAnsi="Times New Roman" w:cs="Times New Roman"/>
          <w:b/>
          <w:bCs/>
          <w:sz w:val="24"/>
          <w:szCs w:val="24"/>
        </w:rPr>
        <w:t>Kesimpulan</w:t>
      </w:r>
    </w:p>
    <w:p w14:paraId="7D2053CA" w14:textId="77777777" w:rsidR="003631B6" w:rsidRPr="00B5619C" w:rsidRDefault="003631B6" w:rsidP="003631B6">
      <w:pPr>
        <w:spacing w:after="0" w:line="480" w:lineRule="auto"/>
        <w:jc w:val="both"/>
        <w:rPr>
          <w:rFonts w:ascii="Times New Roman" w:hAnsi="Times New Roman" w:cs="Times New Roman"/>
          <w:b/>
          <w:bCs/>
          <w:sz w:val="24"/>
          <w:szCs w:val="24"/>
        </w:rPr>
      </w:pPr>
    </w:p>
    <w:p w14:paraId="2A049A85" w14:textId="6E8896C2" w:rsidR="00FD3266" w:rsidRDefault="00FD3266" w:rsidP="000A237B">
      <w:pPr>
        <w:spacing w:after="0" w:line="480" w:lineRule="auto"/>
        <w:jc w:val="both"/>
        <w:rPr>
          <w:rFonts w:ascii="Times New Roman" w:hAnsi="Times New Roman" w:cs="Times New Roman"/>
          <w:sz w:val="24"/>
          <w:szCs w:val="24"/>
        </w:rPr>
      </w:pPr>
      <w:r w:rsidRPr="001E746E">
        <w:rPr>
          <w:rFonts w:ascii="Times New Roman" w:hAnsi="Times New Roman" w:cs="Times New Roman"/>
          <w:sz w:val="24"/>
          <w:szCs w:val="24"/>
        </w:rPr>
        <w:t xml:space="preserve">Secara ringkasnya, pengetahuan kita tentang dasar mekanisma genetik berkaitan APA dan FH telah mengalami peningkatan drastik dalam sedekad dua kebelakangan ini. Walaupun kemajuan besar telah dicapai, namun masih banyak persoalan yang perlu dikaji. Antaranya seperti variasi genetik dalam gen-gen tambahan yang dapat menerangkan baki APA dan FH yang belum diketahui punca genetiknya dan juga pencirian yang lebih baik fenotip-fenotip APA dan FH mengikut genotipnya. Tidak ketinggalan juga persoalan-persoalan mengenai bilateral adrenal hiperplasia yang masih kurang diceburi kerana kekurangan tisu oleh sebab ia jarang dirawati melalui pembedahan. Oleh yang demikian, kajian genetik dalam PA harus terus </w:t>
      </w:r>
      <w:r w:rsidRPr="001E746E">
        <w:rPr>
          <w:rFonts w:ascii="Times New Roman" w:hAnsi="Times New Roman" w:cs="Times New Roman"/>
          <w:sz w:val="24"/>
          <w:szCs w:val="24"/>
        </w:rPr>
        <w:lastRenderedPageBreak/>
        <w:t>berlanjutan kerana ini akan dapat menghasilkan penemuan baru kepada patofisiologi PA secara khususnya dan tekanan darah secara amnya.</w:t>
      </w:r>
    </w:p>
    <w:p w14:paraId="090C7B07" w14:textId="77777777" w:rsidR="000A237B" w:rsidRDefault="000A237B" w:rsidP="000A237B">
      <w:pPr>
        <w:spacing w:after="0" w:line="480" w:lineRule="auto"/>
        <w:jc w:val="both"/>
        <w:rPr>
          <w:rFonts w:ascii="Times New Roman" w:hAnsi="Times New Roman" w:cs="Times New Roman"/>
          <w:sz w:val="24"/>
          <w:szCs w:val="24"/>
        </w:rPr>
      </w:pPr>
    </w:p>
    <w:p w14:paraId="02622127" w14:textId="3CBA3FD7" w:rsidR="0043101E" w:rsidRDefault="0043101E" w:rsidP="000A237B">
      <w:pPr>
        <w:spacing w:after="0" w:line="480" w:lineRule="auto"/>
        <w:jc w:val="both"/>
        <w:rPr>
          <w:rFonts w:ascii="Times New Roman" w:hAnsi="Times New Roman" w:cs="Times New Roman"/>
          <w:b/>
          <w:sz w:val="24"/>
          <w:szCs w:val="24"/>
          <w:lang w:val="en-US"/>
        </w:rPr>
      </w:pPr>
      <w:r w:rsidRPr="0043101E">
        <w:rPr>
          <w:rFonts w:ascii="Times New Roman" w:hAnsi="Times New Roman" w:cs="Times New Roman"/>
          <w:b/>
          <w:sz w:val="24"/>
          <w:szCs w:val="24"/>
          <w:lang w:val="en-US"/>
        </w:rPr>
        <w:t>Penghargaan</w:t>
      </w:r>
    </w:p>
    <w:p w14:paraId="502FEA61" w14:textId="77777777" w:rsidR="000A237B" w:rsidRPr="0043101E" w:rsidRDefault="000A237B" w:rsidP="000A237B">
      <w:pPr>
        <w:spacing w:after="0" w:line="480" w:lineRule="auto"/>
        <w:jc w:val="both"/>
        <w:rPr>
          <w:rFonts w:ascii="Times New Roman" w:hAnsi="Times New Roman" w:cs="Times New Roman"/>
          <w:b/>
          <w:sz w:val="24"/>
          <w:szCs w:val="24"/>
          <w:lang w:val="en-US"/>
        </w:rPr>
      </w:pPr>
    </w:p>
    <w:p w14:paraId="2190F7C2" w14:textId="0D4CD0A3" w:rsidR="0043101E" w:rsidRPr="0043101E" w:rsidRDefault="0043101E" w:rsidP="0043101E">
      <w:pPr>
        <w:spacing w:line="480" w:lineRule="auto"/>
        <w:jc w:val="both"/>
        <w:rPr>
          <w:rFonts w:ascii="Times New Roman" w:hAnsi="Times New Roman" w:cs="Times New Roman"/>
          <w:bCs/>
          <w:sz w:val="24"/>
          <w:szCs w:val="24"/>
          <w:lang w:val="en-US"/>
        </w:rPr>
      </w:pPr>
      <w:r w:rsidRPr="0043101E">
        <w:rPr>
          <w:rFonts w:ascii="Times New Roman" w:hAnsi="Times New Roman" w:cs="Times New Roman"/>
          <w:bCs/>
          <w:sz w:val="24"/>
          <w:szCs w:val="24"/>
          <w:lang w:val="en-US"/>
        </w:rPr>
        <w:t>Penghargaan diberikan kepada Kementerian Pendidikan Tinggi Malaysia untuk geran penyelidikan (FRGS/1/2019/SKK08/UKM/02/4) yang membiayai elaun GRA Puan Siti Khadijah.</w:t>
      </w:r>
    </w:p>
    <w:p w14:paraId="25FE939B" w14:textId="5FCF771B" w:rsidR="007D17BE" w:rsidRDefault="007D17BE" w:rsidP="001E746E">
      <w:pPr>
        <w:spacing w:line="480" w:lineRule="auto"/>
        <w:jc w:val="both"/>
        <w:rPr>
          <w:rFonts w:ascii="Times New Roman" w:hAnsi="Times New Roman" w:cs="Times New Roman"/>
          <w:sz w:val="24"/>
          <w:szCs w:val="24"/>
        </w:rPr>
      </w:pPr>
    </w:p>
    <w:p w14:paraId="6BD03F27" w14:textId="77777777" w:rsidR="007D17BE" w:rsidRPr="007D17BE" w:rsidRDefault="007D17BE" w:rsidP="007D17BE">
      <w:pPr>
        <w:widowControl w:val="0"/>
        <w:autoSpaceDE w:val="0"/>
        <w:autoSpaceDN w:val="0"/>
        <w:spacing w:after="0" w:line="480" w:lineRule="auto"/>
        <w:jc w:val="center"/>
        <w:outlineLvl w:val="0"/>
        <w:rPr>
          <w:rFonts w:ascii="Times New Roman" w:eastAsia="SimSun" w:hAnsi="Times New Roman" w:cs="Times New Roman"/>
          <w:b/>
          <w:kern w:val="2"/>
          <w:sz w:val="24"/>
          <w:szCs w:val="24"/>
          <w:lang w:val="en-US" w:eastAsia="ko-KR"/>
        </w:rPr>
      </w:pPr>
      <w:r w:rsidRPr="007D17BE">
        <w:rPr>
          <w:rFonts w:ascii="Times New Roman" w:eastAsia="SimSun" w:hAnsi="Times New Roman" w:cs="Times New Roman"/>
          <w:b/>
          <w:kern w:val="2"/>
          <w:sz w:val="24"/>
          <w:szCs w:val="24"/>
          <w:lang w:val="en-US" w:eastAsia="ko-KR"/>
        </w:rPr>
        <w:t>Rujukan</w:t>
      </w:r>
    </w:p>
    <w:p w14:paraId="2F13A664"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Akerstrom,  T.,  Crona, J., Delgado  Verdugo, A.,</w:t>
      </w:r>
      <w:r w:rsidRPr="007D17BE">
        <w:rPr>
          <w:rFonts w:ascii="Calibri" w:eastAsia="SimSun" w:hAnsi="Calibri" w:cs="Times New Roman"/>
          <w:kern w:val="2"/>
          <w:sz w:val="20"/>
          <w:lang w:val="en-US" w:eastAsia="ko-KR"/>
        </w:rPr>
        <w:t xml:space="preserve"> </w:t>
      </w:r>
      <w:r w:rsidRPr="007D17BE">
        <w:rPr>
          <w:rFonts w:ascii="Times New Roman" w:eastAsia="SimSun" w:hAnsi="Times New Roman" w:cs="Times New Roman"/>
          <w:kern w:val="2"/>
          <w:sz w:val="24"/>
          <w:szCs w:val="24"/>
          <w:lang w:val="en-US" w:eastAsia="ko-KR"/>
        </w:rPr>
        <w:t xml:space="preserve">Starker, L. F., Cupisti, K.,  Willenberg,  H. S., </w:t>
      </w:r>
    </w:p>
    <w:p w14:paraId="1FE32179"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Knoefel, W. T., Saeger, W., Feller, A., Ip, J., Soon, P., Anlauf, M., Alesina, P.F., Schmid, K. W., Decaussin, M., Levillain, P., Wängberg, B., Peix, J-L., Robinson, B., Zedenius, J., Bäckdahl, M., Caramuta, S., Iwen, K.A., Botling, J., Stålberg, P., Kraimps, J-L., Dralle, H., Hellman, P., Sidhu, S., Westin, G., Lehnert, H., Walz, M.K., Åkerström, G., Carling, T., Choi, M., Lifton, R.P. &amp; Björklund, P. 2012. Comprehensive re-sequencing of adrenal aldosterone producing lesions reveal three somatic mutations near the KCNJ5 potassium channel selectivity filter. </w:t>
      </w:r>
      <w:r w:rsidRPr="007D17BE">
        <w:rPr>
          <w:rFonts w:ascii="Times New Roman" w:eastAsia="SimSun" w:hAnsi="Times New Roman" w:cs="Times New Roman"/>
          <w:i/>
          <w:iCs/>
          <w:kern w:val="2"/>
          <w:sz w:val="24"/>
          <w:szCs w:val="24"/>
          <w:lang w:val="en-US" w:eastAsia="ko-KR"/>
        </w:rPr>
        <w:t>PLoS One</w:t>
      </w:r>
      <w:r w:rsidRPr="007D17BE">
        <w:rPr>
          <w:rFonts w:ascii="Times New Roman" w:eastAsia="SimSun" w:hAnsi="Times New Roman" w:cs="Times New Roman"/>
          <w:kern w:val="2"/>
          <w:sz w:val="24"/>
          <w:szCs w:val="24"/>
          <w:lang w:val="en-US" w:eastAsia="ko-KR"/>
        </w:rPr>
        <w:t xml:space="preserve"> 7:e41926.</w:t>
      </w:r>
    </w:p>
    <w:p w14:paraId="6787DBF2"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Akerstrom,  T.,  Willenberg,  H. S., Cupisti, K.,  Ip, J.,  Backman,  S.,  Moser, A.,   Maharjan,   </w:t>
      </w:r>
    </w:p>
    <w:p w14:paraId="620DCD92"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R., Robinson, B., Iwen, K. A., Dralle, H., Volpe, C.D., Backdahl, M., Botling, J., Stalberg, P., Westin, G., Walz, M.K., Lehnert, H., Sidhu, S., Zedenius, J., Bjorklund, P. &amp; Hellman, P. 2015. Novel somatic mutations and distinct molecular signature in aldosterone producing adenomas. </w:t>
      </w:r>
      <w:r w:rsidRPr="007D17BE">
        <w:rPr>
          <w:rFonts w:ascii="Times New Roman" w:eastAsia="SimSun" w:hAnsi="Times New Roman" w:cs="Times New Roman"/>
          <w:i/>
          <w:iCs/>
          <w:kern w:val="2"/>
          <w:sz w:val="24"/>
          <w:szCs w:val="24"/>
          <w:lang w:val="en-US" w:eastAsia="ko-KR"/>
        </w:rPr>
        <w:t>Endocrine-Related Cancer</w:t>
      </w:r>
      <w:r w:rsidRPr="007D17BE">
        <w:rPr>
          <w:rFonts w:ascii="Times New Roman" w:eastAsia="SimSun" w:hAnsi="Times New Roman" w:cs="Times New Roman"/>
          <w:kern w:val="2"/>
          <w:sz w:val="24"/>
          <w:szCs w:val="24"/>
          <w:lang w:val="en-US" w:eastAsia="ko-KR"/>
        </w:rPr>
        <w:t xml:space="preserve"> 22:735-744. </w:t>
      </w:r>
    </w:p>
    <w:p w14:paraId="46944124"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Azizan,    Elena  AB,  Lam,  B.Y. H.,   Newhouse,  S.  J.,   Zhou,  J.,  Kuc,  R.  E.,  Clarke,  J.,  </w:t>
      </w:r>
    </w:p>
    <w:p w14:paraId="4093D985" w14:textId="114DD7B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Happerfield, L., Marker, A., Hoffman, G.J. &amp; Brown, M.J. 2012. Microarray, qPCR, </w:t>
      </w:r>
      <w:r w:rsidRPr="007D17BE">
        <w:rPr>
          <w:rFonts w:ascii="Times New Roman" w:eastAsia="SimSun" w:hAnsi="Times New Roman" w:cs="Times New Roman"/>
          <w:kern w:val="2"/>
          <w:sz w:val="24"/>
          <w:szCs w:val="24"/>
          <w:lang w:val="en-US" w:eastAsia="ko-KR"/>
        </w:rPr>
        <w:lastRenderedPageBreak/>
        <w:t xml:space="preserve">and KCNJ5 sequencing of aldosterone-producing adenomas reveal differences in genotype and phenotype  between zona  glomerulosa-and zona fasciculata-like tumors. </w:t>
      </w:r>
      <w:r w:rsidRPr="007D17BE">
        <w:rPr>
          <w:rFonts w:ascii="Times New Roman" w:eastAsia="SimSun" w:hAnsi="Times New Roman" w:cs="Times New Roman"/>
          <w:i/>
          <w:iCs/>
          <w:kern w:val="2"/>
          <w:sz w:val="24"/>
          <w:szCs w:val="24"/>
          <w:lang w:val="en-US" w:eastAsia="ko-KR"/>
        </w:rPr>
        <w:t>The Journal of Clinical Endocrinology</w:t>
      </w:r>
      <w:r w:rsidRPr="007D17BE">
        <w:rPr>
          <w:rFonts w:ascii="Times New Roman" w:eastAsia="SimSun" w:hAnsi="Times New Roman" w:cs="Times New Roman"/>
          <w:kern w:val="2"/>
          <w:sz w:val="24"/>
          <w:szCs w:val="24"/>
          <w:lang w:val="en-US" w:eastAsia="ko-KR"/>
        </w:rPr>
        <w:t xml:space="preserve"> 97</w:t>
      </w:r>
      <w:r w:rsidR="00B3784F">
        <w:rPr>
          <w:rFonts w:ascii="Times New Roman" w:eastAsia="SimSun" w:hAnsi="Times New Roman" w:cs="Times New Roman"/>
          <w:kern w:val="2"/>
          <w:sz w:val="24"/>
          <w:szCs w:val="24"/>
          <w:lang w:val="en-US" w:eastAsia="ko-KR"/>
        </w:rPr>
        <w:t xml:space="preserve"> </w:t>
      </w:r>
      <w:r w:rsidRPr="007D17BE">
        <w:rPr>
          <w:rFonts w:ascii="Times New Roman" w:eastAsia="SimSun" w:hAnsi="Times New Roman" w:cs="Times New Roman"/>
          <w:kern w:val="2"/>
          <w:sz w:val="24"/>
          <w:szCs w:val="24"/>
          <w:lang w:val="en-US" w:eastAsia="ko-KR"/>
        </w:rPr>
        <w:t>5: E819-E829.</w:t>
      </w:r>
    </w:p>
    <w:p w14:paraId="030C9C2F"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Azizan, E.A.,  Murthy, M.,  Stowasser, M.,  Gordon, R., Kowalski, B.,  Xu, S., Brown, M. J. &amp;</w:t>
      </w:r>
    </w:p>
    <w:p w14:paraId="15D07AE3"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O'Shaughnessy, K.M. 2012. Somatic mutations affecting the selectivity filter of KCNJ5 are frequent in 2 large unselected collections of adrenal aldosteronomas. </w:t>
      </w:r>
      <w:r w:rsidRPr="007D17BE">
        <w:rPr>
          <w:rFonts w:ascii="Times New Roman" w:eastAsia="SimSun" w:hAnsi="Times New Roman" w:cs="Times New Roman"/>
          <w:i/>
          <w:iCs/>
          <w:kern w:val="2"/>
          <w:sz w:val="24"/>
          <w:szCs w:val="24"/>
          <w:lang w:val="en-US" w:eastAsia="ko-KR"/>
        </w:rPr>
        <w:t>Hypertension</w:t>
      </w:r>
      <w:r w:rsidRPr="007D17BE">
        <w:rPr>
          <w:rFonts w:ascii="Times New Roman" w:eastAsia="SimSun" w:hAnsi="Times New Roman" w:cs="Times New Roman"/>
          <w:kern w:val="2"/>
          <w:sz w:val="24"/>
          <w:szCs w:val="24"/>
          <w:lang w:val="en-US" w:eastAsia="ko-KR"/>
        </w:rPr>
        <w:t xml:space="preserve"> 59(3): 587–591.</w:t>
      </w:r>
    </w:p>
    <w:p w14:paraId="7A0718B3"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Azizan, E. A., Poulsen,  H., Tuluc,  P., Zhou, J., Clausen, M.V., Lieb, A., Maniero, C., Garg, S.,  </w:t>
      </w:r>
    </w:p>
    <w:p w14:paraId="7D4B91BF"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Bochukova, E.G.,  Zhao, W., Shaikh, L.H., Brighton, C.A., Teo, A.E.D., Davenport, A.P., Dekkers, T., Tops, B., Küsters, B., Ceral, J., Yeo, G.S.H., Neogi, S.G., McFarlane, I., Rosenfeld, N., Marass, F., Hadfield, J., Margas,W., Chaggar, K., Solar, M., Deinum, J., Dolphin, A.C., Farooqi, I.S., Striessnig, J., Nissen, P. &amp; Brown, M.J. 2013. Somatic mutations in ATP1A1 and CACNA1D underlie a common subtype of adrenal hypertension. </w:t>
      </w:r>
      <w:r w:rsidRPr="007D17BE">
        <w:rPr>
          <w:rFonts w:ascii="Times New Roman" w:eastAsia="SimSun" w:hAnsi="Times New Roman" w:cs="Times New Roman"/>
          <w:i/>
          <w:iCs/>
          <w:kern w:val="2"/>
          <w:sz w:val="24"/>
          <w:szCs w:val="24"/>
          <w:lang w:val="en-US" w:eastAsia="ko-KR"/>
        </w:rPr>
        <w:t>Nature Genetics</w:t>
      </w:r>
      <w:r w:rsidRPr="007D17BE">
        <w:rPr>
          <w:rFonts w:ascii="Times New Roman" w:eastAsia="SimSun" w:hAnsi="Times New Roman" w:cs="Times New Roman"/>
          <w:kern w:val="2"/>
          <w:sz w:val="24"/>
          <w:szCs w:val="24"/>
          <w:lang w:val="en-US" w:eastAsia="ko-KR"/>
        </w:rPr>
        <w:t xml:space="preserve"> 45:1055–1060.</w:t>
      </w:r>
    </w:p>
    <w:p w14:paraId="57233D01"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Beuschlein,  F.,  Boulkroun,  S., Osswald,  A.,  Wieland,   T.,   Nielsen,  H. N.,  Lichtenauer, U. </w:t>
      </w:r>
    </w:p>
    <w:p w14:paraId="7DE82980"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D.,Penton, D., Schack, V.R., Amar, L., Fischer, E., Walther, A., Tauber, P., Schwarzmayr, T., Diener, S., Graf, E., Allolio, B., Samson-Couterie, B., Benecke, A., Quinkler, M., Fallo, F., Plouin,P-F., Mantero, F., Meitinger, T., Mulatero, P., Jeunemaitre, X., Warth, R.,Vilsen, B., Zennaro, M-C., Strom, T.M. &amp; Reincke, M. 2013. Somatic mutations in ATP1A1 and ATP2B3 lead to  aldosterone-producing adenomas  and secondary  hypertension. </w:t>
      </w:r>
      <w:r w:rsidRPr="007D17BE">
        <w:rPr>
          <w:rFonts w:ascii="Times New Roman" w:eastAsia="SimSun" w:hAnsi="Times New Roman" w:cs="Times New Roman"/>
          <w:i/>
          <w:iCs/>
          <w:kern w:val="2"/>
          <w:sz w:val="24"/>
          <w:szCs w:val="24"/>
          <w:lang w:val="en-US" w:eastAsia="ko-KR"/>
        </w:rPr>
        <w:t>Nature Genetics</w:t>
      </w:r>
      <w:r w:rsidRPr="007D17BE">
        <w:rPr>
          <w:rFonts w:ascii="Times New Roman" w:eastAsia="SimSun" w:hAnsi="Times New Roman" w:cs="Times New Roman"/>
          <w:kern w:val="2"/>
          <w:sz w:val="24"/>
          <w:szCs w:val="24"/>
          <w:lang w:val="en-US" w:eastAsia="ko-KR"/>
        </w:rPr>
        <w:t xml:space="preserve"> 45(4):440–444, 444e1–2.</w:t>
      </w:r>
    </w:p>
    <w:p w14:paraId="4E8D010B"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Bjorklund,  P.,  Lindberg,  D.,  Akerstrom,  G.  &amp;  Westin,  G.  2008.  Stabilizing  mutation  of </w:t>
      </w:r>
    </w:p>
    <w:p w14:paraId="126DF26B"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CTNNB1/beta-catenin and protein accumulation analyzed in a large series of  parathyroid tumors  of Swedish patients. </w:t>
      </w:r>
      <w:r w:rsidRPr="007D17BE">
        <w:rPr>
          <w:rFonts w:ascii="Times New Roman" w:eastAsia="SimSun" w:hAnsi="Times New Roman" w:cs="Times New Roman"/>
          <w:i/>
          <w:iCs/>
          <w:kern w:val="2"/>
          <w:sz w:val="24"/>
          <w:szCs w:val="24"/>
          <w:lang w:val="en-US" w:eastAsia="ko-KR"/>
        </w:rPr>
        <w:t>Molecular Cancer</w:t>
      </w:r>
      <w:r w:rsidRPr="007D17BE">
        <w:rPr>
          <w:rFonts w:ascii="Times New Roman" w:eastAsia="SimSun" w:hAnsi="Times New Roman" w:cs="Times New Roman"/>
          <w:kern w:val="2"/>
          <w:sz w:val="24"/>
          <w:szCs w:val="24"/>
          <w:lang w:val="en-US" w:eastAsia="ko-KR"/>
        </w:rPr>
        <w:t xml:space="preserve"> 7:53.</w:t>
      </w:r>
    </w:p>
    <w:p w14:paraId="1EF9AA2C"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Boulkroun,  S., Samson-Couterie,   B., Golib-Dzib,   J-F.,  Amar,  L.,  Plouin,  P-F.,   Sibony, </w:t>
      </w:r>
    </w:p>
    <w:p w14:paraId="6B020F68"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lastRenderedPageBreak/>
        <w:t xml:space="preserve">M.,Lefebvre, H., Louiset, E., Jeunemaitre, X., Meatchi, T., Benecke, A., Lalli, E. &amp; Zennaro, M-C. 2011. Aldosterone-producing adenoma formation in the adrenal cortex involves expression of stem/progenitor cell markers. </w:t>
      </w:r>
      <w:r w:rsidRPr="007D17BE">
        <w:rPr>
          <w:rFonts w:ascii="Times New Roman" w:eastAsia="SimSun" w:hAnsi="Times New Roman" w:cs="Times New Roman"/>
          <w:i/>
          <w:iCs/>
          <w:kern w:val="2"/>
          <w:sz w:val="24"/>
          <w:szCs w:val="24"/>
          <w:lang w:val="en-US" w:eastAsia="ko-KR"/>
        </w:rPr>
        <w:t xml:space="preserve">Endocrinology </w:t>
      </w:r>
      <w:r w:rsidRPr="007D17BE">
        <w:rPr>
          <w:rFonts w:ascii="Times New Roman" w:eastAsia="SimSun" w:hAnsi="Times New Roman" w:cs="Times New Roman"/>
          <w:kern w:val="2"/>
          <w:sz w:val="24"/>
          <w:szCs w:val="24"/>
          <w:lang w:val="en-US" w:eastAsia="ko-KR"/>
        </w:rPr>
        <w:t>152: 4753–4763.</w:t>
      </w:r>
    </w:p>
    <w:p w14:paraId="4915F62D"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Cali, T., Lopreiato, R., Shimony, J., Vineyard, M., Frizzarin, M., Zanni, G., Zanotti, G., Brini,</w:t>
      </w:r>
    </w:p>
    <w:p w14:paraId="6A91FDAD"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M., Shinawi, M. &amp; Carafoli, E. 2015. A novel mutation in isoform 3 of the plasma membrane Ca2+ pump impairs cellular Ca2+ homeostasis in a patient with cerebellar ataxia and laminin subunit 1 mutations. </w:t>
      </w:r>
      <w:r w:rsidRPr="007D17BE">
        <w:rPr>
          <w:rFonts w:ascii="Times New Roman" w:eastAsia="SimSun" w:hAnsi="Times New Roman" w:cs="Times New Roman"/>
          <w:i/>
          <w:iCs/>
          <w:kern w:val="2"/>
          <w:sz w:val="24"/>
          <w:szCs w:val="24"/>
          <w:lang w:val="en-US" w:eastAsia="ko-KR"/>
        </w:rPr>
        <w:t>Journal of Biological Chemistry</w:t>
      </w:r>
      <w:r w:rsidRPr="007D17BE">
        <w:rPr>
          <w:rFonts w:ascii="Times New Roman" w:eastAsia="SimSun" w:hAnsi="Times New Roman" w:cs="Times New Roman"/>
          <w:kern w:val="2"/>
          <w:sz w:val="24"/>
          <w:szCs w:val="24"/>
          <w:lang w:val="en-US" w:eastAsia="ko-KR"/>
        </w:rPr>
        <w:t xml:space="preserve"> 290:16132 16141. </w:t>
      </w:r>
    </w:p>
    <w:p w14:paraId="7DBDD42C"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Carvajal C. A., Campino, C., Martinez-Aguayo,  A.,   Tichauer,  J. E.,  Bancalari, R., Valdivia,  </w:t>
      </w:r>
    </w:p>
    <w:p w14:paraId="7681A5A0"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C.,Trejo, P., Aglony,  M.,  Baudrand,  R., Lagos, C.F., Mellado, C., Garcia, H. &amp; Fardella, C.E. 2012. A new  presentation of  the chimeric CYP11B1/CYP11B2 gene with low prevalence of primary aldosteronism and atypical gene segregation pattern. </w:t>
      </w:r>
      <w:r w:rsidRPr="007D17BE">
        <w:rPr>
          <w:rFonts w:ascii="Times New Roman" w:eastAsia="SimSun" w:hAnsi="Times New Roman" w:cs="Times New Roman"/>
          <w:i/>
          <w:iCs/>
          <w:kern w:val="2"/>
          <w:sz w:val="24"/>
          <w:szCs w:val="24"/>
          <w:lang w:val="en-US" w:eastAsia="ko-KR"/>
        </w:rPr>
        <w:t>Hypertension</w:t>
      </w:r>
      <w:r w:rsidRPr="007D17BE">
        <w:rPr>
          <w:rFonts w:ascii="Times New Roman" w:eastAsia="SimSun" w:hAnsi="Times New Roman" w:cs="Times New Roman"/>
          <w:kern w:val="2"/>
          <w:sz w:val="24"/>
          <w:szCs w:val="24"/>
          <w:lang w:val="en-US" w:eastAsia="ko-KR"/>
        </w:rPr>
        <w:t xml:space="preserve"> 59:85–91. </w:t>
      </w:r>
    </w:p>
    <w:p w14:paraId="66BBDEE3"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Cheng, C.J., Sung C.C., Wu, S.T., Lin, Y.C., Sytwu, H.K., Huang, C.L. &amp; Lin S.H. 2015. Novel </w:t>
      </w:r>
    </w:p>
    <w:p w14:paraId="50629CBB"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KCNJ5 mutations in sporadic aldosterone -producing adenoma reduce Kir3.4 membrane abundance. J Clin Endocrinol Metab 100(1): E155-E163.</w:t>
      </w:r>
    </w:p>
    <w:p w14:paraId="72238BD8"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Choi, M., Scholl UI, Yue P, Björklund, P., Zhao, B., Nelson-Williams, C.,  Ji, W., Cho, Y., Patel, </w:t>
      </w:r>
    </w:p>
    <w:p w14:paraId="58B8DC79"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A., Men, C.J., Lolis, E.,Wisgerhof, M. V., Geller, D.S., Mane, S., Hellman, P., Westin, G., Åkerström, G., Wang, W., Carling, T., Lifton, R.P. 2011. K+ channel mutations in adrenal aldosterone-producing adenonomas and hereditary hypertension. </w:t>
      </w:r>
      <w:r w:rsidRPr="007D17BE">
        <w:rPr>
          <w:rFonts w:ascii="Times New Roman" w:eastAsia="SimSun" w:hAnsi="Times New Roman" w:cs="Times New Roman"/>
          <w:i/>
          <w:iCs/>
          <w:kern w:val="2"/>
          <w:sz w:val="24"/>
          <w:szCs w:val="24"/>
          <w:lang w:val="en-US" w:eastAsia="ko-KR"/>
        </w:rPr>
        <w:t>Science</w:t>
      </w:r>
      <w:r w:rsidRPr="007D17BE">
        <w:rPr>
          <w:rFonts w:ascii="Times New Roman" w:eastAsia="SimSun" w:hAnsi="Times New Roman" w:cs="Times New Roman"/>
          <w:kern w:val="2"/>
          <w:sz w:val="24"/>
          <w:szCs w:val="24"/>
          <w:lang w:val="en-US" w:eastAsia="ko-KR"/>
        </w:rPr>
        <w:t xml:space="preserve"> 331(6018):768–772.</w:t>
      </w:r>
    </w:p>
    <w:p w14:paraId="46EEE34D"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i/>
          <w:iCs/>
          <w:kern w:val="2"/>
          <w:sz w:val="24"/>
          <w:szCs w:val="24"/>
          <w:lang w:val="en-US" w:eastAsia="ko-KR"/>
        </w:rPr>
      </w:pPr>
      <w:r w:rsidRPr="007D17BE">
        <w:rPr>
          <w:rFonts w:ascii="Times New Roman" w:eastAsia="SimSun" w:hAnsi="Times New Roman" w:cs="Times New Roman"/>
          <w:kern w:val="2"/>
          <w:sz w:val="24"/>
          <w:szCs w:val="24"/>
          <w:lang w:val="en-US" w:eastAsia="ko-KR"/>
        </w:rPr>
        <w:t xml:space="preserve">Conn,  J. W.   1966.  The  evolution of  primary  aldosteronism:  1954–1967.  </w:t>
      </w:r>
      <w:r w:rsidRPr="007D17BE">
        <w:rPr>
          <w:rFonts w:ascii="Times New Roman" w:eastAsia="SimSun" w:hAnsi="Times New Roman" w:cs="Times New Roman"/>
          <w:i/>
          <w:iCs/>
          <w:kern w:val="2"/>
          <w:sz w:val="24"/>
          <w:szCs w:val="24"/>
          <w:lang w:val="en-US" w:eastAsia="ko-KR"/>
        </w:rPr>
        <w:t>Harvey  Lecture</w:t>
      </w:r>
    </w:p>
    <w:p w14:paraId="5592D68A"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  62: 257–291.</w:t>
      </w:r>
    </w:p>
    <w:p w14:paraId="7D3D569A"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kern w:val="2"/>
          <w:sz w:val="24"/>
          <w:szCs w:val="24"/>
          <w:lang w:val="en-US" w:eastAsia="ko-KR"/>
        </w:rPr>
      </w:pPr>
      <w:r w:rsidRPr="007D17BE">
        <w:rPr>
          <w:rFonts w:ascii="Times New Roman" w:eastAsia="SimSun" w:hAnsi="Times New Roman" w:cs="Times New Roman"/>
          <w:kern w:val="2"/>
          <w:sz w:val="24"/>
          <w:szCs w:val="24"/>
          <w:lang w:val="en-US" w:eastAsia="ko-KR"/>
        </w:rPr>
        <w:t xml:space="preserve">Durand, J., Lampron, A., Mazzuco, T. L., Chapman, A.  &amp; Bourdeau, I. 2011. Characterization </w:t>
      </w:r>
    </w:p>
    <w:p w14:paraId="3530566B"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color w:val="000000"/>
          <w:kern w:val="2"/>
          <w:sz w:val="24"/>
          <w:szCs w:val="24"/>
          <w:lang w:val="en-US" w:eastAsia="ko-KR"/>
        </w:rPr>
      </w:pPr>
      <w:r w:rsidRPr="007D17BE">
        <w:rPr>
          <w:rFonts w:ascii="Times New Roman" w:eastAsia="SimSun" w:hAnsi="Times New Roman" w:cs="Times New Roman"/>
          <w:kern w:val="2"/>
          <w:sz w:val="24"/>
          <w:szCs w:val="24"/>
          <w:lang w:val="en-US" w:eastAsia="ko-KR"/>
        </w:rPr>
        <w:t xml:space="preserve">of differential gene expression in adrenocortical tumors harboring beta-catenin </w:t>
      </w:r>
      <w:r w:rsidRPr="007D17BE">
        <w:rPr>
          <w:rFonts w:ascii="Times New Roman" w:eastAsia="SimSun" w:hAnsi="Times New Roman" w:cs="Times New Roman"/>
          <w:kern w:val="2"/>
          <w:sz w:val="24"/>
          <w:szCs w:val="24"/>
          <w:lang w:val="en-US" w:eastAsia="ko-KR"/>
        </w:rPr>
        <w:lastRenderedPageBreak/>
        <w:t xml:space="preserve">(CTNNB1) mutations. </w:t>
      </w:r>
      <w:r w:rsidRPr="007D17BE">
        <w:rPr>
          <w:rFonts w:ascii="Times New Roman" w:eastAsia="SimSun" w:hAnsi="Times New Roman" w:cs="Times New Roman"/>
          <w:i/>
          <w:iCs/>
          <w:color w:val="000000"/>
          <w:kern w:val="2"/>
          <w:sz w:val="24"/>
          <w:szCs w:val="24"/>
          <w:lang w:val="en-US" w:eastAsia="ko-KR"/>
        </w:rPr>
        <w:t>The Journal of clinical endocrinology and metabolism</w:t>
      </w:r>
      <w:r w:rsidRPr="007D17BE">
        <w:rPr>
          <w:rFonts w:ascii="Times New Roman" w:eastAsia="SimSun" w:hAnsi="Times New Roman" w:cs="Times New Roman"/>
          <w:color w:val="000000"/>
          <w:kern w:val="2"/>
          <w:sz w:val="24"/>
          <w:szCs w:val="24"/>
          <w:lang w:val="en-US" w:eastAsia="ko-KR"/>
        </w:rPr>
        <w:t xml:space="preserve"> 96: E1206–1211.</w:t>
      </w:r>
    </w:p>
    <w:p w14:paraId="1A70261C"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color w:val="000000"/>
          <w:kern w:val="2"/>
          <w:sz w:val="24"/>
          <w:szCs w:val="24"/>
          <w:lang w:val="en-US" w:eastAsia="ko-KR"/>
        </w:rPr>
      </w:pPr>
      <w:r w:rsidRPr="007D17BE">
        <w:rPr>
          <w:rFonts w:ascii="Times New Roman" w:eastAsia="SimSun" w:hAnsi="Times New Roman" w:cs="Times New Roman"/>
          <w:color w:val="000000"/>
          <w:kern w:val="2"/>
          <w:sz w:val="24"/>
          <w:szCs w:val="24"/>
          <w:lang w:val="en-US" w:eastAsia="ko-KR"/>
        </w:rPr>
        <w:t xml:space="preserve">Dutta, K.R. ,Welander, J., Brauckhoff, M., Walz, M., Alesina, P., Arnesen, T., Söderkvist, P., &amp; </w:t>
      </w:r>
    </w:p>
    <w:p w14:paraId="5B72AE7A"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color w:val="000000"/>
          <w:kern w:val="2"/>
          <w:sz w:val="24"/>
          <w:szCs w:val="24"/>
          <w:lang w:val="en-US" w:eastAsia="ko-KR"/>
        </w:rPr>
      </w:pPr>
      <w:r w:rsidRPr="007D17BE">
        <w:rPr>
          <w:rFonts w:ascii="Times New Roman" w:eastAsia="SimSun" w:hAnsi="Times New Roman" w:cs="Times New Roman"/>
          <w:color w:val="000000"/>
          <w:kern w:val="2"/>
          <w:sz w:val="24"/>
          <w:szCs w:val="24"/>
          <w:lang w:val="en-US" w:eastAsia="ko-KR"/>
        </w:rPr>
        <w:t xml:space="preserve">Gimm, O. 2014.Complementary somatic mutations KCNJ5, ATP1A1, and ATP2B3 in sporadic aldosterone producing adrenal adenomas. </w:t>
      </w:r>
      <w:r w:rsidRPr="007D17BE">
        <w:rPr>
          <w:rFonts w:ascii="Times New Roman" w:eastAsia="SimSun" w:hAnsi="Times New Roman" w:cs="Times New Roman"/>
          <w:i/>
          <w:iCs/>
          <w:color w:val="000000"/>
          <w:kern w:val="2"/>
          <w:sz w:val="24"/>
          <w:szCs w:val="24"/>
          <w:lang w:val="en-US" w:eastAsia="ko-KR"/>
        </w:rPr>
        <w:t>Endocr Relat Cancer</w:t>
      </w:r>
      <w:r w:rsidRPr="007D17BE">
        <w:rPr>
          <w:rFonts w:ascii="Times New Roman" w:eastAsia="SimSun" w:hAnsi="Times New Roman" w:cs="Times New Roman"/>
          <w:color w:val="000000"/>
          <w:kern w:val="2"/>
          <w:sz w:val="24"/>
          <w:szCs w:val="24"/>
          <w:lang w:val="en-US" w:eastAsia="ko-KR"/>
        </w:rPr>
        <w:t xml:space="preserve"> 21(1): L1–L4.</w:t>
      </w:r>
    </w:p>
    <w:p w14:paraId="599C61E6"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Fernandes-Rosa, F.L., Williams, T.A., Riester, A., Steichen, O., Beuschlein, F., Boulkroun, S., </w:t>
      </w:r>
    </w:p>
    <w:p w14:paraId="5F649DC1"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Strom, T.M., Monticone, S., Amar, L., Meatchi, T., Mantero, F., Cicala, M.V., Quinkler, M., Fallo, F., Allolio, B., Bernini, G., Maccario, M., Giacchetti, G., Jeunemaitre, X., Mulatero, P., Reincke, M. &amp; Zennaro, M.C. 2014. Genetic spectrum and clinical correlates of somatic mutations in aldosterone-producing adenoma. </w:t>
      </w:r>
      <w:r w:rsidRPr="007D17BE">
        <w:rPr>
          <w:rFonts w:ascii="Times New Roman" w:eastAsia="SimSun" w:hAnsi="Times New Roman" w:cs="Times New Roman"/>
          <w:bCs/>
          <w:i/>
          <w:iCs/>
          <w:kern w:val="2"/>
          <w:sz w:val="24"/>
          <w:szCs w:val="24"/>
          <w:lang w:val="en-US" w:eastAsia="ko-KR"/>
        </w:rPr>
        <w:t>Hypertension</w:t>
      </w:r>
      <w:r w:rsidRPr="007D17BE">
        <w:rPr>
          <w:rFonts w:ascii="Times New Roman" w:eastAsia="SimSun" w:hAnsi="Times New Roman" w:cs="Times New Roman"/>
          <w:bCs/>
          <w:kern w:val="2"/>
          <w:sz w:val="24"/>
          <w:szCs w:val="24"/>
          <w:lang w:val="en-US" w:eastAsia="ko-KR"/>
        </w:rPr>
        <w:t xml:space="preserve"> 64:354–361.</w:t>
      </w:r>
    </w:p>
    <w:p w14:paraId="3204CFDA"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Geller, D.S., Zhang, J., Wisgerhof, M.V., Shackleton, C., Kashgarian, M. &amp; Lifton, R.P. 2008. </w:t>
      </w:r>
    </w:p>
    <w:p w14:paraId="7DA6B6C2" w14:textId="77777777" w:rsidR="007D17BE" w:rsidRPr="007D17BE" w:rsidRDefault="007D17BE" w:rsidP="007D17BE">
      <w:pPr>
        <w:widowControl w:val="0"/>
        <w:autoSpaceDE w:val="0"/>
        <w:autoSpaceDN w:val="0"/>
        <w:spacing w:after="0" w:line="480" w:lineRule="auto"/>
        <w:ind w:left="720" w:firstLine="45"/>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A novel form of human mendelian hypertension featuring nonglucocorticoid-remediable aldosteronism</w:t>
      </w:r>
      <w:r w:rsidRPr="007D17BE">
        <w:rPr>
          <w:rFonts w:ascii="Times New Roman" w:eastAsia="SimSun" w:hAnsi="Times New Roman" w:cs="Times New Roman"/>
          <w:bCs/>
          <w:i/>
          <w:iCs/>
          <w:kern w:val="2"/>
          <w:sz w:val="24"/>
          <w:szCs w:val="24"/>
          <w:lang w:val="en-US" w:eastAsia="ko-KR"/>
        </w:rPr>
        <w:t>. Journal of Clinical Endocrinology &amp; Metabolism</w:t>
      </w:r>
      <w:r w:rsidRPr="007D17BE">
        <w:rPr>
          <w:rFonts w:ascii="Times New Roman" w:eastAsia="SimSun" w:hAnsi="Times New Roman" w:cs="Times New Roman"/>
          <w:bCs/>
          <w:kern w:val="2"/>
          <w:sz w:val="24"/>
          <w:szCs w:val="24"/>
          <w:lang w:val="en-US" w:eastAsia="ko-KR"/>
        </w:rPr>
        <w:t xml:space="preserve"> 93:3117–3123. </w:t>
      </w:r>
    </w:p>
    <w:p w14:paraId="7FBE2523"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Kuppusamy,  M., Caroccia,  B.,  Stindl,  J.,  Bandulik,  S., Lenzini, L., Gioco, F.,  Fishman,  V.,</w:t>
      </w:r>
    </w:p>
    <w:p w14:paraId="3CA3A8E0"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Zanotti, G., Gomez-Sanchez, C., Bader, M., Warth, R. &amp; Rossi, G.P. 2014. A novel KCNJ5-insT149 somatic mutation close to, but outside, the selectivity filter causes  resistant hypertension by loss of selectivity for potassium. </w:t>
      </w:r>
      <w:r w:rsidRPr="007D17BE">
        <w:rPr>
          <w:rFonts w:ascii="Times New Roman" w:eastAsia="SimSun" w:hAnsi="Times New Roman" w:cs="Times New Roman"/>
          <w:bCs/>
          <w:i/>
          <w:iCs/>
          <w:kern w:val="2"/>
          <w:sz w:val="24"/>
          <w:szCs w:val="24"/>
          <w:lang w:val="en-US" w:eastAsia="ko-KR"/>
        </w:rPr>
        <w:t>J Clin Endocrinol Metab</w:t>
      </w:r>
      <w:r w:rsidRPr="007D17BE">
        <w:rPr>
          <w:rFonts w:ascii="Times New Roman" w:eastAsia="SimSun" w:hAnsi="Times New Roman" w:cs="Times New Roman"/>
          <w:bCs/>
          <w:kern w:val="2"/>
          <w:sz w:val="24"/>
          <w:szCs w:val="24"/>
          <w:lang w:val="en-US" w:eastAsia="ko-KR"/>
        </w:rPr>
        <w:t xml:space="preserve"> 99:E1765–E1773.</w:t>
      </w:r>
    </w:p>
    <w:p w14:paraId="6D926846"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Lafferty, A.R, Torpy, D.J., Stowasser, M., Taymans, S.E, Lin, J.P, Huggard, P., Gordon, R.D &amp;</w:t>
      </w:r>
    </w:p>
    <w:p w14:paraId="24B72989"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Stratakis, C. A. 2000. A novel genetic locus for low renin hypertension: familial hyperaldosteronism type II maps to chromosome 7 (7p22). </w:t>
      </w:r>
      <w:r w:rsidRPr="007D17BE">
        <w:rPr>
          <w:rFonts w:ascii="Times New Roman" w:eastAsia="SimSun" w:hAnsi="Times New Roman" w:cs="Times New Roman"/>
          <w:bCs/>
          <w:i/>
          <w:iCs/>
          <w:kern w:val="2"/>
          <w:sz w:val="24"/>
          <w:szCs w:val="24"/>
          <w:lang w:val="en-US" w:eastAsia="ko-KR"/>
        </w:rPr>
        <w:t>Journal of Medical Genetics</w:t>
      </w:r>
      <w:r w:rsidRPr="007D17BE">
        <w:rPr>
          <w:rFonts w:ascii="Times New Roman" w:eastAsia="SimSun" w:hAnsi="Times New Roman" w:cs="Times New Roman"/>
          <w:bCs/>
          <w:kern w:val="2"/>
          <w:sz w:val="24"/>
          <w:szCs w:val="24"/>
          <w:lang w:val="en-US" w:eastAsia="ko-KR"/>
        </w:rPr>
        <w:t xml:space="preserve"> 37: 831–835.</w:t>
      </w:r>
    </w:p>
    <w:p w14:paraId="21C13A06"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Lifton,  R. P., Dluhy,  R. G., Powers,  M., Rich, G.M., Cook, S., Ulick, S. &amp; Lalouel, J.M. 1992. </w:t>
      </w:r>
    </w:p>
    <w:p w14:paraId="0CDBB613"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lastRenderedPageBreak/>
        <w:t xml:space="preserve"> A chimeric 11-beta-hydroxylase aldosterone synthase gene causes glucocorticoid-</w:t>
      </w:r>
      <w:r w:rsidRPr="007D17BE">
        <w:rPr>
          <w:rFonts w:ascii="Times New Roman" w:eastAsia="SimSun" w:hAnsi="Times New Roman" w:cs="Times New Roman"/>
          <w:bCs/>
          <w:kern w:val="2"/>
          <w:sz w:val="24"/>
          <w:szCs w:val="24"/>
          <w:lang w:val="en-US" w:eastAsia="ko-KR"/>
        </w:rPr>
        <w:tab/>
        <w:t xml:space="preserve">remediable aldosteronism and human hypertension. </w:t>
      </w:r>
      <w:r w:rsidRPr="007D17BE">
        <w:rPr>
          <w:rFonts w:ascii="Times New Roman" w:eastAsia="SimSun" w:hAnsi="Times New Roman" w:cs="Times New Roman"/>
          <w:bCs/>
          <w:i/>
          <w:iCs/>
          <w:kern w:val="2"/>
          <w:sz w:val="24"/>
          <w:szCs w:val="24"/>
          <w:lang w:val="en-US" w:eastAsia="ko-KR"/>
        </w:rPr>
        <w:t>Nature</w:t>
      </w:r>
      <w:r w:rsidRPr="007D17BE">
        <w:rPr>
          <w:rFonts w:ascii="Times New Roman" w:eastAsia="SimSun" w:hAnsi="Times New Roman" w:cs="Times New Roman"/>
          <w:bCs/>
          <w:kern w:val="2"/>
          <w:sz w:val="24"/>
          <w:szCs w:val="24"/>
          <w:lang w:val="en-US" w:eastAsia="ko-KR"/>
        </w:rPr>
        <w:t xml:space="preserve"> 355:262–265. </w:t>
      </w:r>
    </w:p>
    <w:p w14:paraId="63E4ABBA"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Litchfield, W. R., Anderson, B. F., Weiss, R. J., Lifton, R. P. &amp;  Dluhy, R. G.  1998.  Intracranial</w:t>
      </w:r>
    </w:p>
    <w:p w14:paraId="569CDA95"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 aneurysm   and  hemorrhagic  stroke  in  glucocorticoid  remediable   aldosteronism. </w:t>
      </w:r>
    </w:p>
    <w:p w14:paraId="5A7A6211"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i/>
          <w:iCs/>
          <w:kern w:val="2"/>
          <w:sz w:val="24"/>
          <w:szCs w:val="24"/>
          <w:lang w:val="en-US" w:eastAsia="ko-KR"/>
        </w:rPr>
        <w:t xml:space="preserve"> Hypertension </w:t>
      </w:r>
      <w:r w:rsidRPr="007D17BE">
        <w:rPr>
          <w:rFonts w:ascii="Times New Roman" w:eastAsia="SimSun" w:hAnsi="Times New Roman" w:cs="Times New Roman"/>
          <w:bCs/>
          <w:kern w:val="2"/>
          <w:sz w:val="24"/>
          <w:szCs w:val="24"/>
          <w:lang w:val="en-US" w:eastAsia="ko-KR"/>
        </w:rPr>
        <w:t>31:445–450.</w:t>
      </w:r>
    </w:p>
    <w:p w14:paraId="2410FB26"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Monticone, S., Hattangady, N.G., Nishimoto, K., Mantero, F., Rubin, B., Cicala, M.V., Pezzani, </w:t>
      </w:r>
    </w:p>
    <w:p w14:paraId="3A7F9388"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R., Auchus, R.J., Ghayee, H.K., Shibata, H., Kurihara, I., Williams, T.A., Giri, J.G., Bollag, R.J., Edwards, M.A., Isales, C.M. &amp; Rainey, W.E.</w:t>
      </w:r>
      <w:r w:rsidRPr="007D17BE">
        <w:rPr>
          <w:rFonts w:ascii="Times New Roman" w:eastAsia="SimSun" w:hAnsi="Times New Roman" w:cs="Times New Roman"/>
          <w:kern w:val="2"/>
          <w:sz w:val="24"/>
          <w:szCs w:val="24"/>
          <w:lang w:val="en-US" w:eastAsia="ko-KR"/>
        </w:rPr>
        <w:t xml:space="preserve"> 2012. </w:t>
      </w:r>
      <w:r w:rsidRPr="007D17BE">
        <w:rPr>
          <w:rFonts w:ascii="Times New Roman" w:eastAsia="SimSun" w:hAnsi="Times New Roman" w:cs="Times New Roman"/>
          <w:bCs/>
          <w:kern w:val="2"/>
          <w:sz w:val="24"/>
          <w:szCs w:val="24"/>
          <w:lang w:val="en-US" w:eastAsia="ko-KR"/>
        </w:rPr>
        <w:t xml:space="preserve">Effect of KCNJ5 mutations on gene expression in aldosterone-producing adenomas and adrenocortical cells. </w:t>
      </w:r>
      <w:r w:rsidRPr="007D17BE">
        <w:rPr>
          <w:rFonts w:ascii="Times New Roman" w:eastAsia="SimSun" w:hAnsi="Times New Roman" w:cs="Times New Roman"/>
          <w:bCs/>
          <w:i/>
          <w:kern w:val="2"/>
          <w:sz w:val="24"/>
          <w:szCs w:val="24"/>
          <w:lang w:val="en-US" w:eastAsia="ko-KR"/>
        </w:rPr>
        <w:t>J Clin Endocrinol Metab</w:t>
      </w:r>
      <w:r w:rsidRPr="007D17BE">
        <w:rPr>
          <w:rFonts w:ascii="Times New Roman" w:eastAsia="SimSun" w:hAnsi="Times New Roman" w:cs="Times New Roman"/>
          <w:bCs/>
          <w:kern w:val="2"/>
          <w:sz w:val="24"/>
          <w:szCs w:val="24"/>
          <w:lang w:val="en-US" w:eastAsia="ko-KR"/>
        </w:rPr>
        <w:t xml:space="preserve"> 97(8): E1567–E1572.</w:t>
      </w:r>
    </w:p>
    <w:p w14:paraId="4B4BA11F"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Monticone,  S., Else, T.,  Mulatero, P.,  Williams, T. A.  &amp;  Rainey, W. E.  2015.  Understanding</w:t>
      </w:r>
    </w:p>
    <w:p w14:paraId="2F70FE80"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 primary aldosteronism: impact of next generation sequencing and expression profiling. </w:t>
      </w:r>
      <w:r w:rsidRPr="007D17BE">
        <w:rPr>
          <w:rFonts w:ascii="Times New Roman" w:eastAsia="SimSun" w:hAnsi="Times New Roman" w:cs="Times New Roman"/>
          <w:bCs/>
          <w:kern w:val="2"/>
          <w:sz w:val="24"/>
          <w:szCs w:val="24"/>
          <w:lang w:val="en-US" w:eastAsia="ko-KR"/>
        </w:rPr>
        <w:tab/>
      </w:r>
      <w:r w:rsidRPr="007D17BE">
        <w:rPr>
          <w:rFonts w:ascii="Times New Roman" w:eastAsia="SimSun" w:hAnsi="Times New Roman" w:cs="Times New Roman"/>
          <w:bCs/>
          <w:i/>
          <w:iCs/>
          <w:kern w:val="2"/>
          <w:sz w:val="24"/>
          <w:szCs w:val="24"/>
          <w:lang w:val="en-US" w:eastAsia="ko-KR"/>
        </w:rPr>
        <w:t>Molecular and Cellular Endocrinology</w:t>
      </w:r>
      <w:r w:rsidRPr="007D17BE">
        <w:rPr>
          <w:rFonts w:ascii="Times New Roman" w:eastAsia="SimSun" w:hAnsi="Times New Roman" w:cs="Times New Roman"/>
          <w:bCs/>
          <w:kern w:val="2"/>
          <w:sz w:val="24"/>
          <w:szCs w:val="24"/>
          <w:lang w:val="en-US" w:eastAsia="ko-KR"/>
        </w:rPr>
        <w:t xml:space="preserve"> 399: 311–320. </w:t>
      </w:r>
    </w:p>
    <w:p w14:paraId="1CE03EFB"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Mulatero, P., Tizzani, D., Viola, A., Bertello, C.,  Monticone, S.,  Mengozzi, G., Schiavone,  D., </w:t>
      </w:r>
    </w:p>
    <w:p w14:paraId="61DCEBCA"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Williams, T.A., Einaudi, S., La Grotta, A., Rabbia, F. &amp; Veglio, F.2011. Prevalence and characteristics of familial hyperaldosteronism: the PATOGEN study (Primary Aldosteronism in TOrino-GENetic forms). </w:t>
      </w:r>
      <w:r w:rsidRPr="007D17BE">
        <w:rPr>
          <w:rFonts w:ascii="Times New Roman" w:eastAsia="SimSun" w:hAnsi="Times New Roman" w:cs="Times New Roman"/>
          <w:bCs/>
          <w:i/>
          <w:iCs/>
          <w:kern w:val="2"/>
          <w:sz w:val="24"/>
          <w:szCs w:val="24"/>
          <w:lang w:val="en-US" w:eastAsia="ko-KR"/>
        </w:rPr>
        <w:t>Hypertension</w:t>
      </w:r>
      <w:r w:rsidRPr="007D17BE">
        <w:rPr>
          <w:rFonts w:ascii="Times New Roman" w:eastAsia="SimSun" w:hAnsi="Times New Roman" w:cs="Times New Roman"/>
          <w:bCs/>
          <w:kern w:val="2"/>
          <w:sz w:val="24"/>
          <w:szCs w:val="24"/>
          <w:lang w:val="en-US" w:eastAsia="ko-KR"/>
        </w:rPr>
        <w:t xml:space="preserve"> 58: 797–803. </w:t>
      </w:r>
    </w:p>
    <w:p w14:paraId="734E7E98"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Mulatero,  P., Tauber,  P., Zennaro, M. C., Monticone, S., Lang, K., Beuschlein, F.,  Fischer, E., </w:t>
      </w:r>
    </w:p>
    <w:p w14:paraId="255B81BC"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Tizzani, D., Pallauf, A., Viola, A., Amar, L., Williams, T. A., Strom, T. M., Graf, E., Bandulik, S., Penton, D., Plouin, P-F., Warth, R., Allolio, B., Jeunemaitre, X.,Veglio, F. &amp; Reincke, M. 2012. KCNJ5 mutations in European families with non glucocorticoid remediable familial hyperaldosteronism. </w:t>
      </w:r>
      <w:r w:rsidRPr="007D17BE">
        <w:rPr>
          <w:rFonts w:ascii="Times New Roman" w:eastAsia="SimSun" w:hAnsi="Times New Roman" w:cs="Times New Roman"/>
          <w:bCs/>
          <w:i/>
          <w:iCs/>
          <w:kern w:val="2"/>
          <w:sz w:val="24"/>
          <w:szCs w:val="24"/>
          <w:lang w:val="en-US" w:eastAsia="ko-KR"/>
        </w:rPr>
        <w:t>Hypertension</w:t>
      </w:r>
      <w:r w:rsidRPr="007D17BE">
        <w:rPr>
          <w:rFonts w:ascii="Times New Roman" w:eastAsia="SimSun" w:hAnsi="Times New Roman" w:cs="Times New Roman"/>
          <w:bCs/>
          <w:kern w:val="2"/>
          <w:sz w:val="24"/>
          <w:szCs w:val="24"/>
          <w:lang w:val="en-US" w:eastAsia="ko-KR"/>
        </w:rPr>
        <w:t xml:space="preserve"> 59(2):235–240.</w:t>
      </w:r>
    </w:p>
    <w:p w14:paraId="428CCE28"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Nishikawa, T., Omura, M., Satoh, F., Shibata, H., Takahashi, K., Tamura, N., Tanabe, A. &amp; Soc, </w:t>
      </w:r>
    </w:p>
    <w:p w14:paraId="2ECDAB99"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ab/>
        <w:t xml:space="preserve">J. E. 2011. Guidelines  for the diagnosis and  treatment of  primary aldosteronism – The </w:t>
      </w:r>
    </w:p>
    <w:p w14:paraId="233CE8F8"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Japan Endocrine Society 2009. </w:t>
      </w:r>
      <w:r w:rsidRPr="007D17BE">
        <w:rPr>
          <w:rFonts w:ascii="Times New Roman" w:eastAsia="SimSun" w:hAnsi="Times New Roman" w:cs="Times New Roman"/>
          <w:bCs/>
          <w:i/>
          <w:iCs/>
          <w:kern w:val="2"/>
          <w:sz w:val="24"/>
          <w:szCs w:val="24"/>
          <w:lang w:val="en-US" w:eastAsia="ko-KR"/>
        </w:rPr>
        <w:t>Endocrine Journal</w:t>
      </w:r>
      <w:r w:rsidRPr="007D17BE">
        <w:rPr>
          <w:rFonts w:ascii="Times New Roman" w:eastAsia="SimSun" w:hAnsi="Times New Roman" w:cs="Times New Roman"/>
          <w:bCs/>
          <w:kern w:val="2"/>
          <w:sz w:val="24"/>
          <w:szCs w:val="24"/>
          <w:lang w:val="en-US" w:eastAsia="ko-KR"/>
        </w:rPr>
        <w:t xml:space="preserve"> 58:711–721. </w:t>
      </w:r>
    </w:p>
    <w:p w14:paraId="72C24A82"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lastRenderedPageBreak/>
        <w:t xml:space="preserve">Nishimoto, K., Tomlins, S.A., Kuick, R., Cani, A.K., Giordano, T.J., Hovelson, D. H., Liu, C.J., </w:t>
      </w:r>
    </w:p>
    <w:p w14:paraId="22B143F5"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Sanjanwala, A.R., Edwards, M.A., Gomez-Sanchez, C.E., Nanba, K., Rainey, W.E. 2015.  Aldosterone-stimulating somatic gene mutations are common in normal adrenal glands. </w:t>
      </w:r>
      <w:r w:rsidRPr="007D17BE">
        <w:rPr>
          <w:rFonts w:ascii="Times New Roman" w:eastAsia="SimSun" w:hAnsi="Times New Roman" w:cs="Times New Roman"/>
          <w:bCs/>
          <w:i/>
          <w:iCs/>
          <w:kern w:val="2"/>
          <w:sz w:val="24"/>
          <w:szCs w:val="24"/>
          <w:lang w:val="en-US" w:eastAsia="ko-KR"/>
        </w:rPr>
        <w:t>Proceedings of the National Academy of Sciences of the United States of America</w:t>
      </w:r>
      <w:r w:rsidRPr="007D17BE">
        <w:rPr>
          <w:rFonts w:ascii="Times New Roman" w:eastAsia="SimSun" w:hAnsi="Times New Roman" w:cs="Times New Roman"/>
          <w:bCs/>
          <w:kern w:val="2"/>
          <w:sz w:val="24"/>
          <w:szCs w:val="24"/>
          <w:lang w:val="en-US" w:eastAsia="ko-KR"/>
        </w:rPr>
        <w:t xml:space="preserve"> 112(33): E4591–E4599.</w:t>
      </w:r>
    </w:p>
    <w:p w14:paraId="0588C2AF"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Omata, K.,  Anand, S.K., Hovelson, D.H., Liu, C.-J., Yamazaki, Y., Nakamura, Y., Ito, S., Satoh, </w:t>
      </w:r>
    </w:p>
    <w:p w14:paraId="6AA15B49"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F., Sasano, H., Rainey, W.E. &amp; Tomlins, S. A. 2017. Aldosterone-Producing Cell Clusters Frequently Harbor Somatic Mutations and Accumulate with Age in Normal Adrenals. </w:t>
      </w:r>
      <w:r w:rsidRPr="007D17BE">
        <w:rPr>
          <w:rFonts w:ascii="Times New Roman" w:eastAsia="SimSun" w:hAnsi="Times New Roman" w:cs="Times New Roman"/>
          <w:bCs/>
          <w:i/>
          <w:iCs/>
          <w:kern w:val="2"/>
          <w:sz w:val="24"/>
          <w:szCs w:val="24"/>
          <w:lang w:val="en-US" w:eastAsia="ko-KR"/>
        </w:rPr>
        <w:t>Journal of the Endocrine Society</w:t>
      </w:r>
      <w:r w:rsidRPr="007D17BE">
        <w:rPr>
          <w:rFonts w:ascii="Times New Roman" w:eastAsia="SimSun" w:hAnsi="Times New Roman" w:cs="Times New Roman"/>
          <w:bCs/>
          <w:kern w:val="2"/>
          <w:sz w:val="24"/>
          <w:szCs w:val="24"/>
          <w:lang w:val="en-US" w:eastAsia="ko-KR"/>
        </w:rPr>
        <w:t xml:space="preserve"> 1(7): 787–799.</w:t>
      </w:r>
    </w:p>
    <w:p w14:paraId="4B37E3B3"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Omata,  K., Satoh,  F., Morimoto,  R., Ito,  S., Yamazaki,  Y.,  Nakamura, Y.,  Anand, S.K., Guo, </w:t>
      </w:r>
    </w:p>
    <w:p w14:paraId="3A271E3F"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Z., Stowasser, M., Sasano, H., Tomlins, S. A. &amp; Rainey, W. E. 2018. Cellular and genetic causes of idiopathic hyperaldosteronism. </w:t>
      </w:r>
      <w:r w:rsidRPr="007D17BE">
        <w:rPr>
          <w:rFonts w:ascii="Times New Roman" w:eastAsia="SimSun" w:hAnsi="Times New Roman" w:cs="Times New Roman"/>
          <w:bCs/>
          <w:i/>
          <w:iCs/>
          <w:kern w:val="2"/>
          <w:sz w:val="24"/>
          <w:szCs w:val="24"/>
          <w:lang w:val="en-US" w:eastAsia="ko-KR"/>
        </w:rPr>
        <w:t>Hypertension</w:t>
      </w:r>
      <w:r w:rsidRPr="007D17BE">
        <w:rPr>
          <w:rFonts w:ascii="Times New Roman" w:eastAsia="SimSun" w:hAnsi="Times New Roman" w:cs="Times New Roman"/>
          <w:bCs/>
          <w:kern w:val="2"/>
          <w:sz w:val="24"/>
          <w:szCs w:val="24"/>
          <w:lang w:val="en-US" w:eastAsia="ko-KR"/>
        </w:rPr>
        <w:t xml:space="preserve"> 72(4): 874–880.</w:t>
      </w:r>
    </w:p>
    <w:p w14:paraId="09C03706"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Pinggera,  A., Lieb,  A., Benedetti,  B., Lampert,  M., Monteleone,  S., Liedl, K.R., Tuluc, P. &amp;</w:t>
      </w:r>
    </w:p>
    <w:p w14:paraId="2E0B9661"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Striessnig,  J.  2015.  CACNA1D  de  novo  mutations  in  autism  spectrum  disorders </w:t>
      </w:r>
    </w:p>
    <w:p w14:paraId="0D94DFBB"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activate Cav1.3 L-type calcium channels. </w:t>
      </w:r>
      <w:r w:rsidRPr="007D17BE">
        <w:rPr>
          <w:rFonts w:ascii="Times New Roman" w:eastAsia="SimSun" w:hAnsi="Times New Roman" w:cs="Times New Roman"/>
          <w:bCs/>
          <w:i/>
          <w:iCs/>
          <w:kern w:val="2"/>
          <w:sz w:val="24"/>
          <w:szCs w:val="24"/>
          <w:lang w:val="en-US" w:eastAsia="ko-KR"/>
        </w:rPr>
        <w:t>Biological Psychiatry</w:t>
      </w:r>
      <w:r w:rsidRPr="007D17BE">
        <w:rPr>
          <w:rFonts w:ascii="Times New Roman" w:eastAsia="SimSun" w:hAnsi="Times New Roman" w:cs="Times New Roman"/>
          <w:bCs/>
          <w:kern w:val="2"/>
          <w:sz w:val="24"/>
          <w:szCs w:val="24"/>
          <w:lang w:val="en-US" w:eastAsia="ko-KR"/>
        </w:rPr>
        <w:t xml:space="preserve"> 77: 816–822. </w:t>
      </w:r>
    </w:p>
    <w:p w14:paraId="2357D044"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Reimer,  E.N., Walenda,  G., Seidel, E., Scholl, U.I., 2016. CACNA1HM1549V mutant calcium </w:t>
      </w:r>
    </w:p>
    <w:p w14:paraId="7ADD978B"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ab/>
        <w:t xml:space="preserve">channel causes autonomous aldosterone production in HAC15 cells and is inhibited by </w:t>
      </w:r>
    </w:p>
    <w:p w14:paraId="220B9D58"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ab/>
        <w:t xml:space="preserve">Mibefradil. </w:t>
      </w:r>
      <w:r w:rsidRPr="007D17BE">
        <w:rPr>
          <w:rFonts w:ascii="Times New Roman" w:eastAsia="SimSun" w:hAnsi="Times New Roman" w:cs="Times New Roman"/>
          <w:bCs/>
          <w:i/>
          <w:iCs/>
          <w:kern w:val="2"/>
          <w:sz w:val="24"/>
          <w:szCs w:val="24"/>
          <w:lang w:val="en-US" w:eastAsia="ko-KR"/>
        </w:rPr>
        <w:t>Endocrinology</w:t>
      </w:r>
      <w:r w:rsidRPr="007D17BE">
        <w:rPr>
          <w:rFonts w:ascii="Times New Roman" w:eastAsia="SimSun" w:hAnsi="Times New Roman" w:cs="Times New Roman"/>
          <w:bCs/>
          <w:kern w:val="2"/>
          <w:sz w:val="24"/>
          <w:szCs w:val="24"/>
          <w:lang w:val="en-US" w:eastAsia="ko-KR"/>
        </w:rPr>
        <w:t xml:space="preserve"> en20161170.</w:t>
      </w:r>
    </w:p>
    <w:p w14:paraId="329FF789"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Scholl,  U.I.,  Nelson-Williams,  C.,  Yue,  P.,  Grekin, R., Wyatt, R. J., Dillon, M.J., Couch, R.,</w:t>
      </w:r>
    </w:p>
    <w:p w14:paraId="3DE80FF2"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Hammer, L.K., Harley, F.L., Farhi, A.,Wang,W-H. &amp; Lifton, R. P. 2012. Hypertension with or without adrenal hyperplasia due to different inherited mutations in the potassium channel KCNJ5. </w:t>
      </w:r>
      <w:r w:rsidRPr="007D17BE">
        <w:rPr>
          <w:rFonts w:ascii="Times New Roman" w:eastAsia="SimSun" w:hAnsi="Times New Roman" w:cs="Times New Roman"/>
          <w:bCs/>
          <w:i/>
          <w:iCs/>
          <w:kern w:val="2"/>
          <w:sz w:val="24"/>
          <w:szCs w:val="24"/>
          <w:lang w:val="en-US" w:eastAsia="ko-KR"/>
        </w:rPr>
        <w:t>PNAS</w:t>
      </w:r>
      <w:r w:rsidRPr="007D17BE">
        <w:rPr>
          <w:rFonts w:ascii="Times New Roman" w:eastAsia="SimSun" w:hAnsi="Times New Roman" w:cs="Times New Roman"/>
          <w:bCs/>
          <w:kern w:val="2"/>
          <w:sz w:val="24"/>
          <w:szCs w:val="24"/>
          <w:lang w:val="en-US" w:eastAsia="ko-KR"/>
        </w:rPr>
        <w:t xml:space="preserve"> 109:2533–2538. </w:t>
      </w:r>
    </w:p>
    <w:p w14:paraId="0AB89434"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Scholl, U.I., Goh, G., Stolting, G.,  de  Oliveira, R.C.,  Choi, M.,  Overton, J.D.,  Fonseca, A.L.,</w:t>
      </w:r>
    </w:p>
    <w:p w14:paraId="661A47D6"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Korah, R., Starker, L.F., Kunstman, J.W., Prasad, M. L., Hartung, E. A., Mauras, N.,  Benson, M. R., Brady, T., Shapiro, J. R., Loring, E., Nelson-Williams, C., Libutti, S. </w:t>
      </w:r>
      <w:r w:rsidRPr="007D17BE">
        <w:rPr>
          <w:rFonts w:ascii="Times New Roman" w:eastAsia="SimSun" w:hAnsi="Times New Roman" w:cs="Times New Roman"/>
          <w:bCs/>
          <w:kern w:val="2"/>
          <w:sz w:val="24"/>
          <w:szCs w:val="24"/>
          <w:lang w:val="en-US" w:eastAsia="ko-KR"/>
        </w:rPr>
        <w:lastRenderedPageBreak/>
        <w:t xml:space="preserve">K., Mane, S., Hellman, P.,  Westin, G., Åkerström, G., Björklund, P., Carling, T., Fahlke, C., Hidalgo, P. &amp; Lifton, R. P. 2013. Somatic and germline CACNA1D calcium channel mutations in aldosterone producing adenomas and primary aldosteronism. </w:t>
      </w:r>
      <w:r w:rsidRPr="007D17BE">
        <w:rPr>
          <w:rFonts w:ascii="Times New Roman" w:eastAsia="SimSun" w:hAnsi="Times New Roman" w:cs="Times New Roman"/>
          <w:bCs/>
          <w:i/>
          <w:iCs/>
          <w:kern w:val="2"/>
          <w:sz w:val="24"/>
          <w:szCs w:val="24"/>
          <w:lang w:val="en-US" w:eastAsia="ko-KR"/>
        </w:rPr>
        <w:t>Nature Genetics</w:t>
      </w:r>
      <w:r w:rsidRPr="007D17BE">
        <w:rPr>
          <w:rFonts w:ascii="Times New Roman" w:eastAsia="SimSun" w:hAnsi="Times New Roman" w:cs="Times New Roman"/>
          <w:bCs/>
          <w:kern w:val="2"/>
          <w:sz w:val="24"/>
          <w:szCs w:val="24"/>
          <w:lang w:val="en-US" w:eastAsia="ko-KR"/>
        </w:rPr>
        <w:t xml:space="preserve"> 451050–1054.</w:t>
      </w:r>
    </w:p>
    <w:p w14:paraId="1942B862"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sz w:val="24"/>
          <w:szCs w:val="24"/>
          <w:lang w:eastAsia="zh-CN"/>
        </w:rPr>
      </w:pPr>
      <w:r w:rsidRPr="007D17BE">
        <w:rPr>
          <w:rFonts w:ascii="Times New Roman" w:eastAsia="SimSun" w:hAnsi="Times New Roman" w:cs="Times New Roman"/>
          <w:sz w:val="24"/>
          <w:szCs w:val="24"/>
          <w:lang w:eastAsia="zh-CN"/>
        </w:rPr>
        <w:t>Scholl, U.I., Healy, J. M., Thiel, A., Fonseca, A. L., Brown, T. C., Kunstman, J.W.,</w:t>
      </w:r>
      <w:r w:rsidRPr="007D17BE">
        <w:rPr>
          <w:rFonts w:ascii="Times New Roman" w:eastAsia="SimSun" w:hAnsi="Times New Roman" w:cs="Times New Roman"/>
          <w:bCs/>
          <w:kern w:val="2"/>
          <w:sz w:val="24"/>
          <w:szCs w:val="24"/>
          <w:lang w:val="en-US" w:eastAsia="ko-KR"/>
        </w:rPr>
        <w:t xml:space="preserve"> </w:t>
      </w:r>
      <w:r w:rsidRPr="007D17BE">
        <w:rPr>
          <w:rFonts w:ascii="Times New Roman" w:eastAsia="SimSun" w:hAnsi="Times New Roman" w:cs="Times New Roman"/>
          <w:sz w:val="24"/>
          <w:szCs w:val="24"/>
          <w:lang w:eastAsia="zh-CN"/>
        </w:rPr>
        <w:t>Horne, M.</w:t>
      </w:r>
    </w:p>
    <w:p w14:paraId="2FA840B3"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sz w:val="24"/>
          <w:szCs w:val="24"/>
          <w:lang w:eastAsia="zh-CN"/>
        </w:rPr>
      </w:pPr>
      <w:r w:rsidRPr="007D17BE">
        <w:rPr>
          <w:rFonts w:ascii="Times New Roman" w:eastAsia="SimSun" w:hAnsi="Times New Roman" w:cs="Times New Roman"/>
          <w:sz w:val="24"/>
          <w:szCs w:val="24"/>
          <w:lang w:eastAsia="zh-CN"/>
        </w:rPr>
        <w:t>J., Dietrich, D., Riemer, J., K€uc€ukk€oyl€u, S., Reimer, E. N., Reis, A-C., Goh, G., Kristiansen, G., Mahajan, A., Korah, R., Lifton, R.P., Prasads, M. L.</w:t>
      </w:r>
      <w:r w:rsidRPr="007D17BE">
        <w:rPr>
          <w:rFonts w:ascii="Times New Roman" w:eastAsia="SimSun" w:hAnsi="Times New Roman" w:cs="Times New Roman"/>
          <w:bCs/>
          <w:kern w:val="2"/>
          <w:sz w:val="24"/>
          <w:szCs w:val="24"/>
          <w:lang w:val="en-US" w:eastAsia="ko-KR"/>
        </w:rPr>
        <w:t xml:space="preserve"> &amp;</w:t>
      </w:r>
      <w:r w:rsidRPr="007D17BE">
        <w:rPr>
          <w:rFonts w:ascii="Times New Roman" w:eastAsia="SimSun" w:hAnsi="Times New Roman" w:cs="Times New Roman"/>
          <w:sz w:val="24"/>
          <w:szCs w:val="24"/>
          <w:lang w:eastAsia="zh-CN"/>
        </w:rPr>
        <w:t xml:space="preserve"> Carling, T</w:t>
      </w:r>
      <w:r w:rsidRPr="007D17BE">
        <w:rPr>
          <w:rFonts w:ascii="Times New Roman" w:eastAsia="SimSun" w:hAnsi="Times New Roman" w:cs="Times New Roman"/>
          <w:kern w:val="2"/>
          <w:sz w:val="24"/>
          <w:szCs w:val="24"/>
          <w:lang w:val="en-US" w:eastAsia="ko-KR"/>
        </w:rPr>
        <w:t xml:space="preserve">. 2015. </w:t>
      </w:r>
      <w:r w:rsidRPr="007D17BE">
        <w:rPr>
          <w:rFonts w:ascii="Times New Roman" w:eastAsia="SimSun" w:hAnsi="Times New Roman" w:cs="Times New Roman"/>
          <w:sz w:val="24"/>
          <w:szCs w:val="24"/>
          <w:lang w:eastAsia="zh-CN"/>
        </w:rPr>
        <w:t xml:space="preserve">Novel somatic mutations in primary hyperaldosteronism are related to the clinical, radiological, and pathological phenotype. </w:t>
      </w:r>
      <w:r w:rsidRPr="007D17BE">
        <w:rPr>
          <w:rFonts w:ascii="Times New Roman" w:eastAsia="SimSun" w:hAnsi="Times New Roman" w:cs="Times New Roman"/>
          <w:i/>
          <w:iCs/>
          <w:sz w:val="24"/>
          <w:szCs w:val="24"/>
          <w:lang w:eastAsia="zh-CN"/>
        </w:rPr>
        <w:t>Clinical Endocrinology</w:t>
      </w:r>
      <w:r w:rsidRPr="007D17BE">
        <w:rPr>
          <w:rFonts w:ascii="Times New Roman" w:eastAsia="SimSun" w:hAnsi="Times New Roman" w:cs="Times New Roman"/>
          <w:sz w:val="24"/>
          <w:szCs w:val="24"/>
          <w:lang w:eastAsia="zh-CN"/>
        </w:rPr>
        <w:t xml:space="preserve"> 83:779–789.</w:t>
      </w:r>
    </w:p>
    <w:p w14:paraId="64C6D63C"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sz w:val="24"/>
          <w:szCs w:val="24"/>
          <w:lang w:eastAsia="zh-CN"/>
        </w:rPr>
      </w:pPr>
      <w:r w:rsidRPr="007D17BE">
        <w:rPr>
          <w:rFonts w:ascii="Times New Roman" w:eastAsia="SimSun" w:hAnsi="Times New Roman" w:cs="Times New Roman"/>
          <w:sz w:val="24"/>
          <w:szCs w:val="24"/>
          <w:lang w:eastAsia="zh-CN"/>
        </w:rPr>
        <w:t xml:space="preserve">Scholl,   U.I.,  Stollting,  G.,  Nelson-Williams,  C.,   Vichot,   A.A.,   Choi,   M.,    Loring,  E., </w:t>
      </w:r>
    </w:p>
    <w:p w14:paraId="3B15B961"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sz w:val="24"/>
          <w:szCs w:val="24"/>
          <w:lang w:eastAsia="zh-CN"/>
        </w:rPr>
      </w:pPr>
      <w:r w:rsidRPr="007D17BE">
        <w:rPr>
          <w:rFonts w:ascii="Times New Roman" w:eastAsia="SimSun" w:hAnsi="Times New Roman" w:cs="Times New Roman"/>
          <w:sz w:val="24"/>
          <w:szCs w:val="24"/>
          <w:lang w:eastAsia="zh-CN"/>
        </w:rPr>
        <w:t>Prasad, M. L.,  Goh, G., Carling,  T.,  Juhlin, C. C., Quack,  I., Rump, L. C.,  Thiel,  A.,  Lande, M., Frazier,  B. G., Rasoulpour,  M., Bowlin, D.L., Sethna, C.B., Trachtman, H.,  Fahlke, C. &amp; Lifton, R.P. 2015. Recurrent gain of function mutation in calcium channel CACNA1H causes early-onset hypertension with primary aldosteronism. Elife 24(4):e06315</w:t>
      </w:r>
    </w:p>
    <w:p w14:paraId="4B758233"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Scholl, U.I., Stölting, G., Schewe, J., Thiel, A., Tan, H., Nelson-Williams, C., Vichot, A.A., Jin, </w:t>
      </w:r>
    </w:p>
    <w:p w14:paraId="7610AEB3"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S.C., Loring, E., Untiet, V., Yoo, T., Choi, J., Xu, S., Wu, A., Kirchner, M., Mertins, P., Rump, L.C., Onder, A.M., Gamble, C., McKenney, D., Lash, R.W., Jones, D.P., Chune, G., Gagliardi, P., Choi, M., Gordon, R., Stowasser, M., Fahlke, C. &amp; Lifton, R.P. </w:t>
      </w:r>
      <w:r w:rsidRPr="007D17BE">
        <w:rPr>
          <w:rFonts w:ascii="Times New Roman" w:eastAsia="SimSun" w:hAnsi="Times New Roman" w:cs="Times New Roman"/>
          <w:kern w:val="2"/>
          <w:sz w:val="24"/>
          <w:szCs w:val="24"/>
          <w:lang w:val="en-US" w:eastAsia="ko-KR"/>
        </w:rPr>
        <w:t xml:space="preserve">2018. </w:t>
      </w:r>
      <w:r w:rsidRPr="007D17BE">
        <w:rPr>
          <w:rFonts w:ascii="Times New Roman" w:eastAsia="SimSun" w:hAnsi="Times New Roman" w:cs="Times New Roman"/>
          <w:bCs/>
          <w:kern w:val="2"/>
          <w:sz w:val="24"/>
          <w:szCs w:val="24"/>
          <w:lang w:val="en-US" w:eastAsia="ko-KR"/>
        </w:rPr>
        <w:t xml:space="preserve">CLCN2 chloride channel mutations in familial hyperaldosteronism Type II. </w:t>
      </w:r>
      <w:r w:rsidRPr="007D17BE">
        <w:rPr>
          <w:rFonts w:ascii="Times New Roman" w:eastAsia="SimSun" w:hAnsi="Times New Roman" w:cs="Times New Roman"/>
          <w:bCs/>
          <w:i/>
          <w:kern w:val="2"/>
          <w:sz w:val="24"/>
          <w:szCs w:val="24"/>
          <w:lang w:val="en-US" w:eastAsia="ko-KR"/>
        </w:rPr>
        <w:t>Nature Genetic</w:t>
      </w:r>
      <w:r w:rsidRPr="007D17BE">
        <w:rPr>
          <w:rFonts w:ascii="Times New Roman" w:eastAsia="SimSun" w:hAnsi="Times New Roman" w:cs="Times New Roman"/>
          <w:bCs/>
          <w:kern w:val="2"/>
          <w:sz w:val="24"/>
          <w:szCs w:val="24"/>
          <w:lang w:val="en-US" w:eastAsia="ko-KR"/>
        </w:rPr>
        <w:t xml:space="preserve"> 50(3):349-354.</w:t>
      </w:r>
    </w:p>
    <w:p w14:paraId="790AF080"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Stindl, J., Tauber, P., Sterner, C., Tegtmeier, I., Warth, R. &amp; Bandulik, S. 2015. Pathogenesis of</w:t>
      </w:r>
    </w:p>
    <w:p w14:paraId="33B958DC"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 adrenal aldosterone-producing adenomas carrying mutations of the Na+/K+-ATPase.</w:t>
      </w:r>
    </w:p>
    <w:p w14:paraId="6892BB39"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 </w:t>
      </w:r>
      <w:r w:rsidRPr="007D17BE">
        <w:rPr>
          <w:rFonts w:ascii="Times New Roman" w:eastAsia="SimSun" w:hAnsi="Times New Roman" w:cs="Times New Roman"/>
          <w:bCs/>
          <w:i/>
          <w:iCs/>
          <w:kern w:val="2"/>
          <w:sz w:val="24"/>
          <w:szCs w:val="24"/>
          <w:lang w:val="en-US" w:eastAsia="ko-KR"/>
        </w:rPr>
        <w:t>Endocrinology</w:t>
      </w:r>
      <w:r w:rsidRPr="007D17BE">
        <w:rPr>
          <w:rFonts w:ascii="Times New Roman" w:eastAsia="SimSun" w:hAnsi="Times New Roman" w:cs="Times New Roman"/>
          <w:bCs/>
          <w:kern w:val="2"/>
          <w:sz w:val="24"/>
          <w:szCs w:val="24"/>
          <w:lang w:val="en-US" w:eastAsia="ko-KR"/>
        </w:rPr>
        <w:t xml:space="preserve"> 156: 4582–4591.</w:t>
      </w:r>
    </w:p>
    <w:p w14:paraId="60256899"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Sukor,  N., Mulatero,  P., Gordon, R. D., So, A., Duffy, D., Bertello, C., Kelemen, L., Jeske, Y.,</w:t>
      </w:r>
    </w:p>
    <w:p w14:paraId="162AAF32"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lastRenderedPageBreak/>
        <w:t xml:space="preserve">Veglio, F. &amp; Stowasser, M. 2008. Further evidence for linkage of familial hyperaldosteronism type II at chromosome 7p22 in Italian as well as Australian and South American families. </w:t>
      </w:r>
      <w:r w:rsidRPr="007D17BE">
        <w:rPr>
          <w:rFonts w:ascii="Times New Roman" w:eastAsia="SimSun" w:hAnsi="Times New Roman" w:cs="Times New Roman"/>
          <w:bCs/>
          <w:i/>
          <w:iCs/>
          <w:kern w:val="2"/>
          <w:sz w:val="24"/>
          <w:szCs w:val="24"/>
          <w:lang w:val="en-US" w:eastAsia="ko-KR"/>
        </w:rPr>
        <w:t>Journal of Hypertension</w:t>
      </w:r>
      <w:r w:rsidRPr="007D17BE">
        <w:rPr>
          <w:rFonts w:ascii="Times New Roman" w:eastAsia="SimSun" w:hAnsi="Times New Roman" w:cs="Times New Roman"/>
          <w:bCs/>
          <w:kern w:val="2"/>
          <w:sz w:val="24"/>
          <w:szCs w:val="24"/>
          <w:lang w:val="en-US" w:eastAsia="ko-KR"/>
        </w:rPr>
        <w:t xml:space="preserve"> 26: 1577–1582. </w:t>
      </w:r>
    </w:p>
    <w:p w14:paraId="7E8FBD12"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Sutherland,  D. J.,  Ruse, J. L. &amp;  Laidlaw,  J. C. 1966.  Hypertension,  increased  aldosterone</w:t>
      </w:r>
    </w:p>
    <w:p w14:paraId="6B55464F" w14:textId="77777777" w:rsidR="007D17BE" w:rsidRPr="007D17BE" w:rsidRDefault="007D17BE" w:rsidP="007D17BE">
      <w:pPr>
        <w:widowControl w:val="0"/>
        <w:autoSpaceDE w:val="0"/>
        <w:autoSpaceDN w:val="0"/>
        <w:spacing w:after="0" w:line="480" w:lineRule="auto"/>
        <w:ind w:firstLine="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secretion and low plasma renin activity relieved by dexamethasone. </w:t>
      </w:r>
      <w:r w:rsidRPr="007D17BE">
        <w:rPr>
          <w:rFonts w:ascii="Times New Roman" w:eastAsia="SimSun" w:hAnsi="Times New Roman" w:cs="Times New Roman"/>
          <w:bCs/>
          <w:i/>
          <w:iCs/>
          <w:kern w:val="2"/>
          <w:sz w:val="24"/>
          <w:szCs w:val="24"/>
          <w:lang w:val="en-US" w:eastAsia="ko-KR"/>
        </w:rPr>
        <w:t xml:space="preserve">Canadian Medical </w:t>
      </w:r>
      <w:r w:rsidRPr="007D17BE">
        <w:rPr>
          <w:rFonts w:ascii="Times New Roman" w:eastAsia="SimSun" w:hAnsi="Times New Roman" w:cs="Times New Roman"/>
          <w:bCs/>
          <w:i/>
          <w:iCs/>
          <w:kern w:val="2"/>
          <w:sz w:val="24"/>
          <w:szCs w:val="24"/>
          <w:lang w:val="en-US" w:eastAsia="ko-KR"/>
        </w:rPr>
        <w:tab/>
        <w:t>Association Journal</w:t>
      </w:r>
      <w:r w:rsidRPr="007D17BE">
        <w:rPr>
          <w:rFonts w:ascii="Times New Roman" w:eastAsia="SimSun" w:hAnsi="Times New Roman" w:cs="Times New Roman"/>
          <w:bCs/>
          <w:kern w:val="2"/>
          <w:sz w:val="24"/>
          <w:szCs w:val="24"/>
          <w:lang w:val="en-US" w:eastAsia="ko-KR"/>
        </w:rPr>
        <w:t xml:space="preserve"> 95:1109–1119.</w:t>
      </w:r>
    </w:p>
    <w:p w14:paraId="41773EC2"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Stowasser, M., Gordon, R.D., Tunny, T.J., Klemm, S.A., Finn, W.L. &amp; Krek, A.L. 1992. </w:t>
      </w:r>
      <w:r w:rsidRPr="007D17BE">
        <w:rPr>
          <w:rFonts w:ascii="Times New Roman" w:eastAsia="SimSun" w:hAnsi="Times New Roman" w:cs="Times New Roman"/>
          <w:bCs/>
          <w:kern w:val="2"/>
          <w:sz w:val="24"/>
          <w:szCs w:val="24"/>
          <w:lang w:val="en-US" w:eastAsia="ko-KR"/>
        </w:rPr>
        <w:tab/>
        <w:t xml:space="preserve">Familial hyperald-osteronism Type-Ii–5 families with a new variety of primary </w:t>
      </w:r>
      <w:r w:rsidRPr="007D17BE">
        <w:rPr>
          <w:rFonts w:ascii="Times New Roman" w:eastAsia="SimSun" w:hAnsi="Times New Roman" w:cs="Times New Roman"/>
          <w:bCs/>
          <w:kern w:val="2"/>
          <w:sz w:val="24"/>
          <w:szCs w:val="24"/>
          <w:lang w:val="en-US" w:eastAsia="ko-KR"/>
        </w:rPr>
        <w:tab/>
        <w:t xml:space="preserve">aldosteronism. </w:t>
      </w:r>
      <w:r w:rsidRPr="007D17BE">
        <w:rPr>
          <w:rFonts w:ascii="Times New Roman" w:eastAsia="SimSun" w:hAnsi="Times New Roman" w:cs="Times New Roman"/>
          <w:bCs/>
          <w:i/>
          <w:iCs/>
          <w:kern w:val="2"/>
          <w:sz w:val="24"/>
          <w:szCs w:val="24"/>
          <w:lang w:val="en-US" w:eastAsia="ko-KR"/>
        </w:rPr>
        <w:t>Clinical and Experimental Pharmacology and Physiology</w:t>
      </w:r>
      <w:r w:rsidRPr="007D17BE">
        <w:rPr>
          <w:rFonts w:ascii="Times New Roman" w:eastAsia="SimSun" w:hAnsi="Times New Roman" w:cs="Times New Roman"/>
          <w:bCs/>
          <w:kern w:val="2"/>
          <w:sz w:val="24"/>
          <w:szCs w:val="24"/>
          <w:lang w:val="en-US" w:eastAsia="ko-KR"/>
        </w:rPr>
        <w:t xml:space="preserve"> 19: 319–322. </w:t>
      </w:r>
    </w:p>
    <w:p w14:paraId="16AF6E46"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Teo, A. E.,  Garg, S., Shaikh,  L. H.,  Zhou, J., Karet Frankl, F.E., Gurnell, M., Happerfield, L.,</w:t>
      </w:r>
    </w:p>
    <w:p w14:paraId="63262614" w14:textId="77777777" w:rsidR="007D17BE" w:rsidRPr="007D17BE" w:rsidRDefault="007D17BE" w:rsidP="007D17BE">
      <w:pPr>
        <w:widowControl w:val="0"/>
        <w:autoSpaceDE w:val="0"/>
        <w:autoSpaceDN w:val="0"/>
        <w:spacing w:after="0" w:line="480" w:lineRule="auto"/>
        <w:ind w:left="720" w:firstLine="6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Marker, A., Bienz, M., Azizan, E.A. &amp; Brown, M.J. 2015. Pregnancy, Primary Aldosteronism, and Adrenal CTNNB1 Mutations.  </w:t>
      </w:r>
      <w:r w:rsidRPr="007D17BE">
        <w:rPr>
          <w:rFonts w:ascii="Times New Roman" w:eastAsia="SimSun" w:hAnsi="Times New Roman" w:cs="Times New Roman"/>
          <w:bCs/>
          <w:i/>
          <w:kern w:val="2"/>
          <w:sz w:val="24"/>
          <w:szCs w:val="24"/>
          <w:lang w:val="en-US" w:eastAsia="ko-KR"/>
        </w:rPr>
        <w:t>Journal the New England journal of medicine</w:t>
      </w:r>
      <w:r w:rsidRPr="007D17BE">
        <w:rPr>
          <w:rFonts w:ascii="Times New Roman" w:eastAsia="SimSun" w:hAnsi="Times New Roman" w:cs="Times New Roman"/>
          <w:bCs/>
          <w:kern w:val="2"/>
          <w:sz w:val="24"/>
          <w:szCs w:val="24"/>
          <w:lang w:val="en-US" w:eastAsia="ko-KR"/>
        </w:rPr>
        <w:t xml:space="preserve"> 373: 1429–1436.</w:t>
      </w:r>
    </w:p>
    <w:p w14:paraId="498FC560"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Thiemann,  A.,  Grunder,  S.,  Pusch,  M.  &amp;  Jentsch,  T. J.  1992.   A  chloride  channel  widely </w:t>
      </w:r>
    </w:p>
    <w:p w14:paraId="2B93D43C"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ab/>
        <w:t>expressed in epithelial and non-epithelial cells. Nature 356:57–60.</w:t>
      </w:r>
    </w:p>
    <w:p w14:paraId="6141CBE6"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Wang,   B.,   Li,  X.,  Zhang,  X., Ma,   X., Chen, L.,  Zhang, Y.,  Lyu, X.,  Tang, Y., Huang, Q., </w:t>
      </w:r>
    </w:p>
    <w:p w14:paraId="3438290C"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Gao, Y., Fan, Y. &amp; Ouyang, J. 2015. Prevalence and characterization of somatic mutations in Chinese aldosterone-producing adenoma patients. </w:t>
      </w:r>
      <w:r w:rsidRPr="007D17BE">
        <w:rPr>
          <w:rFonts w:ascii="Times New Roman" w:eastAsia="SimSun" w:hAnsi="Times New Roman" w:cs="Times New Roman"/>
          <w:bCs/>
          <w:i/>
          <w:iCs/>
          <w:kern w:val="2"/>
          <w:sz w:val="24"/>
          <w:szCs w:val="24"/>
          <w:lang w:val="en-US" w:eastAsia="ko-KR"/>
        </w:rPr>
        <w:t>Medicine</w:t>
      </w:r>
      <w:r w:rsidRPr="007D17BE">
        <w:rPr>
          <w:rFonts w:ascii="Times New Roman" w:eastAsia="SimSun" w:hAnsi="Times New Roman" w:cs="Times New Roman"/>
          <w:bCs/>
          <w:kern w:val="2"/>
          <w:sz w:val="24"/>
          <w:szCs w:val="24"/>
          <w:lang w:val="en-US" w:eastAsia="ko-KR"/>
        </w:rPr>
        <w:t xml:space="preserve"> 2015: 94:e708.</w:t>
      </w:r>
    </w:p>
    <w:p w14:paraId="698B79D0"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Williams,    T. A.,   Monticone,  S.,    Schack,  V. R.,    Stindl,  J.,  Burrello,  J.,  Buffolo,   F., </w:t>
      </w:r>
    </w:p>
    <w:p w14:paraId="26CD1334"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Annaratone, L., Castellano, I., Beuschlein, F., Reincke, M., Lucatello, B., Ronconi, V., Fallo, F., Bernini, G., Maccario, M., Giacchetti, G., Veglio, F., Warth, R., Vilsen, B. &amp; Mulatero, P. 2014. Somatic ATP1A1, ATP2B3, and KCNJ5 Mutations in Aldosterone-Producing Adenomas. </w:t>
      </w:r>
      <w:r w:rsidRPr="007D17BE">
        <w:rPr>
          <w:rFonts w:ascii="Times New Roman" w:eastAsia="SimSun" w:hAnsi="Times New Roman" w:cs="Times New Roman"/>
          <w:bCs/>
          <w:i/>
          <w:iCs/>
          <w:kern w:val="2"/>
          <w:sz w:val="24"/>
          <w:szCs w:val="24"/>
          <w:lang w:val="en-US" w:eastAsia="ko-KR"/>
        </w:rPr>
        <w:t>Hypertension</w:t>
      </w:r>
      <w:r w:rsidRPr="007D17BE">
        <w:rPr>
          <w:rFonts w:ascii="Times New Roman" w:eastAsia="SimSun" w:hAnsi="Times New Roman" w:cs="Times New Roman"/>
          <w:bCs/>
          <w:kern w:val="2"/>
          <w:sz w:val="24"/>
          <w:szCs w:val="24"/>
          <w:lang w:val="en-US" w:eastAsia="ko-KR"/>
        </w:rPr>
        <w:t xml:space="preserve"> 63(1):188–195.</w:t>
      </w:r>
    </w:p>
    <w:p w14:paraId="24668849"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Wu,  V. C.,  Wang,  S. M.,  Chueh,  S. J.,  Yang,  S. Y.,  Huang,  K. H.,  Lin,  Y. H.,  Wang,  J.J., </w:t>
      </w:r>
    </w:p>
    <w:p w14:paraId="0C871C8F"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lastRenderedPageBreak/>
        <w:t xml:space="preserve">Connolly, R., Hu, Y.H., Gomez-Sanchez, C.E., Peng, K.Y. &amp; Wu, K.D. 2017. The prevalence of CTNNB 1 mutations in primary aldosteronism and consequences for clinical outcomes. </w:t>
      </w:r>
      <w:r w:rsidRPr="007D17BE">
        <w:rPr>
          <w:rFonts w:ascii="Times New Roman" w:eastAsia="SimSun" w:hAnsi="Times New Roman" w:cs="Times New Roman"/>
          <w:bCs/>
          <w:i/>
          <w:iCs/>
          <w:kern w:val="2"/>
          <w:sz w:val="24"/>
          <w:szCs w:val="24"/>
          <w:lang w:val="en-US" w:eastAsia="ko-KR"/>
        </w:rPr>
        <w:t>Sci Rep</w:t>
      </w:r>
      <w:r w:rsidRPr="007D17BE">
        <w:rPr>
          <w:rFonts w:ascii="Times New Roman" w:eastAsia="SimSun" w:hAnsi="Times New Roman" w:cs="Times New Roman"/>
          <w:bCs/>
          <w:kern w:val="2"/>
          <w:sz w:val="24"/>
          <w:szCs w:val="24"/>
          <w:lang w:val="en-US" w:eastAsia="ko-KR"/>
        </w:rPr>
        <w:t xml:space="preserve"> 7:39121.</w:t>
      </w:r>
    </w:p>
    <w:p w14:paraId="365F4ABA" w14:textId="77777777" w:rsidR="007D17BE" w:rsidRPr="007D17BE" w:rsidRDefault="007D17BE" w:rsidP="007D17BE">
      <w:pPr>
        <w:widowControl w:val="0"/>
        <w:autoSpaceDE w:val="0"/>
        <w:autoSpaceDN w:val="0"/>
        <w:spacing w:after="0" w:line="480" w:lineRule="auto"/>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Zheng, F.F., Zhu, L. M., Nie, A. F., Li,  X.Y., Lin, J. R., Zhang,  K., Chen, J., Zhou, W. L., Shen, </w:t>
      </w:r>
    </w:p>
    <w:p w14:paraId="00C2A4EE" w14:textId="77777777" w:rsidR="007D17BE" w:rsidRPr="007D17BE" w:rsidRDefault="007D17BE" w:rsidP="007D17BE">
      <w:pPr>
        <w:widowControl w:val="0"/>
        <w:autoSpaceDE w:val="0"/>
        <w:autoSpaceDN w:val="0"/>
        <w:spacing w:after="0" w:line="480" w:lineRule="auto"/>
        <w:ind w:left="720"/>
        <w:jc w:val="both"/>
        <w:outlineLvl w:val="0"/>
        <w:rPr>
          <w:rFonts w:ascii="Times New Roman" w:eastAsia="SimSun" w:hAnsi="Times New Roman" w:cs="Times New Roman"/>
          <w:bCs/>
          <w:kern w:val="2"/>
          <w:sz w:val="24"/>
          <w:szCs w:val="24"/>
          <w:lang w:val="en-US" w:eastAsia="ko-KR"/>
        </w:rPr>
      </w:pPr>
      <w:r w:rsidRPr="007D17BE">
        <w:rPr>
          <w:rFonts w:ascii="Times New Roman" w:eastAsia="SimSun" w:hAnsi="Times New Roman" w:cs="Times New Roman"/>
          <w:bCs/>
          <w:kern w:val="2"/>
          <w:sz w:val="24"/>
          <w:szCs w:val="24"/>
          <w:lang w:val="en-US" w:eastAsia="ko-KR"/>
        </w:rPr>
        <w:t xml:space="preserve">Z.J., Zhu, Y.C., Wang, J.G., Zhu, D.L. &amp; Gao, P. J. 2015. Clinical characteristics of somatic mutations in Chinese patients with aldosterone-producing adenoma. </w:t>
      </w:r>
      <w:r w:rsidRPr="007D17BE">
        <w:rPr>
          <w:rFonts w:ascii="Times New Roman" w:eastAsia="SimSun" w:hAnsi="Times New Roman" w:cs="Times New Roman"/>
          <w:bCs/>
          <w:i/>
          <w:iCs/>
          <w:kern w:val="2"/>
          <w:sz w:val="24"/>
          <w:szCs w:val="24"/>
          <w:lang w:val="en-US" w:eastAsia="ko-KR"/>
        </w:rPr>
        <w:t>Hypertension</w:t>
      </w:r>
      <w:r w:rsidRPr="007D17BE">
        <w:rPr>
          <w:rFonts w:ascii="Times New Roman" w:eastAsia="SimSun" w:hAnsi="Times New Roman" w:cs="Times New Roman"/>
          <w:bCs/>
          <w:kern w:val="2"/>
          <w:sz w:val="24"/>
          <w:szCs w:val="24"/>
          <w:lang w:val="en-US" w:eastAsia="ko-KR"/>
        </w:rPr>
        <w:t xml:space="preserve"> 65:622–628.</w:t>
      </w:r>
    </w:p>
    <w:p w14:paraId="461857C7" w14:textId="3A532FC2" w:rsidR="007D17BE" w:rsidRPr="001E746E" w:rsidRDefault="007D17BE" w:rsidP="001E746E">
      <w:pPr>
        <w:spacing w:line="480" w:lineRule="auto"/>
        <w:jc w:val="both"/>
        <w:rPr>
          <w:rFonts w:ascii="Times New Roman" w:hAnsi="Times New Roman" w:cs="Times New Roman"/>
          <w:sz w:val="24"/>
          <w:szCs w:val="24"/>
        </w:rPr>
      </w:pPr>
    </w:p>
    <w:sectPr w:rsidR="007D17BE" w:rsidRPr="001E7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66"/>
    <w:rsid w:val="0003319C"/>
    <w:rsid w:val="00065442"/>
    <w:rsid w:val="00091E0F"/>
    <w:rsid w:val="000A237B"/>
    <w:rsid w:val="00103BB3"/>
    <w:rsid w:val="00171E29"/>
    <w:rsid w:val="00184029"/>
    <w:rsid w:val="001E746E"/>
    <w:rsid w:val="002621A2"/>
    <w:rsid w:val="002E4449"/>
    <w:rsid w:val="003631B6"/>
    <w:rsid w:val="003D5910"/>
    <w:rsid w:val="003F1F98"/>
    <w:rsid w:val="0043101E"/>
    <w:rsid w:val="00507A94"/>
    <w:rsid w:val="005A0883"/>
    <w:rsid w:val="00676D46"/>
    <w:rsid w:val="00691AFD"/>
    <w:rsid w:val="006F6DCD"/>
    <w:rsid w:val="00753460"/>
    <w:rsid w:val="00777534"/>
    <w:rsid w:val="0078721C"/>
    <w:rsid w:val="007D17BE"/>
    <w:rsid w:val="008035A2"/>
    <w:rsid w:val="00805CFC"/>
    <w:rsid w:val="00852395"/>
    <w:rsid w:val="00857F7A"/>
    <w:rsid w:val="00905B18"/>
    <w:rsid w:val="009706DC"/>
    <w:rsid w:val="00975D0A"/>
    <w:rsid w:val="009A556E"/>
    <w:rsid w:val="00A0167C"/>
    <w:rsid w:val="00B3784F"/>
    <w:rsid w:val="00B5619C"/>
    <w:rsid w:val="00BA08D9"/>
    <w:rsid w:val="00D33047"/>
    <w:rsid w:val="00DE361B"/>
    <w:rsid w:val="00DE4015"/>
    <w:rsid w:val="00E256C8"/>
    <w:rsid w:val="00E47688"/>
    <w:rsid w:val="00E703B1"/>
    <w:rsid w:val="00EE1680"/>
    <w:rsid w:val="00F746F3"/>
    <w:rsid w:val="00FD326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E9F7"/>
  <w15:chartTrackingRefBased/>
  <w15:docId w15:val="{758A7C12-1EA1-4372-B0F3-D4B4179D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2">
    <w:name w:val="Light Shading2"/>
    <w:basedOn w:val="TableNormal"/>
    <w:next w:val="LightShading"/>
    <w:uiPriority w:val="60"/>
    <w:rsid w:val="00777534"/>
    <w:pPr>
      <w:spacing w:after="0" w:line="240" w:lineRule="auto"/>
    </w:pPr>
    <w:rPr>
      <w:rFonts w:eastAsia="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7775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39"/>
    <w:rsid w:val="0097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6635</Words>
  <Characters>37824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Khadijah Syed Mohammed Nazri</dc:creator>
  <cp:keywords/>
  <dc:description/>
  <cp:lastModifiedBy>HCTM 2020</cp:lastModifiedBy>
  <cp:revision>2</cp:revision>
  <dcterms:created xsi:type="dcterms:W3CDTF">2021-04-23T03:28:00Z</dcterms:created>
  <dcterms:modified xsi:type="dcterms:W3CDTF">2021-04-23T03:28:00Z</dcterms:modified>
</cp:coreProperties>
</file>