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Table 1</w:t>
      </w:r>
      <w:r>
        <w:rPr>
          <w:rFonts w:ascii="Times New Roman" w:hAnsi="Times New Roman" w:cs="Times New Roman"/>
          <w:sz w:val="24"/>
          <w:szCs w:val="24"/>
        </w:rPr>
        <w:t xml:space="preserve"> Raw data</w:t>
      </w:r>
    </w:p>
    <w:tbl>
      <w:tblPr>
        <w:tblStyle w:val="3"/>
        <w:tblW w:w="0" w:type="auto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97"/>
        <w:gridCol w:w="616"/>
        <w:gridCol w:w="923"/>
        <w:gridCol w:w="696"/>
        <w:gridCol w:w="1843"/>
        <w:gridCol w:w="2156"/>
        <w:gridCol w:w="1616"/>
        <w:gridCol w:w="2522"/>
        <w:gridCol w:w="1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ID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Race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Pathology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Age of Fistula (Yrs)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Complications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Post-operative flow rate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Outcome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2089.8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Stenosed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0.58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904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 xml:space="preserve">Thrombosed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5752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 xml:space="preserve">Thrombosed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0.25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1408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5.25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2500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9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0.67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4719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1.58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3750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5.75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THROMBOSED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 xml:space="preserve">Thrombosed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6.08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7.58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2659.8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4493.8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3060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1309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Pseudoaneurysm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5.33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1638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1440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3460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Patent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AVF 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val="en-MY" w:bidi="ar"/>
              </w:rPr>
              <w:t>Aneurysm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3.75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Yes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4784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Cambria" w:cs="Times New Roman"/>
                <w:color w:val="000000"/>
                <w:sz w:val="24"/>
                <w:szCs w:val="24"/>
                <w:lang w:bidi="ar"/>
              </w:rPr>
              <w:t>N/A</w:t>
            </w:r>
          </w:p>
        </w:tc>
      </w:tr>
    </w:tbl>
    <w:p>
      <w:pPr>
        <w:spacing w:line="480" w:lineRule="auto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803" w:right="1440" w:bottom="1803" w:left="1440" w:header="720" w:footer="720" w:gutter="0"/>
          <w:cols w:space="0" w:num="1"/>
          <w:docGrid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911D9"/>
    <w:rsid w:val="45D9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2022-04-06T13:25:00Z</dcterms:created>
  <dc:creator>Ong Xin Zen</dc:creator>
  <cp:lastModifiedBy>Ong Xin Zen</cp:lastModifiedBy>
  <dcterms:modified xsi:type="dcterms:W3CDTF">2022-04-06T13:26:44Z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19CDDE437C854F96939EB9DFB398DD9E</vt:lpwstr>
  </property>
</Properties>
</file>