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E97409" w:rsidRDefault="007741DD" w:rsidP="00690802">
      <w:pPr>
        <w:spacing w:after="0" w:line="240" w:lineRule="auto"/>
        <w:jc w:val="center"/>
        <w:rPr>
          <w:rFonts w:ascii="Times New Roman" w:eastAsia="Times New Roman" w:hAnsi="Times New Roman" w:cs="Times New Roman"/>
          <w:b/>
          <w:sz w:val="28"/>
          <w:szCs w:val="28"/>
          <w:highlight w:val="white"/>
        </w:rPr>
      </w:pPr>
      <w:r>
        <w:rPr>
          <w:rFonts w:ascii="Times New Roman" w:eastAsia="Times New Roman" w:hAnsi="Times New Roman" w:cs="Times New Roman"/>
          <w:b/>
          <w:sz w:val="24"/>
          <w:szCs w:val="24"/>
          <w:highlight w:val="white"/>
        </w:rPr>
        <w:t xml:space="preserve"> </w:t>
      </w:r>
      <w:r>
        <w:rPr>
          <w:rFonts w:ascii="Times New Roman" w:eastAsia="Times New Roman" w:hAnsi="Times New Roman" w:cs="Times New Roman"/>
          <w:b/>
          <w:sz w:val="28"/>
          <w:szCs w:val="28"/>
          <w:highlight w:val="white"/>
        </w:rPr>
        <w:t xml:space="preserve">  PLIDING: SUATU KAJIAN PERBANDINGAN DI ANTARA MALAYSIA DAN UNITED KINGDOM</w:t>
      </w:r>
    </w:p>
    <w:p w14:paraId="00000002" w14:textId="77777777" w:rsidR="00E97409" w:rsidRDefault="00E97409" w:rsidP="00690802">
      <w:pPr>
        <w:spacing w:after="0" w:line="240" w:lineRule="auto"/>
        <w:jc w:val="center"/>
        <w:rPr>
          <w:rFonts w:ascii="Times New Roman" w:eastAsia="Times New Roman" w:hAnsi="Times New Roman" w:cs="Times New Roman"/>
          <w:b/>
          <w:sz w:val="28"/>
          <w:szCs w:val="28"/>
          <w:highlight w:val="white"/>
        </w:rPr>
      </w:pPr>
    </w:p>
    <w:p w14:paraId="00000003" w14:textId="77777777" w:rsidR="00E97409" w:rsidRDefault="007741DD" w:rsidP="00690802">
      <w:pPr>
        <w:spacing w:after="0" w:line="240" w:lineRule="auto"/>
        <w:jc w:val="center"/>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PLEADINGS: A COMPARATIVE STUDY BETWEEN MALAYSIA AND THE UNITED KINGDOM</w:t>
      </w:r>
    </w:p>
    <w:p w14:paraId="00000004" w14:textId="77777777" w:rsidR="00E97409" w:rsidRDefault="00E97409">
      <w:pPr>
        <w:spacing w:after="0" w:line="240" w:lineRule="auto"/>
        <w:ind w:left="720"/>
        <w:jc w:val="center"/>
        <w:rPr>
          <w:rFonts w:ascii="Times New Roman" w:eastAsia="Times New Roman" w:hAnsi="Times New Roman" w:cs="Times New Roman"/>
          <w:b/>
          <w:sz w:val="24"/>
          <w:szCs w:val="24"/>
          <w:highlight w:val="white"/>
        </w:rPr>
      </w:pPr>
    </w:p>
    <w:p w14:paraId="0000000D" w14:textId="77777777" w:rsidR="00E97409" w:rsidRDefault="00E97409">
      <w:pPr>
        <w:spacing w:after="0" w:line="240" w:lineRule="auto"/>
        <w:ind w:left="720"/>
        <w:jc w:val="center"/>
        <w:rPr>
          <w:rFonts w:ascii="Times New Roman" w:eastAsia="Times New Roman" w:hAnsi="Times New Roman" w:cs="Times New Roman"/>
          <w:b/>
          <w:sz w:val="24"/>
          <w:szCs w:val="24"/>
          <w:highlight w:val="white"/>
        </w:rPr>
      </w:pPr>
    </w:p>
    <w:p w14:paraId="0000000E" w14:textId="77777777" w:rsidR="00E97409" w:rsidRDefault="007741DD" w:rsidP="00690802">
      <w:pPr>
        <w:spacing w:after="0" w:line="240" w:lineRule="auto"/>
        <w:jc w:val="center"/>
        <w:rPr>
          <w:rFonts w:ascii="Times New Roman" w:eastAsia="Times New Roman" w:hAnsi="Times New Roman" w:cs="Times New Roman"/>
          <w:b/>
          <w:sz w:val="20"/>
          <w:szCs w:val="20"/>
          <w:highlight w:val="white"/>
        </w:rPr>
      </w:pPr>
      <w:r>
        <w:rPr>
          <w:rFonts w:ascii="Times New Roman" w:eastAsia="Times New Roman" w:hAnsi="Times New Roman" w:cs="Times New Roman"/>
          <w:b/>
          <w:sz w:val="20"/>
          <w:szCs w:val="20"/>
          <w:highlight w:val="white"/>
        </w:rPr>
        <w:t>ABSTRAK</w:t>
      </w:r>
    </w:p>
    <w:p w14:paraId="0000000F" w14:textId="77777777" w:rsidR="00E97409" w:rsidRDefault="00E97409" w:rsidP="00690802">
      <w:pPr>
        <w:spacing w:after="0" w:line="240" w:lineRule="auto"/>
        <w:rPr>
          <w:rFonts w:ascii="Times New Roman" w:eastAsia="Times New Roman" w:hAnsi="Times New Roman" w:cs="Times New Roman"/>
          <w:b/>
          <w:sz w:val="20"/>
          <w:szCs w:val="20"/>
          <w:highlight w:val="white"/>
        </w:rPr>
      </w:pPr>
    </w:p>
    <w:p w14:paraId="00000010" w14:textId="77777777" w:rsidR="00E97409" w:rsidRDefault="007741DD" w:rsidP="00690802">
      <w:pPr>
        <w:spacing w:after="0" w:line="240" w:lineRule="auto"/>
        <w:jc w:val="both"/>
        <w:rPr>
          <w:rFonts w:ascii="Times New Roman" w:eastAsia="Times New Roman" w:hAnsi="Times New Roman" w:cs="Times New Roman"/>
          <w:i/>
          <w:sz w:val="20"/>
          <w:szCs w:val="20"/>
          <w:highlight w:val="white"/>
        </w:rPr>
      </w:pPr>
      <w:proofErr w:type="spellStart"/>
      <w:r>
        <w:rPr>
          <w:rFonts w:ascii="Times New Roman" w:eastAsia="Times New Roman" w:hAnsi="Times New Roman" w:cs="Times New Roman"/>
          <w:sz w:val="20"/>
          <w:szCs w:val="20"/>
          <w:highlight w:val="white"/>
        </w:rPr>
        <w:t>Pliding</w:t>
      </w:r>
      <w:proofErr w:type="spellEnd"/>
      <w:r>
        <w:rPr>
          <w:rFonts w:ascii="Times New Roman" w:eastAsia="Times New Roman" w:hAnsi="Times New Roman" w:cs="Times New Roman"/>
          <w:sz w:val="20"/>
          <w:szCs w:val="20"/>
          <w:highlight w:val="white"/>
        </w:rPr>
        <w:t xml:space="preserve"> </w:t>
      </w:r>
      <w:proofErr w:type="spellStart"/>
      <w:r>
        <w:rPr>
          <w:rFonts w:ascii="Times New Roman" w:eastAsia="Times New Roman" w:hAnsi="Times New Roman" w:cs="Times New Roman"/>
          <w:sz w:val="20"/>
          <w:szCs w:val="20"/>
          <w:highlight w:val="white"/>
        </w:rPr>
        <w:t>merupakan</w:t>
      </w:r>
      <w:proofErr w:type="spellEnd"/>
      <w:r>
        <w:rPr>
          <w:rFonts w:ascii="Times New Roman" w:eastAsia="Times New Roman" w:hAnsi="Times New Roman" w:cs="Times New Roman"/>
          <w:sz w:val="20"/>
          <w:szCs w:val="20"/>
          <w:highlight w:val="white"/>
        </w:rPr>
        <w:t xml:space="preserve"> </w:t>
      </w:r>
      <w:proofErr w:type="spellStart"/>
      <w:r>
        <w:rPr>
          <w:rFonts w:ascii="Times New Roman" w:eastAsia="Times New Roman" w:hAnsi="Times New Roman" w:cs="Times New Roman"/>
          <w:sz w:val="20"/>
          <w:szCs w:val="20"/>
          <w:highlight w:val="white"/>
        </w:rPr>
        <w:t>satu</w:t>
      </w:r>
      <w:proofErr w:type="spellEnd"/>
      <w:r>
        <w:rPr>
          <w:rFonts w:ascii="Times New Roman" w:eastAsia="Times New Roman" w:hAnsi="Times New Roman" w:cs="Times New Roman"/>
          <w:sz w:val="20"/>
          <w:szCs w:val="20"/>
          <w:highlight w:val="white"/>
        </w:rPr>
        <w:t xml:space="preserve"> set </w:t>
      </w:r>
      <w:proofErr w:type="spellStart"/>
      <w:r>
        <w:rPr>
          <w:rFonts w:ascii="Times New Roman" w:eastAsia="Times New Roman" w:hAnsi="Times New Roman" w:cs="Times New Roman"/>
          <w:sz w:val="20"/>
          <w:szCs w:val="20"/>
          <w:highlight w:val="white"/>
        </w:rPr>
        <w:t>fakta</w:t>
      </w:r>
      <w:proofErr w:type="spellEnd"/>
      <w:r>
        <w:rPr>
          <w:rFonts w:ascii="Times New Roman" w:eastAsia="Times New Roman" w:hAnsi="Times New Roman" w:cs="Times New Roman"/>
          <w:sz w:val="20"/>
          <w:szCs w:val="20"/>
          <w:highlight w:val="white"/>
        </w:rPr>
        <w:t xml:space="preserve"> yang </w:t>
      </w:r>
      <w:proofErr w:type="spellStart"/>
      <w:r>
        <w:rPr>
          <w:rFonts w:ascii="Times New Roman" w:eastAsia="Times New Roman" w:hAnsi="Times New Roman" w:cs="Times New Roman"/>
          <w:sz w:val="20"/>
          <w:szCs w:val="20"/>
          <w:highlight w:val="white"/>
        </w:rPr>
        <w:t>memperincikan</w:t>
      </w:r>
      <w:proofErr w:type="spellEnd"/>
      <w:r>
        <w:rPr>
          <w:rFonts w:ascii="Times New Roman" w:eastAsia="Times New Roman" w:hAnsi="Times New Roman" w:cs="Times New Roman"/>
          <w:sz w:val="20"/>
          <w:szCs w:val="20"/>
          <w:highlight w:val="white"/>
        </w:rPr>
        <w:t xml:space="preserve"> </w:t>
      </w:r>
      <w:proofErr w:type="spellStart"/>
      <w:r>
        <w:rPr>
          <w:rFonts w:ascii="Times New Roman" w:eastAsia="Times New Roman" w:hAnsi="Times New Roman" w:cs="Times New Roman"/>
          <w:sz w:val="20"/>
          <w:szCs w:val="20"/>
          <w:highlight w:val="white"/>
        </w:rPr>
        <w:t>kausa</w:t>
      </w:r>
      <w:proofErr w:type="spellEnd"/>
      <w:r>
        <w:rPr>
          <w:rFonts w:ascii="Times New Roman" w:eastAsia="Times New Roman" w:hAnsi="Times New Roman" w:cs="Times New Roman"/>
          <w:sz w:val="20"/>
          <w:szCs w:val="20"/>
          <w:highlight w:val="white"/>
        </w:rPr>
        <w:t xml:space="preserve"> </w:t>
      </w:r>
      <w:proofErr w:type="spellStart"/>
      <w:r>
        <w:rPr>
          <w:rFonts w:ascii="Times New Roman" w:eastAsia="Times New Roman" w:hAnsi="Times New Roman" w:cs="Times New Roman"/>
          <w:sz w:val="20"/>
          <w:szCs w:val="20"/>
          <w:highlight w:val="white"/>
        </w:rPr>
        <w:t>tindakan</w:t>
      </w:r>
      <w:proofErr w:type="spellEnd"/>
      <w:r>
        <w:rPr>
          <w:rFonts w:ascii="Times New Roman" w:eastAsia="Times New Roman" w:hAnsi="Times New Roman" w:cs="Times New Roman"/>
          <w:sz w:val="20"/>
          <w:szCs w:val="20"/>
          <w:highlight w:val="white"/>
        </w:rPr>
        <w:t xml:space="preserve"> </w:t>
      </w:r>
      <w:proofErr w:type="spellStart"/>
      <w:r>
        <w:rPr>
          <w:rFonts w:ascii="Times New Roman" w:eastAsia="Times New Roman" w:hAnsi="Times New Roman" w:cs="Times New Roman"/>
          <w:sz w:val="20"/>
          <w:szCs w:val="20"/>
          <w:highlight w:val="white"/>
        </w:rPr>
        <w:t>plaintif</w:t>
      </w:r>
      <w:proofErr w:type="spellEnd"/>
      <w:r>
        <w:rPr>
          <w:rFonts w:ascii="Times New Roman" w:eastAsia="Times New Roman" w:hAnsi="Times New Roman" w:cs="Times New Roman"/>
          <w:sz w:val="20"/>
          <w:szCs w:val="20"/>
          <w:highlight w:val="white"/>
        </w:rPr>
        <w:t xml:space="preserve"> </w:t>
      </w:r>
      <w:proofErr w:type="spellStart"/>
      <w:r>
        <w:rPr>
          <w:rFonts w:ascii="Times New Roman" w:eastAsia="Times New Roman" w:hAnsi="Times New Roman" w:cs="Times New Roman"/>
          <w:sz w:val="20"/>
          <w:szCs w:val="20"/>
          <w:highlight w:val="white"/>
        </w:rPr>
        <w:t>atau</w:t>
      </w:r>
      <w:proofErr w:type="spellEnd"/>
      <w:r>
        <w:rPr>
          <w:rFonts w:ascii="Times New Roman" w:eastAsia="Times New Roman" w:hAnsi="Times New Roman" w:cs="Times New Roman"/>
          <w:sz w:val="20"/>
          <w:szCs w:val="20"/>
          <w:highlight w:val="white"/>
        </w:rPr>
        <w:t xml:space="preserve"> </w:t>
      </w:r>
      <w:proofErr w:type="spellStart"/>
      <w:r>
        <w:rPr>
          <w:rFonts w:ascii="Times New Roman" w:eastAsia="Times New Roman" w:hAnsi="Times New Roman" w:cs="Times New Roman"/>
          <w:sz w:val="20"/>
          <w:szCs w:val="20"/>
          <w:highlight w:val="white"/>
        </w:rPr>
        <w:t>pembelaan</w:t>
      </w:r>
      <w:proofErr w:type="spellEnd"/>
      <w:r>
        <w:rPr>
          <w:rFonts w:ascii="Times New Roman" w:eastAsia="Times New Roman" w:hAnsi="Times New Roman" w:cs="Times New Roman"/>
          <w:sz w:val="20"/>
          <w:szCs w:val="20"/>
          <w:highlight w:val="white"/>
        </w:rPr>
        <w:t xml:space="preserve"> </w:t>
      </w:r>
      <w:proofErr w:type="spellStart"/>
      <w:r>
        <w:rPr>
          <w:rFonts w:ascii="Times New Roman" w:eastAsia="Times New Roman" w:hAnsi="Times New Roman" w:cs="Times New Roman"/>
          <w:sz w:val="20"/>
          <w:szCs w:val="20"/>
          <w:highlight w:val="white"/>
        </w:rPr>
        <w:t>defendan</w:t>
      </w:r>
      <w:proofErr w:type="spellEnd"/>
      <w:r>
        <w:rPr>
          <w:rFonts w:ascii="Times New Roman" w:eastAsia="Times New Roman" w:hAnsi="Times New Roman" w:cs="Times New Roman"/>
          <w:sz w:val="20"/>
          <w:szCs w:val="20"/>
          <w:highlight w:val="white"/>
        </w:rPr>
        <w:t xml:space="preserve">. </w:t>
      </w:r>
      <w:proofErr w:type="spellStart"/>
      <w:r>
        <w:rPr>
          <w:rFonts w:ascii="Times New Roman" w:eastAsia="Times New Roman" w:hAnsi="Times New Roman" w:cs="Times New Roman"/>
          <w:sz w:val="20"/>
          <w:szCs w:val="20"/>
          <w:highlight w:val="white"/>
        </w:rPr>
        <w:t>Pliding</w:t>
      </w:r>
      <w:proofErr w:type="spellEnd"/>
      <w:r>
        <w:rPr>
          <w:rFonts w:ascii="Times New Roman" w:eastAsia="Times New Roman" w:hAnsi="Times New Roman" w:cs="Times New Roman"/>
          <w:sz w:val="20"/>
          <w:szCs w:val="20"/>
          <w:highlight w:val="white"/>
        </w:rPr>
        <w:t xml:space="preserve"> </w:t>
      </w:r>
      <w:proofErr w:type="spellStart"/>
      <w:r>
        <w:rPr>
          <w:rFonts w:ascii="Times New Roman" w:eastAsia="Times New Roman" w:hAnsi="Times New Roman" w:cs="Times New Roman"/>
          <w:sz w:val="20"/>
          <w:szCs w:val="20"/>
          <w:highlight w:val="white"/>
        </w:rPr>
        <w:t>memainkan</w:t>
      </w:r>
      <w:proofErr w:type="spellEnd"/>
      <w:r>
        <w:rPr>
          <w:rFonts w:ascii="Times New Roman" w:eastAsia="Times New Roman" w:hAnsi="Times New Roman" w:cs="Times New Roman"/>
          <w:sz w:val="20"/>
          <w:szCs w:val="20"/>
          <w:highlight w:val="white"/>
        </w:rPr>
        <w:t xml:space="preserve"> </w:t>
      </w:r>
      <w:proofErr w:type="spellStart"/>
      <w:r>
        <w:rPr>
          <w:rFonts w:ascii="Times New Roman" w:eastAsia="Times New Roman" w:hAnsi="Times New Roman" w:cs="Times New Roman"/>
          <w:sz w:val="20"/>
          <w:szCs w:val="20"/>
          <w:highlight w:val="white"/>
        </w:rPr>
        <w:t>peranan</w:t>
      </w:r>
      <w:proofErr w:type="spellEnd"/>
      <w:r>
        <w:rPr>
          <w:rFonts w:ascii="Times New Roman" w:eastAsia="Times New Roman" w:hAnsi="Times New Roman" w:cs="Times New Roman"/>
          <w:sz w:val="20"/>
          <w:szCs w:val="20"/>
          <w:highlight w:val="white"/>
        </w:rPr>
        <w:t xml:space="preserve"> yang </w:t>
      </w:r>
      <w:proofErr w:type="spellStart"/>
      <w:r>
        <w:rPr>
          <w:rFonts w:ascii="Times New Roman" w:eastAsia="Times New Roman" w:hAnsi="Times New Roman" w:cs="Times New Roman"/>
          <w:sz w:val="20"/>
          <w:szCs w:val="20"/>
          <w:highlight w:val="white"/>
        </w:rPr>
        <w:t>amat</w:t>
      </w:r>
      <w:proofErr w:type="spellEnd"/>
      <w:r>
        <w:rPr>
          <w:rFonts w:ascii="Times New Roman" w:eastAsia="Times New Roman" w:hAnsi="Times New Roman" w:cs="Times New Roman"/>
          <w:sz w:val="20"/>
          <w:szCs w:val="20"/>
          <w:highlight w:val="white"/>
        </w:rPr>
        <w:t xml:space="preserve"> </w:t>
      </w:r>
      <w:proofErr w:type="spellStart"/>
      <w:r>
        <w:rPr>
          <w:rFonts w:ascii="Times New Roman" w:eastAsia="Times New Roman" w:hAnsi="Times New Roman" w:cs="Times New Roman"/>
          <w:sz w:val="20"/>
          <w:szCs w:val="20"/>
          <w:highlight w:val="white"/>
        </w:rPr>
        <w:t>besar</w:t>
      </w:r>
      <w:proofErr w:type="spellEnd"/>
      <w:r>
        <w:rPr>
          <w:rFonts w:ascii="Times New Roman" w:eastAsia="Times New Roman" w:hAnsi="Times New Roman" w:cs="Times New Roman"/>
          <w:sz w:val="20"/>
          <w:szCs w:val="20"/>
          <w:highlight w:val="white"/>
        </w:rPr>
        <w:t xml:space="preserve"> </w:t>
      </w:r>
      <w:proofErr w:type="spellStart"/>
      <w:r>
        <w:rPr>
          <w:rFonts w:ascii="Times New Roman" w:eastAsia="Times New Roman" w:hAnsi="Times New Roman" w:cs="Times New Roman"/>
          <w:sz w:val="20"/>
          <w:szCs w:val="20"/>
          <w:highlight w:val="white"/>
        </w:rPr>
        <w:t>dalam</w:t>
      </w:r>
      <w:proofErr w:type="spellEnd"/>
      <w:r>
        <w:rPr>
          <w:rFonts w:ascii="Times New Roman" w:eastAsia="Times New Roman" w:hAnsi="Times New Roman" w:cs="Times New Roman"/>
          <w:sz w:val="20"/>
          <w:szCs w:val="20"/>
          <w:highlight w:val="white"/>
        </w:rPr>
        <w:t xml:space="preserve"> </w:t>
      </w:r>
      <w:proofErr w:type="spellStart"/>
      <w:r>
        <w:rPr>
          <w:rFonts w:ascii="Times New Roman" w:eastAsia="Times New Roman" w:hAnsi="Times New Roman" w:cs="Times New Roman"/>
          <w:sz w:val="20"/>
          <w:szCs w:val="20"/>
          <w:highlight w:val="white"/>
        </w:rPr>
        <w:t>mengenal</w:t>
      </w:r>
      <w:proofErr w:type="spellEnd"/>
      <w:r>
        <w:rPr>
          <w:rFonts w:ascii="Times New Roman" w:eastAsia="Times New Roman" w:hAnsi="Times New Roman" w:cs="Times New Roman"/>
          <w:sz w:val="20"/>
          <w:szCs w:val="20"/>
          <w:highlight w:val="white"/>
        </w:rPr>
        <w:t xml:space="preserve"> </w:t>
      </w:r>
      <w:proofErr w:type="spellStart"/>
      <w:r>
        <w:rPr>
          <w:rFonts w:ascii="Times New Roman" w:eastAsia="Times New Roman" w:hAnsi="Times New Roman" w:cs="Times New Roman"/>
          <w:sz w:val="20"/>
          <w:szCs w:val="20"/>
          <w:highlight w:val="white"/>
        </w:rPr>
        <w:t>pasti</w:t>
      </w:r>
      <w:proofErr w:type="spellEnd"/>
      <w:r>
        <w:rPr>
          <w:rFonts w:ascii="Times New Roman" w:eastAsia="Times New Roman" w:hAnsi="Times New Roman" w:cs="Times New Roman"/>
          <w:sz w:val="20"/>
          <w:szCs w:val="20"/>
          <w:highlight w:val="white"/>
        </w:rPr>
        <w:t xml:space="preserve"> </w:t>
      </w:r>
      <w:proofErr w:type="spellStart"/>
      <w:r>
        <w:rPr>
          <w:rFonts w:ascii="Times New Roman" w:eastAsia="Times New Roman" w:hAnsi="Times New Roman" w:cs="Times New Roman"/>
          <w:sz w:val="20"/>
          <w:szCs w:val="20"/>
          <w:highlight w:val="white"/>
        </w:rPr>
        <w:t>isu</w:t>
      </w:r>
      <w:proofErr w:type="spellEnd"/>
      <w:r>
        <w:rPr>
          <w:rFonts w:ascii="Times New Roman" w:eastAsia="Times New Roman" w:hAnsi="Times New Roman" w:cs="Times New Roman"/>
          <w:sz w:val="20"/>
          <w:szCs w:val="20"/>
          <w:highlight w:val="white"/>
        </w:rPr>
        <w:t xml:space="preserve"> </w:t>
      </w:r>
      <w:proofErr w:type="spellStart"/>
      <w:r>
        <w:rPr>
          <w:rFonts w:ascii="Times New Roman" w:eastAsia="Times New Roman" w:hAnsi="Times New Roman" w:cs="Times New Roman"/>
          <w:sz w:val="20"/>
          <w:szCs w:val="20"/>
          <w:highlight w:val="white"/>
        </w:rPr>
        <w:t>atau</w:t>
      </w:r>
      <w:proofErr w:type="spellEnd"/>
      <w:r>
        <w:rPr>
          <w:rFonts w:ascii="Times New Roman" w:eastAsia="Times New Roman" w:hAnsi="Times New Roman" w:cs="Times New Roman"/>
          <w:sz w:val="20"/>
          <w:szCs w:val="20"/>
          <w:highlight w:val="white"/>
        </w:rPr>
        <w:t xml:space="preserve"> </w:t>
      </w:r>
      <w:proofErr w:type="spellStart"/>
      <w:r>
        <w:rPr>
          <w:rFonts w:ascii="Times New Roman" w:eastAsia="Times New Roman" w:hAnsi="Times New Roman" w:cs="Times New Roman"/>
          <w:sz w:val="20"/>
          <w:szCs w:val="20"/>
          <w:highlight w:val="white"/>
        </w:rPr>
        <w:t>perkara</w:t>
      </w:r>
      <w:proofErr w:type="spellEnd"/>
      <w:r>
        <w:rPr>
          <w:rFonts w:ascii="Times New Roman" w:eastAsia="Times New Roman" w:hAnsi="Times New Roman" w:cs="Times New Roman"/>
          <w:sz w:val="20"/>
          <w:szCs w:val="20"/>
          <w:highlight w:val="white"/>
        </w:rPr>
        <w:t xml:space="preserve"> </w:t>
      </w:r>
      <w:proofErr w:type="spellStart"/>
      <w:r>
        <w:rPr>
          <w:rFonts w:ascii="Times New Roman" w:eastAsia="Times New Roman" w:hAnsi="Times New Roman" w:cs="Times New Roman"/>
          <w:sz w:val="20"/>
          <w:szCs w:val="20"/>
          <w:highlight w:val="white"/>
        </w:rPr>
        <w:t>dalam</w:t>
      </w:r>
      <w:proofErr w:type="spellEnd"/>
      <w:r>
        <w:rPr>
          <w:rFonts w:ascii="Times New Roman" w:eastAsia="Times New Roman" w:hAnsi="Times New Roman" w:cs="Times New Roman"/>
          <w:sz w:val="20"/>
          <w:szCs w:val="20"/>
          <w:highlight w:val="white"/>
        </w:rPr>
        <w:t xml:space="preserve"> </w:t>
      </w:r>
      <w:proofErr w:type="spellStart"/>
      <w:r>
        <w:rPr>
          <w:rFonts w:ascii="Times New Roman" w:eastAsia="Times New Roman" w:hAnsi="Times New Roman" w:cs="Times New Roman"/>
          <w:sz w:val="20"/>
          <w:szCs w:val="20"/>
          <w:highlight w:val="white"/>
        </w:rPr>
        <w:t>sesebuah</w:t>
      </w:r>
      <w:proofErr w:type="spellEnd"/>
      <w:r>
        <w:rPr>
          <w:rFonts w:ascii="Times New Roman" w:eastAsia="Times New Roman" w:hAnsi="Times New Roman" w:cs="Times New Roman"/>
          <w:sz w:val="20"/>
          <w:szCs w:val="20"/>
          <w:highlight w:val="white"/>
        </w:rPr>
        <w:t xml:space="preserve"> </w:t>
      </w:r>
      <w:proofErr w:type="spellStart"/>
      <w:r>
        <w:rPr>
          <w:rFonts w:ascii="Times New Roman" w:eastAsia="Times New Roman" w:hAnsi="Times New Roman" w:cs="Times New Roman"/>
          <w:sz w:val="20"/>
          <w:szCs w:val="20"/>
          <w:highlight w:val="white"/>
        </w:rPr>
        <w:t>kes</w:t>
      </w:r>
      <w:proofErr w:type="spellEnd"/>
      <w:r>
        <w:rPr>
          <w:rFonts w:ascii="Times New Roman" w:eastAsia="Times New Roman" w:hAnsi="Times New Roman" w:cs="Times New Roman"/>
          <w:sz w:val="20"/>
          <w:szCs w:val="20"/>
          <w:highlight w:val="white"/>
        </w:rPr>
        <w:t xml:space="preserve">. </w:t>
      </w:r>
      <w:proofErr w:type="spellStart"/>
      <w:r>
        <w:rPr>
          <w:rFonts w:ascii="Times New Roman" w:eastAsia="Times New Roman" w:hAnsi="Times New Roman" w:cs="Times New Roman"/>
          <w:sz w:val="20"/>
          <w:szCs w:val="20"/>
          <w:highlight w:val="white"/>
        </w:rPr>
        <w:t>Pliding</w:t>
      </w:r>
      <w:proofErr w:type="spellEnd"/>
      <w:r>
        <w:rPr>
          <w:rFonts w:ascii="Times New Roman" w:eastAsia="Times New Roman" w:hAnsi="Times New Roman" w:cs="Times New Roman"/>
          <w:sz w:val="20"/>
          <w:szCs w:val="20"/>
          <w:highlight w:val="white"/>
        </w:rPr>
        <w:t xml:space="preserve"> juga </w:t>
      </w:r>
      <w:proofErr w:type="spellStart"/>
      <w:r>
        <w:rPr>
          <w:rFonts w:ascii="Times New Roman" w:eastAsia="Times New Roman" w:hAnsi="Times New Roman" w:cs="Times New Roman"/>
          <w:sz w:val="20"/>
          <w:szCs w:val="20"/>
          <w:highlight w:val="white"/>
        </w:rPr>
        <w:t>penting</w:t>
      </w:r>
      <w:proofErr w:type="spellEnd"/>
      <w:r>
        <w:rPr>
          <w:rFonts w:ascii="Times New Roman" w:eastAsia="Times New Roman" w:hAnsi="Times New Roman" w:cs="Times New Roman"/>
          <w:sz w:val="20"/>
          <w:szCs w:val="20"/>
          <w:highlight w:val="white"/>
        </w:rPr>
        <w:t xml:space="preserve"> </w:t>
      </w:r>
      <w:proofErr w:type="spellStart"/>
      <w:r>
        <w:rPr>
          <w:rFonts w:ascii="Times New Roman" w:eastAsia="Times New Roman" w:hAnsi="Times New Roman" w:cs="Times New Roman"/>
          <w:sz w:val="20"/>
          <w:szCs w:val="20"/>
          <w:highlight w:val="white"/>
        </w:rPr>
        <w:t>dalam</w:t>
      </w:r>
      <w:proofErr w:type="spellEnd"/>
      <w:r>
        <w:rPr>
          <w:rFonts w:ascii="Times New Roman" w:eastAsia="Times New Roman" w:hAnsi="Times New Roman" w:cs="Times New Roman"/>
          <w:sz w:val="20"/>
          <w:szCs w:val="20"/>
          <w:highlight w:val="white"/>
        </w:rPr>
        <w:t xml:space="preserve"> </w:t>
      </w:r>
      <w:proofErr w:type="spellStart"/>
      <w:r>
        <w:rPr>
          <w:rFonts w:ascii="Times New Roman" w:eastAsia="Times New Roman" w:hAnsi="Times New Roman" w:cs="Times New Roman"/>
          <w:sz w:val="20"/>
          <w:szCs w:val="20"/>
          <w:highlight w:val="white"/>
        </w:rPr>
        <w:t>memaklumkan</w:t>
      </w:r>
      <w:proofErr w:type="spellEnd"/>
      <w:r>
        <w:rPr>
          <w:rFonts w:ascii="Times New Roman" w:eastAsia="Times New Roman" w:hAnsi="Times New Roman" w:cs="Times New Roman"/>
          <w:sz w:val="20"/>
          <w:szCs w:val="20"/>
          <w:highlight w:val="white"/>
        </w:rPr>
        <w:t xml:space="preserve"> </w:t>
      </w:r>
      <w:proofErr w:type="spellStart"/>
      <w:r>
        <w:rPr>
          <w:rFonts w:ascii="Times New Roman" w:eastAsia="Times New Roman" w:hAnsi="Times New Roman" w:cs="Times New Roman"/>
          <w:sz w:val="20"/>
          <w:szCs w:val="20"/>
          <w:highlight w:val="white"/>
        </w:rPr>
        <w:t>kepada</w:t>
      </w:r>
      <w:proofErr w:type="spellEnd"/>
      <w:r>
        <w:rPr>
          <w:rFonts w:ascii="Times New Roman" w:eastAsia="Times New Roman" w:hAnsi="Times New Roman" w:cs="Times New Roman"/>
          <w:sz w:val="20"/>
          <w:szCs w:val="20"/>
          <w:highlight w:val="white"/>
        </w:rPr>
        <w:t xml:space="preserve"> </w:t>
      </w:r>
      <w:proofErr w:type="spellStart"/>
      <w:r>
        <w:rPr>
          <w:rFonts w:ascii="Times New Roman" w:eastAsia="Times New Roman" w:hAnsi="Times New Roman" w:cs="Times New Roman"/>
          <w:sz w:val="20"/>
          <w:szCs w:val="20"/>
          <w:highlight w:val="white"/>
        </w:rPr>
        <w:t>pihak-pihak</w:t>
      </w:r>
      <w:proofErr w:type="spellEnd"/>
      <w:r>
        <w:rPr>
          <w:rFonts w:ascii="Times New Roman" w:eastAsia="Times New Roman" w:hAnsi="Times New Roman" w:cs="Times New Roman"/>
          <w:sz w:val="20"/>
          <w:szCs w:val="20"/>
          <w:highlight w:val="white"/>
        </w:rPr>
        <w:t xml:space="preserve"> </w:t>
      </w:r>
      <w:proofErr w:type="spellStart"/>
      <w:r>
        <w:rPr>
          <w:rFonts w:ascii="Times New Roman" w:eastAsia="Times New Roman" w:hAnsi="Times New Roman" w:cs="Times New Roman"/>
          <w:sz w:val="20"/>
          <w:szCs w:val="20"/>
          <w:highlight w:val="white"/>
        </w:rPr>
        <w:t>mengenai</w:t>
      </w:r>
      <w:proofErr w:type="spellEnd"/>
      <w:r>
        <w:rPr>
          <w:rFonts w:ascii="Times New Roman" w:eastAsia="Times New Roman" w:hAnsi="Times New Roman" w:cs="Times New Roman"/>
          <w:sz w:val="20"/>
          <w:szCs w:val="20"/>
          <w:highlight w:val="white"/>
        </w:rPr>
        <w:t xml:space="preserve"> </w:t>
      </w:r>
      <w:proofErr w:type="spellStart"/>
      <w:r>
        <w:rPr>
          <w:rFonts w:ascii="Times New Roman" w:eastAsia="Times New Roman" w:hAnsi="Times New Roman" w:cs="Times New Roman"/>
          <w:sz w:val="20"/>
          <w:szCs w:val="20"/>
          <w:highlight w:val="white"/>
        </w:rPr>
        <w:t>kes</w:t>
      </w:r>
      <w:proofErr w:type="spellEnd"/>
      <w:r>
        <w:rPr>
          <w:rFonts w:ascii="Times New Roman" w:eastAsia="Times New Roman" w:hAnsi="Times New Roman" w:cs="Times New Roman"/>
          <w:sz w:val="20"/>
          <w:szCs w:val="20"/>
          <w:highlight w:val="white"/>
        </w:rPr>
        <w:t xml:space="preserve"> yang </w:t>
      </w:r>
      <w:proofErr w:type="spellStart"/>
      <w:r>
        <w:rPr>
          <w:rFonts w:ascii="Times New Roman" w:eastAsia="Times New Roman" w:hAnsi="Times New Roman" w:cs="Times New Roman"/>
          <w:sz w:val="20"/>
          <w:szCs w:val="20"/>
          <w:highlight w:val="white"/>
        </w:rPr>
        <w:t>perlu</w:t>
      </w:r>
      <w:proofErr w:type="spellEnd"/>
      <w:r>
        <w:rPr>
          <w:rFonts w:ascii="Times New Roman" w:eastAsia="Times New Roman" w:hAnsi="Times New Roman" w:cs="Times New Roman"/>
          <w:sz w:val="20"/>
          <w:szCs w:val="20"/>
          <w:highlight w:val="white"/>
        </w:rPr>
        <w:t xml:space="preserve"> </w:t>
      </w:r>
      <w:proofErr w:type="spellStart"/>
      <w:r>
        <w:rPr>
          <w:rFonts w:ascii="Times New Roman" w:eastAsia="Times New Roman" w:hAnsi="Times New Roman" w:cs="Times New Roman"/>
          <w:sz w:val="20"/>
          <w:szCs w:val="20"/>
          <w:highlight w:val="white"/>
        </w:rPr>
        <w:t>mereka</w:t>
      </w:r>
      <w:proofErr w:type="spellEnd"/>
      <w:r>
        <w:rPr>
          <w:rFonts w:ascii="Times New Roman" w:eastAsia="Times New Roman" w:hAnsi="Times New Roman" w:cs="Times New Roman"/>
          <w:sz w:val="20"/>
          <w:szCs w:val="20"/>
          <w:highlight w:val="white"/>
        </w:rPr>
        <w:t xml:space="preserve"> </w:t>
      </w:r>
      <w:proofErr w:type="spellStart"/>
      <w:r>
        <w:rPr>
          <w:rFonts w:ascii="Times New Roman" w:eastAsia="Times New Roman" w:hAnsi="Times New Roman" w:cs="Times New Roman"/>
          <w:sz w:val="20"/>
          <w:szCs w:val="20"/>
          <w:highlight w:val="white"/>
        </w:rPr>
        <w:t>hadapi</w:t>
      </w:r>
      <w:proofErr w:type="spellEnd"/>
      <w:r>
        <w:rPr>
          <w:rFonts w:ascii="Times New Roman" w:eastAsia="Times New Roman" w:hAnsi="Times New Roman" w:cs="Times New Roman"/>
          <w:sz w:val="20"/>
          <w:szCs w:val="20"/>
          <w:highlight w:val="white"/>
        </w:rPr>
        <w:t xml:space="preserve"> dan </w:t>
      </w:r>
      <w:proofErr w:type="spellStart"/>
      <w:r>
        <w:rPr>
          <w:rFonts w:ascii="Times New Roman" w:eastAsia="Times New Roman" w:hAnsi="Times New Roman" w:cs="Times New Roman"/>
          <w:sz w:val="20"/>
          <w:szCs w:val="20"/>
          <w:highlight w:val="white"/>
        </w:rPr>
        <w:t>seterusnya</w:t>
      </w:r>
      <w:proofErr w:type="spellEnd"/>
      <w:r>
        <w:rPr>
          <w:rFonts w:ascii="Times New Roman" w:eastAsia="Times New Roman" w:hAnsi="Times New Roman" w:cs="Times New Roman"/>
          <w:sz w:val="20"/>
          <w:szCs w:val="20"/>
          <w:highlight w:val="white"/>
        </w:rPr>
        <w:t xml:space="preserve"> </w:t>
      </w:r>
      <w:proofErr w:type="spellStart"/>
      <w:r>
        <w:rPr>
          <w:rFonts w:ascii="Times New Roman" w:eastAsia="Times New Roman" w:hAnsi="Times New Roman" w:cs="Times New Roman"/>
          <w:sz w:val="20"/>
          <w:szCs w:val="20"/>
          <w:highlight w:val="white"/>
        </w:rPr>
        <w:t>menyediakan</w:t>
      </w:r>
      <w:proofErr w:type="spellEnd"/>
      <w:r>
        <w:rPr>
          <w:rFonts w:ascii="Times New Roman" w:eastAsia="Times New Roman" w:hAnsi="Times New Roman" w:cs="Times New Roman"/>
          <w:sz w:val="20"/>
          <w:szCs w:val="20"/>
          <w:highlight w:val="white"/>
        </w:rPr>
        <w:t xml:space="preserve"> </w:t>
      </w:r>
      <w:proofErr w:type="spellStart"/>
      <w:r>
        <w:rPr>
          <w:rFonts w:ascii="Times New Roman" w:eastAsia="Times New Roman" w:hAnsi="Times New Roman" w:cs="Times New Roman"/>
          <w:sz w:val="20"/>
          <w:szCs w:val="20"/>
          <w:highlight w:val="white"/>
        </w:rPr>
        <w:t>mereka</w:t>
      </w:r>
      <w:proofErr w:type="spellEnd"/>
      <w:r>
        <w:rPr>
          <w:rFonts w:ascii="Times New Roman" w:eastAsia="Times New Roman" w:hAnsi="Times New Roman" w:cs="Times New Roman"/>
          <w:sz w:val="20"/>
          <w:szCs w:val="20"/>
          <w:highlight w:val="white"/>
        </w:rPr>
        <w:t xml:space="preserve"> </w:t>
      </w:r>
      <w:proofErr w:type="spellStart"/>
      <w:r>
        <w:rPr>
          <w:rFonts w:ascii="Times New Roman" w:eastAsia="Times New Roman" w:hAnsi="Times New Roman" w:cs="Times New Roman"/>
          <w:sz w:val="20"/>
          <w:szCs w:val="20"/>
          <w:highlight w:val="white"/>
        </w:rPr>
        <w:t>untuk</w:t>
      </w:r>
      <w:proofErr w:type="spellEnd"/>
      <w:r>
        <w:rPr>
          <w:rFonts w:ascii="Times New Roman" w:eastAsia="Times New Roman" w:hAnsi="Times New Roman" w:cs="Times New Roman"/>
          <w:sz w:val="20"/>
          <w:szCs w:val="20"/>
          <w:highlight w:val="white"/>
        </w:rPr>
        <w:t xml:space="preserve"> </w:t>
      </w:r>
      <w:proofErr w:type="spellStart"/>
      <w:r>
        <w:rPr>
          <w:rFonts w:ascii="Times New Roman" w:eastAsia="Times New Roman" w:hAnsi="Times New Roman" w:cs="Times New Roman"/>
          <w:sz w:val="20"/>
          <w:szCs w:val="20"/>
          <w:highlight w:val="white"/>
        </w:rPr>
        <w:t>mengambil</w:t>
      </w:r>
      <w:proofErr w:type="spellEnd"/>
      <w:r>
        <w:rPr>
          <w:rFonts w:ascii="Times New Roman" w:eastAsia="Times New Roman" w:hAnsi="Times New Roman" w:cs="Times New Roman"/>
          <w:sz w:val="20"/>
          <w:szCs w:val="20"/>
          <w:highlight w:val="white"/>
        </w:rPr>
        <w:t xml:space="preserve"> </w:t>
      </w:r>
      <w:proofErr w:type="spellStart"/>
      <w:r>
        <w:rPr>
          <w:rFonts w:ascii="Times New Roman" w:eastAsia="Times New Roman" w:hAnsi="Times New Roman" w:cs="Times New Roman"/>
          <w:sz w:val="20"/>
          <w:szCs w:val="20"/>
          <w:highlight w:val="white"/>
        </w:rPr>
        <w:t>langkah</w:t>
      </w:r>
      <w:proofErr w:type="spellEnd"/>
      <w:r>
        <w:rPr>
          <w:rFonts w:ascii="Times New Roman" w:eastAsia="Times New Roman" w:hAnsi="Times New Roman" w:cs="Times New Roman"/>
          <w:sz w:val="20"/>
          <w:szCs w:val="20"/>
          <w:highlight w:val="white"/>
        </w:rPr>
        <w:t xml:space="preserve"> </w:t>
      </w:r>
      <w:proofErr w:type="spellStart"/>
      <w:r>
        <w:rPr>
          <w:rFonts w:ascii="Times New Roman" w:eastAsia="Times New Roman" w:hAnsi="Times New Roman" w:cs="Times New Roman"/>
          <w:sz w:val="20"/>
          <w:szCs w:val="20"/>
          <w:highlight w:val="white"/>
        </w:rPr>
        <w:t>untuk</w:t>
      </w:r>
      <w:proofErr w:type="spellEnd"/>
      <w:r>
        <w:rPr>
          <w:rFonts w:ascii="Times New Roman" w:eastAsia="Times New Roman" w:hAnsi="Times New Roman" w:cs="Times New Roman"/>
          <w:sz w:val="20"/>
          <w:szCs w:val="20"/>
          <w:highlight w:val="white"/>
        </w:rPr>
        <w:t xml:space="preserve"> </w:t>
      </w:r>
      <w:proofErr w:type="spellStart"/>
      <w:r>
        <w:rPr>
          <w:rFonts w:ascii="Times New Roman" w:eastAsia="Times New Roman" w:hAnsi="Times New Roman" w:cs="Times New Roman"/>
          <w:sz w:val="20"/>
          <w:szCs w:val="20"/>
          <w:highlight w:val="white"/>
        </w:rPr>
        <w:t>mengendalikan</w:t>
      </w:r>
      <w:proofErr w:type="spellEnd"/>
      <w:r>
        <w:rPr>
          <w:rFonts w:ascii="Times New Roman" w:eastAsia="Times New Roman" w:hAnsi="Times New Roman" w:cs="Times New Roman"/>
          <w:sz w:val="20"/>
          <w:szCs w:val="20"/>
          <w:highlight w:val="white"/>
        </w:rPr>
        <w:t xml:space="preserve"> </w:t>
      </w:r>
      <w:proofErr w:type="spellStart"/>
      <w:r>
        <w:rPr>
          <w:rFonts w:ascii="Times New Roman" w:eastAsia="Times New Roman" w:hAnsi="Times New Roman" w:cs="Times New Roman"/>
          <w:sz w:val="20"/>
          <w:szCs w:val="20"/>
          <w:highlight w:val="white"/>
        </w:rPr>
        <w:t>suatu</w:t>
      </w:r>
      <w:proofErr w:type="spellEnd"/>
      <w:r>
        <w:rPr>
          <w:rFonts w:ascii="Times New Roman" w:eastAsia="Times New Roman" w:hAnsi="Times New Roman" w:cs="Times New Roman"/>
          <w:sz w:val="20"/>
          <w:szCs w:val="20"/>
          <w:highlight w:val="white"/>
        </w:rPr>
        <w:t xml:space="preserve"> </w:t>
      </w:r>
      <w:proofErr w:type="spellStart"/>
      <w:r>
        <w:rPr>
          <w:rFonts w:ascii="Times New Roman" w:eastAsia="Times New Roman" w:hAnsi="Times New Roman" w:cs="Times New Roman"/>
          <w:sz w:val="20"/>
          <w:szCs w:val="20"/>
          <w:highlight w:val="white"/>
        </w:rPr>
        <w:t>kes</w:t>
      </w:r>
      <w:proofErr w:type="spellEnd"/>
      <w:r>
        <w:rPr>
          <w:rFonts w:ascii="Times New Roman" w:eastAsia="Times New Roman" w:hAnsi="Times New Roman" w:cs="Times New Roman"/>
          <w:sz w:val="20"/>
          <w:szCs w:val="20"/>
          <w:highlight w:val="white"/>
        </w:rPr>
        <w:t xml:space="preserve">. </w:t>
      </w:r>
      <w:proofErr w:type="spellStart"/>
      <w:r>
        <w:rPr>
          <w:rFonts w:ascii="Times New Roman" w:eastAsia="Times New Roman" w:hAnsi="Times New Roman" w:cs="Times New Roman"/>
          <w:sz w:val="20"/>
          <w:szCs w:val="20"/>
          <w:highlight w:val="white"/>
        </w:rPr>
        <w:t>Perbandingan</w:t>
      </w:r>
      <w:proofErr w:type="spellEnd"/>
      <w:r>
        <w:rPr>
          <w:rFonts w:ascii="Times New Roman" w:eastAsia="Times New Roman" w:hAnsi="Times New Roman" w:cs="Times New Roman"/>
          <w:sz w:val="20"/>
          <w:szCs w:val="20"/>
          <w:highlight w:val="white"/>
        </w:rPr>
        <w:t xml:space="preserve"> </w:t>
      </w:r>
      <w:proofErr w:type="spellStart"/>
      <w:r>
        <w:rPr>
          <w:rFonts w:ascii="Times New Roman" w:eastAsia="Times New Roman" w:hAnsi="Times New Roman" w:cs="Times New Roman"/>
          <w:sz w:val="20"/>
          <w:szCs w:val="20"/>
          <w:highlight w:val="white"/>
        </w:rPr>
        <w:t>antara</w:t>
      </w:r>
      <w:proofErr w:type="spellEnd"/>
      <w:r>
        <w:rPr>
          <w:rFonts w:ascii="Times New Roman" w:eastAsia="Times New Roman" w:hAnsi="Times New Roman" w:cs="Times New Roman"/>
          <w:sz w:val="20"/>
          <w:szCs w:val="20"/>
          <w:highlight w:val="white"/>
        </w:rPr>
        <w:t xml:space="preserve"> Malaysia dan United Kingdom </w:t>
      </w:r>
      <w:proofErr w:type="spellStart"/>
      <w:r>
        <w:rPr>
          <w:rFonts w:ascii="Times New Roman" w:eastAsia="Times New Roman" w:hAnsi="Times New Roman" w:cs="Times New Roman"/>
          <w:sz w:val="20"/>
          <w:szCs w:val="20"/>
          <w:highlight w:val="white"/>
        </w:rPr>
        <w:t>dilakukan</w:t>
      </w:r>
      <w:proofErr w:type="spellEnd"/>
      <w:r>
        <w:rPr>
          <w:rFonts w:ascii="Times New Roman" w:eastAsia="Times New Roman" w:hAnsi="Times New Roman" w:cs="Times New Roman"/>
          <w:sz w:val="20"/>
          <w:szCs w:val="20"/>
          <w:highlight w:val="white"/>
        </w:rPr>
        <w:t xml:space="preserve"> kerana Malaysia </w:t>
      </w:r>
      <w:proofErr w:type="spellStart"/>
      <w:r>
        <w:rPr>
          <w:rFonts w:ascii="Times New Roman" w:eastAsia="Times New Roman" w:hAnsi="Times New Roman" w:cs="Times New Roman"/>
          <w:sz w:val="20"/>
          <w:szCs w:val="20"/>
          <w:highlight w:val="white"/>
        </w:rPr>
        <w:t>banyak</w:t>
      </w:r>
      <w:proofErr w:type="spellEnd"/>
      <w:r>
        <w:rPr>
          <w:rFonts w:ascii="Times New Roman" w:eastAsia="Times New Roman" w:hAnsi="Times New Roman" w:cs="Times New Roman"/>
          <w:sz w:val="20"/>
          <w:szCs w:val="20"/>
          <w:highlight w:val="white"/>
        </w:rPr>
        <w:t xml:space="preserve"> </w:t>
      </w:r>
      <w:proofErr w:type="spellStart"/>
      <w:r>
        <w:rPr>
          <w:rFonts w:ascii="Times New Roman" w:eastAsia="Times New Roman" w:hAnsi="Times New Roman" w:cs="Times New Roman"/>
          <w:sz w:val="20"/>
          <w:szCs w:val="20"/>
          <w:highlight w:val="white"/>
        </w:rPr>
        <w:t>merujuk</w:t>
      </w:r>
      <w:proofErr w:type="spellEnd"/>
      <w:r>
        <w:rPr>
          <w:rFonts w:ascii="Times New Roman" w:eastAsia="Times New Roman" w:hAnsi="Times New Roman" w:cs="Times New Roman"/>
          <w:sz w:val="20"/>
          <w:szCs w:val="20"/>
          <w:highlight w:val="white"/>
        </w:rPr>
        <w:t xml:space="preserve"> </w:t>
      </w:r>
      <w:proofErr w:type="spellStart"/>
      <w:r>
        <w:rPr>
          <w:rFonts w:ascii="Times New Roman" w:eastAsia="Times New Roman" w:hAnsi="Times New Roman" w:cs="Times New Roman"/>
          <w:sz w:val="20"/>
          <w:szCs w:val="20"/>
          <w:highlight w:val="white"/>
        </w:rPr>
        <w:t>kepada</w:t>
      </w:r>
      <w:proofErr w:type="spellEnd"/>
      <w:r>
        <w:rPr>
          <w:rFonts w:ascii="Times New Roman" w:eastAsia="Times New Roman" w:hAnsi="Times New Roman" w:cs="Times New Roman"/>
          <w:sz w:val="20"/>
          <w:szCs w:val="20"/>
          <w:highlight w:val="white"/>
        </w:rPr>
        <w:t xml:space="preserve"> </w:t>
      </w:r>
      <w:proofErr w:type="spellStart"/>
      <w:r>
        <w:rPr>
          <w:rFonts w:ascii="Times New Roman" w:eastAsia="Times New Roman" w:hAnsi="Times New Roman" w:cs="Times New Roman"/>
          <w:sz w:val="20"/>
          <w:szCs w:val="20"/>
          <w:highlight w:val="white"/>
        </w:rPr>
        <w:t>kes-kes</w:t>
      </w:r>
      <w:proofErr w:type="spellEnd"/>
      <w:r>
        <w:rPr>
          <w:rFonts w:ascii="Times New Roman" w:eastAsia="Times New Roman" w:hAnsi="Times New Roman" w:cs="Times New Roman"/>
          <w:sz w:val="20"/>
          <w:szCs w:val="20"/>
          <w:highlight w:val="white"/>
        </w:rPr>
        <w:t xml:space="preserve"> United Kingdom yang </w:t>
      </w:r>
      <w:proofErr w:type="spellStart"/>
      <w:r>
        <w:rPr>
          <w:rFonts w:ascii="Times New Roman" w:eastAsia="Times New Roman" w:hAnsi="Times New Roman" w:cs="Times New Roman"/>
          <w:sz w:val="20"/>
          <w:szCs w:val="20"/>
          <w:highlight w:val="white"/>
        </w:rPr>
        <w:t>melibatkan</w:t>
      </w:r>
      <w:proofErr w:type="spellEnd"/>
      <w:r>
        <w:rPr>
          <w:rFonts w:ascii="Times New Roman" w:eastAsia="Times New Roman" w:hAnsi="Times New Roman" w:cs="Times New Roman"/>
          <w:sz w:val="20"/>
          <w:szCs w:val="20"/>
          <w:highlight w:val="white"/>
        </w:rPr>
        <w:t xml:space="preserve"> </w:t>
      </w:r>
      <w:proofErr w:type="spellStart"/>
      <w:r>
        <w:rPr>
          <w:rFonts w:ascii="Times New Roman" w:eastAsia="Times New Roman" w:hAnsi="Times New Roman" w:cs="Times New Roman"/>
          <w:sz w:val="20"/>
          <w:szCs w:val="20"/>
          <w:highlight w:val="white"/>
        </w:rPr>
        <w:t>tatacara</w:t>
      </w:r>
      <w:proofErr w:type="spellEnd"/>
      <w:r>
        <w:rPr>
          <w:rFonts w:ascii="Times New Roman" w:eastAsia="Times New Roman" w:hAnsi="Times New Roman" w:cs="Times New Roman"/>
          <w:sz w:val="20"/>
          <w:szCs w:val="20"/>
          <w:highlight w:val="white"/>
        </w:rPr>
        <w:t xml:space="preserve"> </w:t>
      </w:r>
      <w:proofErr w:type="spellStart"/>
      <w:r>
        <w:rPr>
          <w:rFonts w:ascii="Times New Roman" w:eastAsia="Times New Roman" w:hAnsi="Times New Roman" w:cs="Times New Roman"/>
          <w:sz w:val="20"/>
          <w:szCs w:val="20"/>
          <w:highlight w:val="white"/>
        </w:rPr>
        <w:t>sivil</w:t>
      </w:r>
      <w:proofErr w:type="spellEnd"/>
      <w:r>
        <w:rPr>
          <w:rFonts w:ascii="Times New Roman" w:eastAsia="Times New Roman" w:hAnsi="Times New Roman" w:cs="Times New Roman"/>
          <w:sz w:val="20"/>
          <w:szCs w:val="20"/>
          <w:highlight w:val="white"/>
        </w:rPr>
        <w:t xml:space="preserve">. </w:t>
      </w:r>
      <w:proofErr w:type="spellStart"/>
      <w:r>
        <w:rPr>
          <w:rFonts w:ascii="Times New Roman" w:eastAsia="Times New Roman" w:hAnsi="Times New Roman" w:cs="Times New Roman"/>
          <w:sz w:val="20"/>
          <w:szCs w:val="20"/>
          <w:highlight w:val="white"/>
        </w:rPr>
        <w:t>Objektif</w:t>
      </w:r>
      <w:proofErr w:type="spellEnd"/>
      <w:r>
        <w:rPr>
          <w:rFonts w:ascii="Times New Roman" w:eastAsia="Times New Roman" w:hAnsi="Times New Roman" w:cs="Times New Roman"/>
          <w:sz w:val="20"/>
          <w:szCs w:val="20"/>
          <w:highlight w:val="white"/>
        </w:rPr>
        <w:t xml:space="preserve"> </w:t>
      </w:r>
      <w:proofErr w:type="spellStart"/>
      <w:r>
        <w:rPr>
          <w:rFonts w:ascii="Times New Roman" w:eastAsia="Times New Roman" w:hAnsi="Times New Roman" w:cs="Times New Roman"/>
          <w:sz w:val="20"/>
          <w:szCs w:val="20"/>
          <w:highlight w:val="white"/>
        </w:rPr>
        <w:t>artikel</w:t>
      </w:r>
      <w:proofErr w:type="spellEnd"/>
      <w:r>
        <w:rPr>
          <w:rFonts w:ascii="Times New Roman" w:eastAsia="Times New Roman" w:hAnsi="Times New Roman" w:cs="Times New Roman"/>
          <w:sz w:val="20"/>
          <w:szCs w:val="20"/>
          <w:highlight w:val="white"/>
        </w:rPr>
        <w:t xml:space="preserve"> </w:t>
      </w:r>
      <w:proofErr w:type="spellStart"/>
      <w:r>
        <w:rPr>
          <w:rFonts w:ascii="Times New Roman" w:eastAsia="Times New Roman" w:hAnsi="Times New Roman" w:cs="Times New Roman"/>
          <w:sz w:val="20"/>
          <w:szCs w:val="20"/>
          <w:highlight w:val="white"/>
        </w:rPr>
        <w:t>ini</w:t>
      </w:r>
      <w:proofErr w:type="spellEnd"/>
      <w:r>
        <w:rPr>
          <w:rFonts w:ascii="Times New Roman" w:eastAsia="Times New Roman" w:hAnsi="Times New Roman" w:cs="Times New Roman"/>
          <w:sz w:val="20"/>
          <w:szCs w:val="20"/>
          <w:highlight w:val="white"/>
        </w:rPr>
        <w:t xml:space="preserve"> </w:t>
      </w:r>
      <w:proofErr w:type="spellStart"/>
      <w:r>
        <w:rPr>
          <w:rFonts w:ascii="Times New Roman" w:eastAsia="Times New Roman" w:hAnsi="Times New Roman" w:cs="Times New Roman"/>
          <w:sz w:val="20"/>
          <w:szCs w:val="20"/>
          <w:highlight w:val="white"/>
        </w:rPr>
        <w:t>adalah</w:t>
      </w:r>
      <w:proofErr w:type="spellEnd"/>
      <w:r>
        <w:rPr>
          <w:rFonts w:ascii="Times New Roman" w:eastAsia="Times New Roman" w:hAnsi="Times New Roman" w:cs="Times New Roman"/>
          <w:sz w:val="20"/>
          <w:szCs w:val="20"/>
          <w:highlight w:val="white"/>
        </w:rPr>
        <w:t xml:space="preserve"> </w:t>
      </w:r>
      <w:proofErr w:type="spellStart"/>
      <w:r>
        <w:rPr>
          <w:rFonts w:ascii="Times New Roman" w:eastAsia="Times New Roman" w:hAnsi="Times New Roman" w:cs="Times New Roman"/>
          <w:sz w:val="20"/>
          <w:szCs w:val="20"/>
          <w:highlight w:val="white"/>
        </w:rPr>
        <w:t>untuk</w:t>
      </w:r>
      <w:proofErr w:type="spellEnd"/>
      <w:r>
        <w:rPr>
          <w:rFonts w:ascii="Times New Roman" w:eastAsia="Times New Roman" w:hAnsi="Times New Roman" w:cs="Times New Roman"/>
          <w:sz w:val="20"/>
          <w:szCs w:val="20"/>
          <w:highlight w:val="white"/>
        </w:rPr>
        <w:t xml:space="preserve"> </w:t>
      </w:r>
      <w:proofErr w:type="spellStart"/>
      <w:r>
        <w:rPr>
          <w:rFonts w:ascii="Times New Roman" w:eastAsia="Times New Roman" w:hAnsi="Times New Roman" w:cs="Times New Roman"/>
          <w:sz w:val="20"/>
          <w:szCs w:val="20"/>
          <w:highlight w:val="white"/>
        </w:rPr>
        <w:t>membincangkan</w:t>
      </w:r>
      <w:proofErr w:type="spellEnd"/>
      <w:r>
        <w:rPr>
          <w:rFonts w:ascii="Times New Roman" w:eastAsia="Times New Roman" w:hAnsi="Times New Roman" w:cs="Times New Roman"/>
          <w:sz w:val="20"/>
          <w:szCs w:val="20"/>
          <w:highlight w:val="white"/>
        </w:rPr>
        <w:t xml:space="preserve"> </w:t>
      </w:r>
      <w:proofErr w:type="spellStart"/>
      <w:r>
        <w:rPr>
          <w:rFonts w:ascii="Times New Roman" w:eastAsia="Times New Roman" w:hAnsi="Times New Roman" w:cs="Times New Roman"/>
          <w:sz w:val="20"/>
          <w:szCs w:val="20"/>
          <w:highlight w:val="white"/>
        </w:rPr>
        <w:t>isu-isu</w:t>
      </w:r>
      <w:proofErr w:type="spellEnd"/>
      <w:r>
        <w:rPr>
          <w:rFonts w:ascii="Times New Roman" w:eastAsia="Times New Roman" w:hAnsi="Times New Roman" w:cs="Times New Roman"/>
          <w:sz w:val="20"/>
          <w:szCs w:val="20"/>
          <w:highlight w:val="white"/>
        </w:rPr>
        <w:t xml:space="preserve"> yang </w:t>
      </w:r>
      <w:proofErr w:type="spellStart"/>
      <w:r>
        <w:rPr>
          <w:rFonts w:ascii="Times New Roman" w:eastAsia="Times New Roman" w:hAnsi="Times New Roman" w:cs="Times New Roman"/>
          <w:sz w:val="20"/>
          <w:szCs w:val="20"/>
          <w:highlight w:val="white"/>
        </w:rPr>
        <w:t>telah</w:t>
      </w:r>
      <w:proofErr w:type="spellEnd"/>
      <w:r>
        <w:rPr>
          <w:rFonts w:ascii="Times New Roman" w:eastAsia="Times New Roman" w:hAnsi="Times New Roman" w:cs="Times New Roman"/>
          <w:sz w:val="20"/>
          <w:szCs w:val="20"/>
          <w:highlight w:val="white"/>
        </w:rPr>
        <w:t xml:space="preserve"> </w:t>
      </w:r>
      <w:proofErr w:type="spellStart"/>
      <w:r>
        <w:rPr>
          <w:rFonts w:ascii="Times New Roman" w:eastAsia="Times New Roman" w:hAnsi="Times New Roman" w:cs="Times New Roman"/>
          <w:sz w:val="20"/>
          <w:szCs w:val="20"/>
          <w:highlight w:val="white"/>
        </w:rPr>
        <w:t>timbul</w:t>
      </w:r>
      <w:proofErr w:type="spellEnd"/>
      <w:r>
        <w:rPr>
          <w:rFonts w:ascii="Times New Roman" w:eastAsia="Times New Roman" w:hAnsi="Times New Roman" w:cs="Times New Roman"/>
          <w:sz w:val="20"/>
          <w:szCs w:val="20"/>
          <w:highlight w:val="white"/>
        </w:rPr>
        <w:t xml:space="preserve"> </w:t>
      </w:r>
      <w:proofErr w:type="spellStart"/>
      <w:r>
        <w:rPr>
          <w:rFonts w:ascii="Times New Roman" w:eastAsia="Times New Roman" w:hAnsi="Times New Roman" w:cs="Times New Roman"/>
          <w:sz w:val="20"/>
          <w:szCs w:val="20"/>
          <w:highlight w:val="white"/>
        </w:rPr>
        <w:t>berkenaan</w:t>
      </w:r>
      <w:proofErr w:type="spellEnd"/>
      <w:r>
        <w:rPr>
          <w:rFonts w:ascii="Times New Roman" w:eastAsia="Times New Roman" w:hAnsi="Times New Roman" w:cs="Times New Roman"/>
          <w:sz w:val="20"/>
          <w:szCs w:val="20"/>
          <w:highlight w:val="white"/>
        </w:rPr>
        <w:t xml:space="preserve"> </w:t>
      </w:r>
      <w:proofErr w:type="spellStart"/>
      <w:r>
        <w:rPr>
          <w:rFonts w:ascii="Times New Roman" w:eastAsia="Times New Roman" w:hAnsi="Times New Roman" w:cs="Times New Roman"/>
          <w:sz w:val="20"/>
          <w:szCs w:val="20"/>
          <w:highlight w:val="white"/>
        </w:rPr>
        <w:t>dengan</w:t>
      </w:r>
      <w:proofErr w:type="spellEnd"/>
      <w:r>
        <w:rPr>
          <w:rFonts w:ascii="Times New Roman" w:eastAsia="Times New Roman" w:hAnsi="Times New Roman" w:cs="Times New Roman"/>
          <w:sz w:val="20"/>
          <w:szCs w:val="20"/>
          <w:highlight w:val="white"/>
        </w:rPr>
        <w:t xml:space="preserve"> </w:t>
      </w:r>
      <w:proofErr w:type="spellStart"/>
      <w:r>
        <w:rPr>
          <w:rFonts w:ascii="Times New Roman" w:eastAsia="Times New Roman" w:hAnsi="Times New Roman" w:cs="Times New Roman"/>
          <w:sz w:val="20"/>
          <w:szCs w:val="20"/>
          <w:highlight w:val="white"/>
        </w:rPr>
        <w:t>pliding</w:t>
      </w:r>
      <w:proofErr w:type="spellEnd"/>
      <w:r>
        <w:rPr>
          <w:rFonts w:ascii="Times New Roman" w:eastAsia="Times New Roman" w:hAnsi="Times New Roman" w:cs="Times New Roman"/>
          <w:sz w:val="20"/>
          <w:szCs w:val="20"/>
          <w:highlight w:val="white"/>
        </w:rPr>
        <w:t xml:space="preserve"> dan </w:t>
      </w:r>
      <w:proofErr w:type="spellStart"/>
      <w:r>
        <w:rPr>
          <w:rFonts w:ascii="Times New Roman" w:eastAsia="Times New Roman" w:hAnsi="Times New Roman" w:cs="Times New Roman"/>
          <w:sz w:val="20"/>
          <w:szCs w:val="20"/>
          <w:highlight w:val="white"/>
        </w:rPr>
        <w:t>memberi</w:t>
      </w:r>
      <w:proofErr w:type="spellEnd"/>
      <w:r>
        <w:rPr>
          <w:rFonts w:ascii="Times New Roman" w:eastAsia="Times New Roman" w:hAnsi="Times New Roman" w:cs="Times New Roman"/>
          <w:sz w:val="20"/>
          <w:szCs w:val="20"/>
          <w:highlight w:val="white"/>
        </w:rPr>
        <w:t xml:space="preserve"> </w:t>
      </w:r>
      <w:proofErr w:type="spellStart"/>
      <w:r>
        <w:rPr>
          <w:rFonts w:ascii="Times New Roman" w:eastAsia="Times New Roman" w:hAnsi="Times New Roman" w:cs="Times New Roman"/>
          <w:sz w:val="20"/>
          <w:szCs w:val="20"/>
          <w:highlight w:val="white"/>
        </w:rPr>
        <w:t>pencerahan</w:t>
      </w:r>
      <w:proofErr w:type="spellEnd"/>
      <w:r>
        <w:rPr>
          <w:rFonts w:ascii="Times New Roman" w:eastAsia="Times New Roman" w:hAnsi="Times New Roman" w:cs="Times New Roman"/>
          <w:sz w:val="20"/>
          <w:szCs w:val="20"/>
          <w:highlight w:val="white"/>
        </w:rPr>
        <w:t xml:space="preserve"> </w:t>
      </w:r>
      <w:proofErr w:type="spellStart"/>
      <w:r>
        <w:rPr>
          <w:rFonts w:ascii="Times New Roman" w:eastAsia="Times New Roman" w:hAnsi="Times New Roman" w:cs="Times New Roman"/>
          <w:sz w:val="20"/>
          <w:szCs w:val="20"/>
          <w:highlight w:val="white"/>
        </w:rPr>
        <w:t>mengenai</w:t>
      </w:r>
      <w:proofErr w:type="spellEnd"/>
      <w:r>
        <w:rPr>
          <w:rFonts w:ascii="Times New Roman" w:eastAsia="Times New Roman" w:hAnsi="Times New Roman" w:cs="Times New Roman"/>
          <w:sz w:val="20"/>
          <w:szCs w:val="20"/>
          <w:highlight w:val="white"/>
        </w:rPr>
        <w:t xml:space="preserve"> </w:t>
      </w:r>
      <w:proofErr w:type="spellStart"/>
      <w:r>
        <w:rPr>
          <w:rFonts w:ascii="Times New Roman" w:eastAsia="Times New Roman" w:hAnsi="Times New Roman" w:cs="Times New Roman"/>
          <w:sz w:val="20"/>
          <w:szCs w:val="20"/>
          <w:highlight w:val="white"/>
        </w:rPr>
        <w:t>perbezaan</w:t>
      </w:r>
      <w:proofErr w:type="spellEnd"/>
      <w:r>
        <w:rPr>
          <w:rFonts w:ascii="Times New Roman" w:eastAsia="Times New Roman" w:hAnsi="Times New Roman" w:cs="Times New Roman"/>
          <w:sz w:val="20"/>
          <w:szCs w:val="20"/>
          <w:highlight w:val="white"/>
        </w:rPr>
        <w:t xml:space="preserve"> </w:t>
      </w:r>
      <w:proofErr w:type="spellStart"/>
      <w:r>
        <w:rPr>
          <w:rFonts w:ascii="Times New Roman" w:eastAsia="Times New Roman" w:hAnsi="Times New Roman" w:cs="Times New Roman"/>
          <w:sz w:val="20"/>
          <w:szCs w:val="20"/>
          <w:highlight w:val="white"/>
        </w:rPr>
        <w:t>antara</w:t>
      </w:r>
      <w:proofErr w:type="spellEnd"/>
      <w:r>
        <w:rPr>
          <w:rFonts w:ascii="Times New Roman" w:eastAsia="Times New Roman" w:hAnsi="Times New Roman" w:cs="Times New Roman"/>
          <w:sz w:val="20"/>
          <w:szCs w:val="20"/>
          <w:highlight w:val="white"/>
        </w:rPr>
        <w:t xml:space="preserve"> </w:t>
      </w:r>
      <w:proofErr w:type="spellStart"/>
      <w:r>
        <w:rPr>
          <w:rFonts w:ascii="Times New Roman" w:eastAsia="Times New Roman" w:hAnsi="Times New Roman" w:cs="Times New Roman"/>
          <w:sz w:val="20"/>
          <w:szCs w:val="20"/>
          <w:highlight w:val="white"/>
        </w:rPr>
        <w:t>undang-undang</w:t>
      </w:r>
      <w:proofErr w:type="spellEnd"/>
      <w:r>
        <w:rPr>
          <w:rFonts w:ascii="Times New Roman" w:eastAsia="Times New Roman" w:hAnsi="Times New Roman" w:cs="Times New Roman"/>
          <w:sz w:val="20"/>
          <w:szCs w:val="20"/>
          <w:highlight w:val="white"/>
        </w:rPr>
        <w:t xml:space="preserve"> </w:t>
      </w:r>
      <w:proofErr w:type="spellStart"/>
      <w:r>
        <w:rPr>
          <w:rFonts w:ascii="Times New Roman" w:eastAsia="Times New Roman" w:hAnsi="Times New Roman" w:cs="Times New Roman"/>
          <w:sz w:val="20"/>
          <w:szCs w:val="20"/>
          <w:highlight w:val="white"/>
        </w:rPr>
        <w:t>pliding</w:t>
      </w:r>
      <w:proofErr w:type="spellEnd"/>
      <w:r>
        <w:rPr>
          <w:rFonts w:ascii="Times New Roman" w:eastAsia="Times New Roman" w:hAnsi="Times New Roman" w:cs="Times New Roman"/>
          <w:sz w:val="20"/>
          <w:szCs w:val="20"/>
          <w:highlight w:val="white"/>
        </w:rPr>
        <w:t xml:space="preserve"> di Malaysia dan United Kingdom. </w:t>
      </w:r>
      <w:proofErr w:type="spellStart"/>
      <w:r>
        <w:rPr>
          <w:rFonts w:ascii="Times New Roman" w:eastAsia="Times New Roman" w:hAnsi="Times New Roman" w:cs="Times New Roman"/>
          <w:sz w:val="20"/>
          <w:szCs w:val="20"/>
          <w:highlight w:val="white"/>
        </w:rPr>
        <w:t>Penyelidikan</w:t>
      </w:r>
      <w:proofErr w:type="spellEnd"/>
      <w:r>
        <w:rPr>
          <w:rFonts w:ascii="Times New Roman" w:eastAsia="Times New Roman" w:hAnsi="Times New Roman" w:cs="Times New Roman"/>
          <w:sz w:val="20"/>
          <w:szCs w:val="20"/>
          <w:highlight w:val="white"/>
        </w:rPr>
        <w:t xml:space="preserve"> </w:t>
      </w:r>
      <w:proofErr w:type="spellStart"/>
      <w:r>
        <w:rPr>
          <w:rFonts w:ascii="Times New Roman" w:eastAsia="Times New Roman" w:hAnsi="Times New Roman" w:cs="Times New Roman"/>
          <w:sz w:val="20"/>
          <w:szCs w:val="20"/>
          <w:highlight w:val="white"/>
        </w:rPr>
        <w:t>artikel</w:t>
      </w:r>
      <w:proofErr w:type="spellEnd"/>
      <w:r>
        <w:rPr>
          <w:rFonts w:ascii="Times New Roman" w:eastAsia="Times New Roman" w:hAnsi="Times New Roman" w:cs="Times New Roman"/>
          <w:sz w:val="20"/>
          <w:szCs w:val="20"/>
          <w:highlight w:val="white"/>
        </w:rPr>
        <w:t xml:space="preserve"> </w:t>
      </w:r>
      <w:proofErr w:type="spellStart"/>
      <w:r>
        <w:rPr>
          <w:rFonts w:ascii="Times New Roman" w:eastAsia="Times New Roman" w:hAnsi="Times New Roman" w:cs="Times New Roman"/>
          <w:sz w:val="20"/>
          <w:szCs w:val="20"/>
          <w:highlight w:val="white"/>
        </w:rPr>
        <w:t>ini</w:t>
      </w:r>
      <w:proofErr w:type="spellEnd"/>
      <w:r>
        <w:rPr>
          <w:rFonts w:ascii="Times New Roman" w:eastAsia="Times New Roman" w:hAnsi="Times New Roman" w:cs="Times New Roman"/>
          <w:sz w:val="20"/>
          <w:szCs w:val="20"/>
          <w:highlight w:val="white"/>
        </w:rPr>
        <w:t xml:space="preserve"> </w:t>
      </w:r>
      <w:proofErr w:type="spellStart"/>
      <w:r>
        <w:rPr>
          <w:rFonts w:ascii="Times New Roman" w:eastAsia="Times New Roman" w:hAnsi="Times New Roman" w:cs="Times New Roman"/>
          <w:sz w:val="20"/>
          <w:szCs w:val="20"/>
          <w:highlight w:val="white"/>
        </w:rPr>
        <w:t>dijalankan</w:t>
      </w:r>
      <w:proofErr w:type="spellEnd"/>
      <w:r>
        <w:rPr>
          <w:rFonts w:ascii="Times New Roman" w:eastAsia="Times New Roman" w:hAnsi="Times New Roman" w:cs="Times New Roman"/>
          <w:sz w:val="20"/>
          <w:szCs w:val="20"/>
          <w:highlight w:val="white"/>
        </w:rPr>
        <w:t xml:space="preserve"> </w:t>
      </w:r>
      <w:proofErr w:type="spellStart"/>
      <w:r>
        <w:rPr>
          <w:rFonts w:ascii="Times New Roman" w:eastAsia="Times New Roman" w:hAnsi="Times New Roman" w:cs="Times New Roman"/>
          <w:sz w:val="20"/>
          <w:szCs w:val="20"/>
          <w:highlight w:val="white"/>
        </w:rPr>
        <w:t>melalui</w:t>
      </w:r>
      <w:proofErr w:type="spellEnd"/>
      <w:r>
        <w:rPr>
          <w:rFonts w:ascii="Times New Roman" w:eastAsia="Times New Roman" w:hAnsi="Times New Roman" w:cs="Times New Roman"/>
          <w:sz w:val="20"/>
          <w:szCs w:val="20"/>
          <w:highlight w:val="white"/>
        </w:rPr>
        <w:t xml:space="preserve"> </w:t>
      </w:r>
      <w:proofErr w:type="spellStart"/>
      <w:r>
        <w:rPr>
          <w:rFonts w:ascii="Times New Roman" w:eastAsia="Times New Roman" w:hAnsi="Times New Roman" w:cs="Times New Roman"/>
          <w:sz w:val="20"/>
          <w:szCs w:val="20"/>
          <w:highlight w:val="white"/>
        </w:rPr>
        <w:t>kaedah</w:t>
      </w:r>
      <w:proofErr w:type="spellEnd"/>
      <w:r>
        <w:rPr>
          <w:rFonts w:ascii="Times New Roman" w:eastAsia="Times New Roman" w:hAnsi="Times New Roman" w:cs="Times New Roman"/>
          <w:sz w:val="20"/>
          <w:szCs w:val="20"/>
          <w:highlight w:val="white"/>
        </w:rPr>
        <w:t xml:space="preserve"> </w:t>
      </w:r>
      <w:proofErr w:type="spellStart"/>
      <w:r>
        <w:rPr>
          <w:rFonts w:ascii="Times New Roman" w:eastAsia="Times New Roman" w:hAnsi="Times New Roman" w:cs="Times New Roman"/>
          <w:sz w:val="20"/>
          <w:szCs w:val="20"/>
          <w:highlight w:val="white"/>
        </w:rPr>
        <w:t>doktrinal</w:t>
      </w:r>
      <w:proofErr w:type="spellEnd"/>
      <w:r>
        <w:rPr>
          <w:rFonts w:ascii="Times New Roman" w:eastAsia="Times New Roman" w:hAnsi="Times New Roman" w:cs="Times New Roman"/>
          <w:sz w:val="20"/>
          <w:szCs w:val="20"/>
          <w:highlight w:val="white"/>
        </w:rPr>
        <w:t xml:space="preserve"> di mana </w:t>
      </w:r>
      <w:proofErr w:type="spellStart"/>
      <w:r>
        <w:rPr>
          <w:rFonts w:ascii="Times New Roman" w:eastAsia="Times New Roman" w:hAnsi="Times New Roman" w:cs="Times New Roman"/>
          <w:sz w:val="20"/>
          <w:szCs w:val="20"/>
          <w:highlight w:val="white"/>
        </w:rPr>
        <w:t>sumber</w:t>
      </w:r>
      <w:proofErr w:type="spellEnd"/>
      <w:r>
        <w:rPr>
          <w:rFonts w:ascii="Times New Roman" w:eastAsia="Times New Roman" w:hAnsi="Times New Roman" w:cs="Times New Roman"/>
          <w:sz w:val="20"/>
          <w:szCs w:val="20"/>
          <w:highlight w:val="white"/>
        </w:rPr>
        <w:t xml:space="preserve"> </w:t>
      </w:r>
      <w:proofErr w:type="spellStart"/>
      <w:r>
        <w:rPr>
          <w:rFonts w:ascii="Times New Roman" w:eastAsia="Times New Roman" w:hAnsi="Times New Roman" w:cs="Times New Roman"/>
          <w:sz w:val="20"/>
          <w:szCs w:val="20"/>
          <w:highlight w:val="white"/>
        </w:rPr>
        <w:t>undang-undang</w:t>
      </w:r>
      <w:proofErr w:type="spellEnd"/>
      <w:r>
        <w:rPr>
          <w:rFonts w:ascii="Times New Roman" w:eastAsia="Times New Roman" w:hAnsi="Times New Roman" w:cs="Times New Roman"/>
          <w:sz w:val="20"/>
          <w:szCs w:val="20"/>
          <w:highlight w:val="white"/>
        </w:rPr>
        <w:t xml:space="preserve"> negara yang </w:t>
      </w:r>
      <w:proofErr w:type="spellStart"/>
      <w:r>
        <w:rPr>
          <w:rFonts w:ascii="Times New Roman" w:eastAsia="Times New Roman" w:hAnsi="Times New Roman" w:cs="Times New Roman"/>
          <w:sz w:val="20"/>
          <w:szCs w:val="20"/>
          <w:highlight w:val="white"/>
        </w:rPr>
        <w:t>berbeza</w:t>
      </w:r>
      <w:proofErr w:type="spellEnd"/>
      <w:r>
        <w:rPr>
          <w:rFonts w:ascii="Times New Roman" w:eastAsia="Times New Roman" w:hAnsi="Times New Roman" w:cs="Times New Roman"/>
          <w:sz w:val="20"/>
          <w:szCs w:val="20"/>
          <w:highlight w:val="white"/>
        </w:rPr>
        <w:t xml:space="preserve"> </w:t>
      </w:r>
      <w:proofErr w:type="spellStart"/>
      <w:r>
        <w:rPr>
          <w:rFonts w:ascii="Times New Roman" w:eastAsia="Times New Roman" w:hAnsi="Times New Roman" w:cs="Times New Roman"/>
          <w:sz w:val="20"/>
          <w:szCs w:val="20"/>
          <w:highlight w:val="white"/>
        </w:rPr>
        <w:t>telah</w:t>
      </w:r>
      <w:proofErr w:type="spellEnd"/>
      <w:r>
        <w:rPr>
          <w:rFonts w:ascii="Times New Roman" w:eastAsia="Times New Roman" w:hAnsi="Times New Roman" w:cs="Times New Roman"/>
          <w:sz w:val="20"/>
          <w:szCs w:val="20"/>
          <w:highlight w:val="white"/>
        </w:rPr>
        <w:t xml:space="preserve"> </w:t>
      </w:r>
      <w:proofErr w:type="spellStart"/>
      <w:r>
        <w:rPr>
          <w:rFonts w:ascii="Times New Roman" w:eastAsia="Times New Roman" w:hAnsi="Times New Roman" w:cs="Times New Roman"/>
          <w:sz w:val="20"/>
          <w:szCs w:val="20"/>
          <w:highlight w:val="white"/>
        </w:rPr>
        <w:t>dikaji</w:t>
      </w:r>
      <w:proofErr w:type="spellEnd"/>
      <w:r>
        <w:rPr>
          <w:rFonts w:ascii="Times New Roman" w:eastAsia="Times New Roman" w:hAnsi="Times New Roman" w:cs="Times New Roman"/>
          <w:sz w:val="20"/>
          <w:szCs w:val="20"/>
          <w:highlight w:val="white"/>
        </w:rPr>
        <w:t xml:space="preserve"> </w:t>
      </w:r>
      <w:proofErr w:type="spellStart"/>
      <w:r>
        <w:rPr>
          <w:rFonts w:ascii="Times New Roman" w:eastAsia="Times New Roman" w:hAnsi="Times New Roman" w:cs="Times New Roman"/>
          <w:sz w:val="20"/>
          <w:szCs w:val="20"/>
          <w:highlight w:val="white"/>
        </w:rPr>
        <w:t>untuk</w:t>
      </w:r>
      <w:proofErr w:type="spellEnd"/>
      <w:r>
        <w:rPr>
          <w:rFonts w:ascii="Times New Roman" w:eastAsia="Times New Roman" w:hAnsi="Times New Roman" w:cs="Times New Roman"/>
          <w:sz w:val="20"/>
          <w:szCs w:val="20"/>
          <w:highlight w:val="white"/>
        </w:rPr>
        <w:t xml:space="preserve"> </w:t>
      </w:r>
      <w:proofErr w:type="spellStart"/>
      <w:r>
        <w:rPr>
          <w:rFonts w:ascii="Times New Roman" w:eastAsia="Times New Roman" w:hAnsi="Times New Roman" w:cs="Times New Roman"/>
          <w:sz w:val="20"/>
          <w:szCs w:val="20"/>
          <w:highlight w:val="white"/>
        </w:rPr>
        <w:t>mencapai</w:t>
      </w:r>
      <w:proofErr w:type="spellEnd"/>
      <w:r>
        <w:rPr>
          <w:rFonts w:ascii="Times New Roman" w:eastAsia="Times New Roman" w:hAnsi="Times New Roman" w:cs="Times New Roman"/>
          <w:sz w:val="20"/>
          <w:szCs w:val="20"/>
          <w:highlight w:val="white"/>
        </w:rPr>
        <w:t xml:space="preserve"> </w:t>
      </w:r>
      <w:proofErr w:type="spellStart"/>
      <w:r>
        <w:rPr>
          <w:rFonts w:ascii="Times New Roman" w:eastAsia="Times New Roman" w:hAnsi="Times New Roman" w:cs="Times New Roman"/>
          <w:sz w:val="20"/>
          <w:szCs w:val="20"/>
          <w:highlight w:val="white"/>
        </w:rPr>
        <w:t>tujuan</w:t>
      </w:r>
      <w:proofErr w:type="spellEnd"/>
      <w:r>
        <w:rPr>
          <w:rFonts w:ascii="Times New Roman" w:eastAsia="Times New Roman" w:hAnsi="Times New Roman" w:cs="Times New Roman"/>
          <w:sz w:val="20"/>
          <w:szCs w:val="20"/>
          <w:highlight w:val="white"/>
        </w:rPr>
        <w:t xml:space="preserve"> </w:t>
      </w:r>
      <w:proofErr w:type="spellStart"/>
      <w:r>
        <w:rPr>
          <w:rFonts w:ascii="Times New Roman" w:eastAsia="Times New Roman" w:hAnsi="Times New Roman" w:cs="Times New Roman"/>
          <w:sz w:val="20"/>
          <w:szCs w:val="20"/>
          <w:highlight w:val="white"/>
        </w:rPr>
        <w:t>kertas</w:t>
      </w:r>
      <w:proofErr w:type="spellEnd"/>
      <w:r>
        <w:rPr>
          <w:rFonts w:ascii="Times New Roman" w:eastAsia="Times New Roman" w:hAnsi="Times New Roman" w:cs="Times New Roman"/>
          <w:sz w:val="20"/>
          <w:szCs w:val="20"/>
          <w:highlight w:val="white"/>
        </w:rPr>
        <w:t xml:space="preserve"> </w:t>
      </w:r>
      <w:proofErr w:type="spellStart"/>
      <w:r>
        <w:rPr>
          <w:rFonts w:ascii="Times New Roman" w:eastAsia="Times New Roman" w:hAnsi="Times New Roman" w:cs="Times New Roman"/>
          <w:sz w:val="20"/>
          <w:szCs w:val="20"/>
          <w:highlight w:val="white"/>
        </w:rPr>
        <w:t>ini</w:t>
      </w:r>
      <w:proofErr w:type="spellEnd"/>
      <w:r>
        <w:rPr>
          <w:rFonts w:ascii="Times New Roman" w:eastAsia="Times New Roman" w:hAnsi="Times New Roman" w:cs="Times New Roman"/>
          <w:sz w:val="20"/>
          <w:szCs w:val="20"/>
          <w:highlight w:val="white"/>
        </w:rPr>
        <w:t xml:space="preserve">. Antara </w:t>
      </w:r>
      <w:proofErr w:type="spellStart"/>
      <w:r>
        <w:rPr>
          <w:rFonts w:ascii="Times New Roman" w:eastAsia="Times New Roman" w:hAnsi="Times New Roman" w:cs="Times New Roman"/>
          <w:sz w:val="20"/>
          <w:szCs w:val="20"/>
          <w:highlight w:val="white"/>
        </w:rPr>
        <w:t>isu</w:t>
      </w:r>
      <w:proofErr w:type="spellEnd"/>
      <w:r>
        <w:rPr>
          <w:rFonts w:ascii="Times New Roman" w:eastAsia="Times New Roman" w:hAnsi="Times New Roman" w:cs="Times New Roman"/>
          <w:sz w:val="20"/>
          <w:szCs w:val="20"/>
          <w:highlight w:val="white"/>
        </w:rPr>
        <w:t xml:space="preserve"> yang </w:t>
      </w:r>
      <w:proofErr w:type="spellStart"/>
      <w:r>
        <w:rPr>
          <w:rFonts w:ascii="Times New Roman" w:eastAsia="Times New Roman" w:hAnsi="Times New Roman" w:cs="Times New Roman"/>
          <w:sz w:val="20"/>
          <w:szCs w:val="20"/>
          <w:highlight w:val="white"/>
        </w:rPr>
        <w:t>telah</w:t>
      </w:r>
      <w:proofErr w:type="spellEnd"/>
      <w:r>
        <w:rPr>
          <w:rFonts w:ascii="Times New Roman" w:eastAsia="Times New Roman" w:hAnsi="Times New Roman" w:cs="Times New Roman"/>
          <w:sz w:val="20"/>
          <w:szCs w:val="20"/>
          <w:highlight w:val="white"/>
        </w:rPr>
        <w:t xml:space="preserve"> </w:t>
      </w:r>
      <w:proofErr w:type="spellStart"/>
      <w:r>
        <w:rPr>
          <w:rFonts w:ascii="Times New Roman" w:eastAsia="Times New Roman" w:hAnsi="Times New Roman" w:cs="Times New Roman"/>
          <w:sz w:val="20"/>
          <w:szCs w:val="20"/>
          <w:highlight w:val="white"/>
        </w:rPr>
        <w:t>dikenalpasti</w:t>
      </w:r>
      <w:proofErr w:type="spellEnd"/>
      <w:r>
        <w:rPr>
          <w:rFonts w:ascii="Times New Roman" w:eastAsia="Times New Roman" w:hAnsi="Times New Roman" w:cs="Times New Roman"/>
          <w:sz w:val="20"/>
          <w:szCs w:val="20"/>
          <w:highlight w:val="white"/>
        </w:rPr>
        <w:t xml:space="preserve"> </w:t>
      </w:r>
      <w:proofErr w:type="spellStart"/>
      <w:r>
        <w:rPr>
          <w:rFonts w:ascii="Times New Roman" w:eastAsia="Times New Roman" w:hAnsi="Times New Roman" w:cs="Times New Roman"/>
          <w:sz w:val="20"/>
          <w:szCs w:val="20"/>
          <w:highlight w:val="white"/>
        </w:rPr>
        <w:t>adalah</w:t>
      </w:r>
      <w:proofErr w:type="spellEnd"/>
      <w:r>
        <w:rPr>
          <w:rFonts w:ascii="Times New Roman" w:eastAsia="Times New Roman" w:hAnsi="Times New Roman" w:cs="Times New Roman"/>
          <w:sz w:val="20"/>
          <w:szCs w:val="20"/>
          <w:highlight w:val="white"/>
        </w:rPr>
        <w:t xml:space="preserve"> masa yang </w:t>
      </w:r>
      <w:proofErr w:type="spellStart"/>
      <w:r>
        <w:rPr>
          <w:rFonts w:ascii="Times New Roman" w:eastAsia="Times New Roman" w:hAnsi="Times New Roman" w:cs="Times New Roman"/>
          <w:sz w:val="20"/>
          <w:szCs w:val="20"/>
          <w:highlight w:val="white"/>
        </w:rPr>
        <w:t>ditetapkan</w:t>
      </w:r>
      <w:proofErr w:type="spellEnd"/>
      <w:r>
        <w:rPr>
          <w:rFonts w:ascii="Times New Roman" w:eastAsia="Times New Roman" w:hAnsi="Times New Roman" w:cs="Times New Roman"/>
          <w:sz w:val="20"/>
          <w:szCs w:val="20"/>
          <w:highlight w:val="white"/>
        </w:rPr>
        <w:t xml:space="preserve"> </w:t>
      </w:r>
      <w:proofErr w:type="spellStart"/>
      <w:r>
        <w:rPr>
          <w:rFonts w:ascii="Times New Roman" w:eastAsia="Times New Roman" w:hAnsi="Times New Roman" w:cs="Times New Roman"/>
          <w:sz w:val="20"/>
          <w:szCs w:val="20"/>
          <w:highlight w:val="white"/>
        </w:rPr>
        <w:t>bagi</w:t>
      </w:r>
      <w:proofErr w:type="spellEnd"/>
      <w:r>
        <w:rPr>
          <w:rFonts w:ascii="Times New Roman" w:eastAsia="Times New Roman" w:hAnsi="Times New Roman" w:cs="Times New Roman"/>
          <w:sz w:val="20"/>
          <w:szCs w:val="20"/>
          <w:highlight w:val="white"/>
        </w:rPr>
        <w:t xml:space="preserve"> </w:t>
      </w:r>
      <w:proofErr w:type="spellStart"/>
      <w:r>
        <w:rPr>
          <w:rFonts w:ascii="Times New Roman" w:eastAsia="Times New Roman" w:hAnsi="Times New Roman" w:cs="Times New Roman"/>
          <w:sz w:val="20"/>
          <w:szCs w:val="20"/>
          <w:highlight w:val="white"/>
        </w:rPr>
        <w:t>penutupan</w:t>
      </w:r>
      <w:proofErr w:type="spellEnd"/>
      <w:r>
        <w:rPr>
          <w:rFonts w:ascii="Times New Roman" w:eastAsia="Times New Roman" w:hAnsi="Times New Roman" w:cs="Times New Roman"/>
          <w:sz w:val="20"/>
          <w:szCs w:val="20"/>
          <w:highlight w:val="white"/>
        </w:rPr>
        <w:t xml:space="preserve"> </w:t>
      </w:r>
      <w:proofErr w:type="spellStart"/>
      <w:r>
        <w:rPr>
          <w:rFonts w:ascii="Times New Roman" w:eastAsia="Times New Roman" w:hAnsi="Times New Roman" w:cs="Times New Roman"/>
          <w:sz w:val="20"/>
          <w:szCs w:val="20"/>
          <w:highlight w:val="white"/>
        </w:rPr>
        <w:t>pliding</w:t>
      </w:r>
      <w:proofErr w:type="spellEnd"/>
      <w:r>
        <w:rPr>
          <w:rFonts w:ascii="Times New Roman" w:eastAsia="Times New Roman" w:hAnsi="Times New Roman" w:cs="Times New Roman"/>
          <w:sz w:val="20"/>
          <w:szCs w:val="20"/>
          <w:highlight w:val="white"/>
        </w:rPr>
        <w:t xml:space="preserve">, </w:t>
      </w:r>
      <w:proofErr w:type="spellStart"/>
      <w:r>
        <w:rPr>
          <w:rFonts w:ascii="Times New Roman" w:eastAsia="Times New Roman" w:hAnsi="Times New Roman" w:cs="Times New Roman"/>
          <w:sz w:val="20"/>
          <w:szCs w:val="20"/>
          <w:highlight w:val="white"/>
        </w:rPr>
        <w:t>perkara</w:t>
      </w:r>
      <w:proofErr w:type="spellEnd"/>
      <w:r>
        <w:rPr>
          <w:rFonts w:ascii="Times New Roman" w:eastAsia="Times New Roman" w:hAnsi="Times New Roman" w:cs="Times New Roman"/>
          <w:sz w:val="20"/>
          <w:szCs w:val="20"/>
          <w:highlight w:val="white"/>
        </w:rPr>
        <w:t xml:space="preserve"> yang </w:t>
      </w:r>
      <w:proofErr w:type="spellStart"/>
      <w:r>
        <w:rPr>
          <w:rFonts w:ascii="Times New Roman" w:eastAsia="Times New Roman" w:hAnsi="Times New Roman" w:cs="Times New Roman"/>
          <w:sz w:val="20"/>
          <w:szCs w:val="20"/>
          <w:highlight w:val="white"/>
        </w:rPr>
        <w:t>perlu</w:t>
      </w:r>
      <w:proofErr w:type="spellEnd"/>
      <w:r>
        <w:rPr>
          <w:rFonts w:ascii="Times New Roman" w:eastAsia="Times New Roman" w:hAnsi="Times New Roman" w:cs="Times New Roman"/>
          <w:sz w:val="20"/>
          <w:szCs w:val="20"/>
          <w:highlight w:val="white"/>
        </w:rPr>
        <w:t xml:space="preserve"> </w:t>
      </w:r>
      <w:proofErr w:type="spellStart"/>
      <w:r>
        <w:rPr>
          <w:rFonts w:ascii="Times New Roman" w:eastAsia="Times New Roman" w:hAnsi="Times New Roman" w:cs="Times New Roman"/>
          <w:sz w:val="20"/>
          <w:szCs w:val="20"/>
          <w:highlight w:val="white"/>
        </w:rPr>
        <w:t>dirayu</w:t>
      </w:r>
      <w:proofErr w:type="spellEnd"/>
      <w:r>
        <w:rPr>
          <w:rFonts w:ascii="Times New Roman" w:eastAsia="Times New Roman" w:hAnsi="Times New Roman" w:cs="Times New Roman"/>
          <w:sz w:val="20"/>
          <w:szCs w:val="20"/>
          <w:highlight w:val="white"/>
        </w:rPr>
        <w:t xml:space="preserve"> </w:t>
      </w:r>
      <w:proofErr w:type="spellStart"/>
      <w:r>
        <w:rPr>
          <w:rFonts w:ascii="Times New Roman" w:eastAsia="Times New Roman" w:hAnsi="Times New Roman" w:cs="Times New Roman"/>
          <w:sz w:val="20"/>
          <w:szCs w:val="20"/>
          <w:highlight w:val="white"/>
        </w:rPr>
        <w:t>dengan</w:t>
      </w:r>
      <w:proofErr w:type="spellEnd"/>
      <w:r>
        <w:rPr>
          <w:rFonts w:ascii="Times New Roman" w:eastAsia="Times New Roman" w:hAnsi="Times New Roman" w:cs="Times New Roman"/>
          <w:sz w:val="20"/>
          <w:szCs w:val="20"/>
          <w:highlight w:val="white"/>
        </w:rPr>
        <w:t xml:space="preserve"> </w:t>
      </w:r>
      <w:proofErr w:type="spellStart"/>
      <w:r>
        <w:rPr>
          <w:rFonts w:ascii="Times New Roman" w:eastAsia="Times New Roman" w:hAnsi="Times New Roman" w:cs="Times New Roman"/>
          <w:sz w:val="20"/>
          <w:szCs w:val="20"/>
          <w:highlight w:val="white"/>
        </w:rPr>
        <w:t>khusus</w:t>
      </w:r>
      <w:proofErr w:type="spellEnd"/>
      <w:r>
        <w:rPr>
          <w:rFonts w:ascii="Times New Roman" w:eastAsia="Times New Roman" w:hAnsi="Times New Roman" w:cs="Times New Roman"/>
          <w:sz w:val="20"/>
          <w:szCs w:val="20"/>
          <w:highlight w:val="white"/>
        </w:rPr>
        <w:t xml:space="preserve"> dan </w:t>
      </w:r>
      <w:proofErr w:type="spellStart"/>
      <w:r>
        <w:rPr>
          <w:rFonts w:ascii="Times New Roman" w:eastAsia="Times New Roman" w:hAnsi="Times New Roman" w:cs="Times New Roman"/>
          <w:sz w:val="20"/>
          <w:szCs w:val="20"/>
          <w:highlight w:val="white"/>
        </w:rPr>
        <w:t>pembatalan</w:t>
      </w:r>
      <w:proofErr w:type="spellEnd"/>
      <w:r>
        <w:rPr>
          <w:rFonts w:ascii="Times New Roman" w:eastAsia="Times New Roman" w:hAnsi="Times New Roman" w:cs="Times New Roman"/>
          <w:sz w:val="20"/>
          <w:szCs w:val="20"/>
          <w:highlight w:val="white"/>
        </w:rPr>
        <w:t xml:space="preserve"> </w:t>
      </w:r>
      <w:proofErr w:type="spellStart"/>
      <w:r>
        <w:rPr>
          <w:rFonts w:ascii="Times New Roman" w:eastAsia="Times New Roman" w:hAnsi="Times New Roman" w:cs="Times New Roman"/>
          <w:sz w:val="20"/>
          <w:szCs w:val="20"/>
          <w:highlight w:val="white"/>
        </w:rPr>
        <w:t>pliding</w:t>
      </w:r>
      <w:proofErr w:type="spellEnd"/>
      <w:r>
        <w:rPr>
          <w:rFonts w:ascii="Times New Roman" w:eastAsia="Times New Roman" w:hAnsi="Times New Roman" w:cs="Times New Roman"/>
          <w:sz w:val="20"/>
          <w:szCs w:val="20"/>
          <w:highlight w:val="white"/>
        </w:rPr>
        <w:t xml:space="preserve"> </w:t>
      </w:r>
      <w:proofErr w:type="spellStart"/>
      <w:r>
        <w:rPr>
          <w:rFonts w:ascii="Times New Roman" w:eastAsia="Times New Roman" w:hAnsi="Times New Roman" w:cs="Times New Roman"/>
          <w:sz w:val="20"/>
          <w:szCs w:val="20"/>
          <w:highlight w:val="white"/>
        </w:rPr>
        <w:t>serta</w:t>
      </w:r>
      <w:proofErr w:type="spellEnd"/>
      <w:r>
        <w:rPr>
          <w:rFonts w:ascii="Times New Roman" w:eastAsia="Times New Roman" w:hAnsi="Times New Roman" w:cs="Times New Roman"/>
          <w:sz w:val="20"/>
          <w:szCs w:val="20"/>
          <w:highlight w:val="white"/>
        </w:rPr>
        <w:t xml:space="preserve"> </w:t>
      </w:r>
      <w:proofErr w:type="spellStart"/>
      <w:r>
        <w:rPr>
          <w:rFonts w:ascii="Times New Roman" w:eastAsia="Times New Roman" w:hAnsi="Times New Roman" w:cs="Times New Roman"/>
          <w:sz w:val="20"/>
          <w:szCs w:val="20"/>
          <w:highlight w:val="white"/>
        </w:rPr>
        <w:t>pengendorsan</w:t>
      </w:r>
      <w:proofErr w:type="spellEnd"/>
      <w:r>
        <w:rPr>
          <w:rFonts w:ascii="Times New Roman" w:eastAsia="Times New Roman" w:hAnsi="Times New Roman" w:cs="Times New Roman"/>
          <w:sz w:val="20"/>
          <w:szCs w:val="20"/>
          <w:highlight w:val="white"/>
        </w:rPr>
        <w:t xml:space="preserve"> </w:t>
      </w:r>
      <w:proofErr w:type="spellStart"/>
      <w:r>
        <w:rPr>
          <w:rFonts w:ascii="Times New Roman" w:eastAsia="Times New Roman" w:hAnsi="Times New Roman" w:cs="Times New Roman"/>
          <w:sz w:val="20"/>
          <w:szCs w:val="20"/>
          <w:highlight w:val="white"/>
        </w:rPr>
        <w:t>atas</w:t>
      </w:r>
      <w:proofErr w:type="spellEnd"/>
      <w:r>
        <w:rPr>
          <w:rFonts w:ascii="Times New Roman" w:eastAsia="Times New Roman" w:hAnsi="Times New Roman" w:cs="Times New Roman"/>
          <w:sz w:val="20"/>
          <w:szCs w:val="20"/>
          <w:highlight w:val="white"/>
        </w:rPr>
        <w:t xml:space="preserve"> </w:t>
      </w:r>
      <w:proofErr w:type="spellStart"/>
      <w:r>
        <w:rPr>
          <w:rFonts w:ascii="Times New Roman" w:eastAsia="Times New Roman" w:hAnsi="Times New Roman" w:cs="Times New Roman"/>
          <w:sz w:val="20"/>
          <w:szCs w:val="20"/>
          <w:highlight w:val="white"/>
        </w:rPr>
        <w:t>alasan</w:t>
      </w:r>
      <w:proofErr w:type="spellEnd"/>
      <w:r>
        <w:rPr>
          <w:rFonts w:ascii="Times New Roman" w:eastAsia="Times New Roman" w:hAnsi="Times New Roman" w:cs="Times New Roman"/>
          <w:sz w:val="20"/>
          <w:szCs w:val="20"/>
          <w:highlight w:val="white"/>
        </w:rPr>
        <w:t xml:space="preserve"> </w:t>
      </w:r>
      <w:proofErr w:type="spellStart"/>
      <w:r>
        <w:rPr>
          <w:rFonts w:ascii="Times New Roman" w:eastAsia="Times New Roman" w:hAnsi="Times New Roman" w:cs="Times New Roman"/>
          <w:sz w:val="20"/>
          <w:szCs w:val="20"/>
          <w:highlight w:val="white"/>
        </w:rPr>
        <w:t>penyalahgunaan</w:t>
      </w:r>
      <w:proofErr w:type="spellEnd"/>
      <w:r>
        <w:rPr>
          <w:rFonts w:ascii="Times New Roman" w:eastAsia="Times New Roman" w:hAnsi="Times New Roman" w:cs="Times New Roman"/>
          <w:sz w:val="20"/>
          <w:szCs w:val="20"/>
          <w:highlight w:val="white"/>
        </w:rPr>
        <w:t xml:space="preserve"> proses. Hasil </w:t>
      </w:r>
      <w:proofErr w:type="spellStart"/>
      <w:r>
        <w:rPr>
          <w:rFonts w:ascii="Times New Roman" w:eastAsia="Times New Roman" w:hAnsi="Times New Roman" w:cs="Times New Roman"/>
          <w:sz w:val="20"/>
          <w:szCs w:val="20"/>
          <w:highlight w:val="white"/>
        </w:rPr>
        <w:t>kajian</w:t>
      </w:r>
      <w:proofErr w:type="spellEnd"/>
      <w:r>
        <w:rPr>
          <w:rFonts w:ascii="Times New Roman" w:eastAsia="Times New Roman" w:hAnsi="Times New Roman" w:cs="Times New Roman"/>
          <w:sz w:val="20"/>
          <w:szCs w:val="20"/>
          <w:highlight w:val="white"/>
        </w:rPr>
        <w:t xml:space="preserve"> </w:t>
      </w:r>
      <w:proofErr w:type="spellStart"/>
      <w:r>
        <w:rPr>
          <w:rFonts w:ascii="Times New Roman" w:eastAsia="Times New Roman" w:hAnsi="Times New Roman" w:cs="Times New Roman"/>
          <w:sz w:val="20"/>
          <w:szCs w:val="20"/>
          <w:highlight w:val="white"/>
        </w:rPr>
        <w:t>ini</w:t>
      </w:r>
      <w:proofErr w:type="spellEnd"/>
      <w:r>
        <w:rPr>
          <w:rFonts w:ascii="Times New Roman" w:eastAsia="Times New Roman" w:hAnsi="Times New Roman" w:cs="Times New Roman"/>
          <w:sz w:val="20"/>
          <w:szCs w:val="20"/>
          <w:highlight w:val="white"/>
        </w:rPr>
        <w:t xml:space="preserve"> juga </w:t>
      </w:r>
      <w:proofErr w:type="spellStart"/>
      <w:r>
        <w:rPr>
          <w:rFonts w:ascii="Times New Roman" w:eastAsia="Times New Roman" w:hAnsi="Times New Roman" w:cs="Times New Roman"/>
          <w:sz w:val="20"/>
          <w:szCs w:val="20"/>
          <w:highlight w:val="white"/>
        </w:rPr>
        <w:t>bertujuan</w:t>
      </w:r>
      <w:proofErr w:type="spellEnd"/>
      <w:r>
        <w:rPr>
          <w:rFonts w:ascii="Times New Roman" w:eastAsia="Times New Roman" w:hAnsi="Times New Roman" w:cs="Times New Roman"/>
          <w:sz w:val="20"/>
          <w:szCs w:val="20"/>
          <w:highlight w:val="white"/>
        </w:rPr>
        <w:t xml:space="preserve"> </w:t>
      </w:r>
      <w:proofErr w:type="spellStart"/>
      <w:r>
        <w:rPr>
          <w:rFonts w:ascii="Times New Roman" w:eastAsia="Times New Roman" w:hAnsi="Times New Roman" w:cs="Times New Roman"/>
          <w:sz w:val="20"/>
          <w:szCs w:val="20"/>
          <w:highlight w:val="white"/>
        </w:rPr>
        <w:t>untuk</w:t>
      </w:r>
      <w:proofErr w:type="spellEnd"/>
      <w:r>
        <w:rPr>
          <w:rFonts w:ascii="Times New Roman" w:eastAsia="Times New Roman" w:hAnsi="Times New Roman" w:cs="Times New Roman"/>
          <w:sz w:val="20"/>
          <w:szCs w:val="20"/>
          <w:highlight w:val="white"/>
        </w:rPr>
        <w:t xml:space="preserve"> </w:t>
      </w:r>
      <w:proofErr w:type="spellStart"/>
      <w:r>
        <w:rPr>
          <w:rFonts w:ascii="Times New Roman" w:eastAsia="Times New Roman" w:hAnsi="Times New Roman" w:cs="Times New Roman"/>
          <w:sz w:val="20"/>
          <w:szCs w:val="20"/>
          <w:highlight w:val="white"/>
        </w:rPr>
        <w:t>mendedahkan</w:t>
      </w:r>
      <w:proofErr w:type="spellEnd"/>
      <w:r>
        <w:rPr>
          <w:rFonts w:ascii="Times New Roman" w:eastAsia="Times New Roman" w:hAnsi="Times New Roman" w:cs="Times New Roman"/>
          <w:sz w:val="20"/>
          <w:szCs w:val="20"/>
          <w:highlight w:val="white"/>
        </w:rPr>
        <w:t xml:space="preserve"> </w:t>
      </w:r>
      <w:proofErr w:type="spellStart"/>
      <w:r>
        <w:rPr>
          <w:rFonts w:ascii="Times New Roman" w:eastAsia="Times New Roman" w:hAnsi="Times New Roman" w:cs="Times New Roman"/>
          <w:sz w:val="20"/>
          <w:szCs w:val="20"/>
          <w:highlight w:val="white"/>
        </w:rPr>
        <w:t>pembaca</w:t>
      </w:r>
      <w:proofErr w:type="spellEnd"/>
      <w:r>
        <w:rPr>
          <w:rFonts w:ascii="Times New Roman" w:eastAsia="Times New Roman" w:hAnsi="Times New Roman" w:cs="Times New Roman"/>
          <w:sz w:val="20"/>
          <w:szCs w:val="20"/>
          <w:highlight w:val="white"/>
        </w:rPr>
        <w:t xml:space="preserve"> </w:t>
      </w:r>
      <w:proofErr w:type="spellStart"/>
      <w:r>
        <w:rPr>
          <w:rFonts w:ascii="Times New Roman" w:eastAsia="Times New Roman" w:hAnsi="Times New Roman" w:cs="Times New Roman"/>
          <w:sz w:val="20"/>
          <w:szCs w:val="20"/>
          <w:highlight w:val="white"/>
        </w:rPr>
        <w:t>kepada</w:t>
      </w:r>
      <w:proofErr w:type="spellEnd"/>
      <w:r>
        <w:rPr>
          <w:rFonts w:ascii="Times New Roman" w:eastAsia="Times New Roman" w:hAnsi="Times New Roman" w:cs="Times New Roman"/>
          <w:sz w:val="20"/>
          <w:szCs w:val="20"/>
          <w:highlight w:val="white"/>
        </w:rPr>
        <w:t xml:space="preserve"> </w:t>
      </w:r>
      <w:proofErr w:type="spellStart"/>
      <w:r>
        <w:rPr>
          <w:rFonts w:ascii="Times New Roman" w:eastAsia="Times New Roman" w:hAnsi="Times New Roman" w:cs="Times New Roman"/>
          <w:sz w:val="20"/>
          <w:szCs w:val="20"/>
          <w:highlight w:val="white"/>
        </w:rPr>
        <w:t>kes-kes</w:t>
      </w:r>
      <w:proofErr w:type="spellEnd"/>
      <w:r>
        <w:rPr>
          <w:rFonts w:ascii="Times New Roman" w:eastAsia="Times New Roman" w:hAnsi="Times New Roman" w:cs="Times New Roman"/>
          <w:sz w:val="20"/>
          <w:szCs w:val="20"/>
          <w:highlight w:val="white"/>
        </w:rPr>
        <w:t xml:space="preserve"> United Kingdom yang </w:t>
      </w:r>
      <w:proofErr w:type="spellStart"/>
      <w:r>
        <w:rPr>
          <w:rFonts w:ascii="Times New Roman" w:eastAsia="Times New Roman" w:hAnsi="Times New Roman" w:cs="Times New Roman"/>
          <w:sz w:val="20"/>
          <w:szCs w:val="20"/>
          <w:highlight w:val="white"/>
        </w:rPr>
        <w:t>berpotensi</w:t>
      </w:r>
      <w:proofErr w:type="spellEnd"/>
      <w:r>
        <w:rPr>
          <w:rFonts w:ascii="Times New Roman" w:eastAsia="Times New Roman" w:hAnsi="Times New Roman" w:cs="Times New Roman"/>
          <w:sz w:val="20"/>
          <w:szCs w:val="20"/>
          <w:highlight w:val="white"/>
        </w:rPr>
        <w:t xml:space="preserve"> </w:t>
      </w:r>
      <w:proofErr w:type="spellStart"/>
      <w:r>
        <w:rPr>
          <w:rFonts w:ascii="Times New Roman" w:eastAsia="Times New Roman" w:hAnsi="Times New Roman" w:cs="Times New Roman"/>
          <w:sz w:val="20"/>
          <w:szCs w:val="20"/>
          <w:highlight w:val="white"/>
        </w:rPr>
        <w:t>untuk</w:t>
      </w:r>
      <w:proofErr w:type="spellEnd"/>
      <w:r>
        <w:rPr>
          <w:rFonts w:ascii="Times New Roman" w:eastAsia="Times New Roman" w:hAnsi="Times New Roman" w:cs="Times New Roman"/>
          <w:sz w:val="20"/>
          <w:szCs w:val="20"/>
          <w:highlight w:val="white"/>
        </w:rPr>
        <w:t xml:space="preserve"> </w:t>
      </w:r>
      <w:proofErr w:type="spellStart"/>
      <w:r>
        <w:rPr>
          <w:rFonts w:ascii="Times New Roman" w:eastAsia="Times New Roman" w:hAnsi="Times New Roman" w:cs="Times New Roman"/>
          <w:sz w:val="20"/>
          <w:szCs w:val="20"/>
          <w:highlight w:val="white"/>
        </w:rPr>
        <w:t>menjadi</w:t>
      </w:r>
      <w:proofErr w:type="spellEnd"/>
      <w:r>
        <w:rPr>
          <w:rFonts w:ascii="Times New Roman" w:eastAsia="Times New Roman" w:hAnsi="Times New Roman" w:cs="Times New Roman"/>
          <w:sz w:val="20"/>
          <w:szCs w:val="20"/>
          <w:highlight w:val="white"/>
        </w:rPr>
        <w:t xml:space="preserve"> </w:t>
      </w:r>
      <w:proofErr w:type="spellStart"/>
      <w:r>
        <w:rPr>
          <w:rFonts w:ascii="Times New Roman" w:eastAsia="Times New Roman" w:hAnsi="Times New Roman" w:cs="Times New Roman"/>
          <w:sz w:val="20"/>
          <w:szCs w:val="20"/>
          <w:highlight w:val="white"/>
        </w:rPr>
        <w:t>duluan</w:t>
      </w:r>
      <w:proofErr w:type="spellEnd"/>
      <w:r>
        <w:rPr>
          <w:rFonts w:ascii="Times New Roman" w:eastAsia="Times New Roman" w:hAnsi="Times New Roman" w:cs="Times New Roman"/>
          <w:sz w:val="20"/>
          <w:szCs w:val="20"/>
          <w:highlight w:val="white"/>
        </w:rPr>
        <w:t xml:space="preserve"> </w:t>
      </w:r>
      <w:proofErr w:type="spellStart"/>
      <w:r>
        <w:rPr>
          <w:rFonts w:ascii="Times New Roman" w:eastAsia="Times New Roman" w:hAnsi="Times New Roman" w:cs="Times New Roman"/>
          <w:sz w:val="20"/>
          <w:szCs w:val="20"/>
          <w:highlight w:val="white"/>
        </w:rPr>
        <w:t>kepada</w:t>
      </w:r>
      <w:proofErr w:type="spellEnd"/>
      <w:r>
        <w:rPr>
          <w:rFonts w:ascii="Times New Roman" w:eastAsia="Times New Roman" w:hAnsi="Times New Roman" w:cs="Times New Roman"/>
          <w:sz w:val="20"/>
          <w:szCs w:val="20"/>
          <w:highlight w:val="white"/>
        </w:rPr>
        <w:t xml:space="preserve"> Malaysia kerana Malaysia </w:t>
      </w:r>
      <w:proofErr w:type="spellStart"/>
      <w:r>
        <w:rPr>
          <w:rFonts w:ascii="Times New Roman" w:eastAsia="Times New Roman" w:hAnsi="Times New Roman" w:cs="Times New Roman"/>
          <w:sz w:val="20"/>
          <w:szCs w:val="20"/>
          <w:highlight w:val="white"/>
        </w:rPr>
        <w:t>masih</w:t>
      </w:r>
      <w:proofErr w:type="spellEnd"/>
      <w:r>
        <w:rPr>
          <w:rFonts w:ascii="Times New Roman" w:eastAsia="Times New Roman" w:hAnsi="Times New Roman" w:cs="Times New Roman"/>
          <w:sz w:val="20"/>
          <w:szCs w:val="20"/>
          <w:highlight w:val="white"/>
        </w:rPr>
        <w:t xml:space="preserve"> </w:t>
      </w:r>
      <w:proofErr w:type="spellStart"/>
      <w:r>
        <w:rPr>
          <w:rFonts w:ascii="Times New Roman" w:eastAsia="Times New Roman" w:hAnsi="Times New Roman" w:cs="Times New Roman"/>
          <w:sz w:val="20"/>
          <w:szCs w:val="20"/>
          <w:highlight w:val="white"/>
        </w:rPr>
        <w:t>lagi</w:t>
      </w:r>
      <w:proofErr w:type="spellEnd"/>
      <w:r>
        <w:rPr>
          <w:rFonts w:ascii="Times New Roman" w:eastAsia="Times New Roman" w:hAnsi="Times New Roman" w:cs="Times New Roman"/>
          <w:sz w:val="20"/>
          <w:szCs w:val="20"/>
          <w:highlight w:val="white"/>
        </w:rPr>
        <w:t xml:space="preserve"> </w:t>
      </w:r>
      <w:proofErr w:type="spellStart"/>
      <w:r>
        <w:rPr>
          <w:rFonts w:ascii="Times New Roman" w:eastAsia="Times New Roman" w:hAnsi="Times New Roman" w:cs="Times New Roman"/>
          <w:sz w:val="20"/>
          <w:szCs w:val="20"/>
          <w:highlight w:val="white"/>
        </w:rPr>
        <w:t>tidak</w:t>
      </w:r>
      <w:proofErr w:type="spellEnd"/>
      <w:r>
        <w:rPr>
          <w:rFonts w:ascii="Times New Roman" w:eastAsia="Times New Roman" w:hAnsi="Times New Roman" w:cs="Times New Roman"/>
          <w:sz w:val="20"/>
          <w:szCs w:val="20"/>
          <w:highlight w:val="white"/>
        </w:rPr>
        <w:t xml:space="preserve"> </w:t>
      </w:r>
      <w:proofErr w:type="spellStart"/>
      <w:r>
        <w:rPr>
          <w:rFonts w:ascii="Times New Roman" w:eastAsia="Times New Roman" w:hAnsi="Times New Roman" w:cs="Times New Roman"/>
          <w:sz w:val="20"/>
          <w:szCs w:val="20"/>
          <w:highlight w:val="white"/>
        </w:rPr>
        <w:t>mempunyai</w:t>
      </w:r>
      <w:proofErr w:type="spellEnd"/>
      <w:r>
        <w:rPr>
          <w:rFonts w:ascii="Times New Roman" w:eastAsia="Times New Roman" w:hAnsi="Times New Roman" w:cs="Times New Roman"/>
          <w:sz w:val="20"/>
          <w:szCs w:val="20"/>
          <w:highlight w:val="white"/>
        </w:rPr>
        <w:t xml:space="preserve"> </w:t>
      </w:r>
      <w:proofErr w:type="spellStart"/>
      <w:r>
        <w:rPr>
          <w:rFonts w:ascii="Times New Roman" w:eastAsia="Times New Roman" w:hAnsi="Times New Roman" w:cs="Times New Roman"/>
          <w:sz w:val="20"/>
          <w:szCs w:val="20"/>
          <w:highlight w:val="white"/>
        </w:rPr>
        <w:t>kes-kes</w:t>
      </w:r>
      <w:proofErr w:type="spellEnd"/>
      <w:r>
        <w:rPr>
          <w:rFonts w:ascii="Times New Roman" w:eastAsia="Times New Roman" w:hAnsi="Times New Roman" w:cs="Times New Roman"/>
          <w:sz w:val="20"/>
          <w:szCs w:val="20"/>
          <w:highlight w:val="white"/>
        </w:rPr>
        <w:t xml:space="preserve"> yang </w:t>
      </w:r>
      <w:proofErr w:type="spellStart"/>
      <w:r>
        <w:rPr>
          <w:rFonts w:ascii="Times New Roman" w:eastAsia="Times New Roman" w:hAnsi="Times New Roman" w:cs="Times New Roman"/>
          <w:sz w:val="20"/>
          <w:szCs w:val="20"/>
          <w:highlight w:val="white"/>
        </w:rPr>
        <w:t>membincangkan</w:t>
      </w:r>
      <w:proofErr w:type="spellEnd"/>
      <w:r>
        <w:rPr>
          <w:rFonts w:ascii="Times New Roman" w:eastAsia="Times New Roman" w:hAnsi="Times New Roman" w:cs="Times New Roman"/>
          <w:sz w:val="20"/>
          <w:szCs w:val="20"/>
          <w:highlight w:val="white"/>
        </w:rPr>
        <w:t xml:space="preserve"> </w:t>
      </w:r>
      <w:proofErr w:type="spellStart"/>
      <w:r>
        <w:rPr>
          <w:rFonts w:ascii="Times New Roman" w:eastAsia="Times New Roman" w:hAnsi="Times New Roman" w:cs="Times New Roman"/>
          <w:sz w:val="20"/>
          <w:szCs w:val="20"/>
          <w:highlight w:val="white"/>
        </w:rPr>
        <w:t>mengenai</w:t>
      </w:r>
      <w:proofErr w:type="spellEnd"/>
      <w:r>
        <w:rPr>
          <w:rFonts w:ascii="Times New Roman" w:eastAsia="Times New Roman" w:hAnsi="Times New Roman" w:cs="Times New Roman"/>
          <w:sz w:val="20"/>
          <w:szCs w:val="20"/>
          <w:highlight w:val="white"/>
        </w:rPr>
        <w:t xml:space="preserve"> </w:t>
      </w:r>
      <w:proofErr w:type="spellStart"/>
      <w:r>
        <w:rPr>
          <w:rFonts w:ascii="Times New Roman" w:eastAsia="Times New Roman" w:hAnsi="Times New Roman" w:cs="Times New Roman"/>
          <w:sz w:val="20"/>
          <w:szCs w:val="20"/>
          <w:highlight w:val="white"/>
        </w:rPr>
        <w:t>isu-isu</w:t>
      </w:r>
      <w:proofErr w:type="spellEnd"/>
      <w:r>
        <w:rPr>
          <w:rFonts w:ascii="Times New Roman" w:eastAsia="Times New Roman" w:hAnsi="Times New Roman" w:cs="Times New Roman"/>
          <w:sz w:val="20"/>
          <w:szCs w:val="20"/>
          <w:highlight w:val="white"/>
        </w:rPr>
        <w:t xml:space="preserve"> </w:t>
      </w:r>
      <w:proofErr w:type="spellStart"/>
      <w:r>
        <w:rPr>
          <w:rFonts w:ascii="Times New Roman" w:eastAsia="Times New Roman" w:hAnsi="Times New Roman" w:cs="Times New Roman"/>
          <w:sz w:val="20"/>
          <w:szCs w:val="20"/>
          <w:highlight w:val="white"/>
        </w:rPr>
        <w:t>tertentu</w:t>
      </w:r>
      <w:proofErr w:type="spellEnd"/>
      <w:r>
        <w:rPr>
          <w:rFonts w:ascii="Times New Roman" w:eastAsia="Times New Roman" w:hAnsi="Times New Roman" w:cs="Times New Roman"/>
          <w:sz w:val="20"/>
          <w:szCs w:val="20"/>
          <w:highlight w:val="white"/>
        </w:rPr>
        <w:t>.</w:t>
      </w:r>
    </w:p>
    <w:p w14:paraId="00000011" w14:textId="77777777" w:rsidR="00E97409" w:rsidRDefault="00E97409" w:rsidP="00690802">
      <w:pPr>
        <w:spacing w:after="0" w:line="240" w:lineRule="auto"/>
        <w:jc w:val="both"/>
        <w:rPr>
          <w:rFonts w:ascii="Times New Roman" w:eastAsia="Times New Roman" w:hAnsi="Times New Roman" w:cs="Times New Roman"/>
          <w:sz w:val="20"/>
          <w:szCs w:val="20"/>
          <w:highlight w:val="white"/>
        </w:rPr>
      </w:pPr>
    </w:p>
    <w:p w14:paraId="00000012" w14:textId="77777777" w:rsidR="00E97409" w:rsidRDefault="007741DD" w:rsidP="00690802">
      <w:pPr>
        <w:spacing w:after="0" w:line="240" w:lineRule="auto"/>
        <w:jc w:val="both"/>
        <w:rPr>
          <w:rFonts w:ascii="Times New Roman" w:eastAsia="Times New Roman" w:hAnsi="Times New Roman" w:cs="Times New Roman"/>
          <w:i/>
          <w:sz w:val="20"/>
          <w:szCs w:val="20"/>
          <w:highlight w:val="white"/>
        </w:rPr>
      </w:pPr>
      <w:r>
        <w:rPr>
          <w:rFonts w:ascii="Times New Roman" w:eastAsia="Times New Roman" w:hAnsi="Times New Roman" w:cs="Times New Roman"/>
          <w:i/>
          <w:sz w:val="20"/>
          <w:szCs w:val="20"/>
          <w:highlight w:val="white"/>
        </w:rPr>
        <w:t xml:space="preserve">Kata </w:t>
      </w:r>
      <w:proofErr w:type="spellStart"/>
      <w:r>
        <w:rPr>
          <w:rFonts w:ascii="Times New Roman" w:eastAsia="Times New Roman" w:hAnsi="Times New Roman" w:cs="Times New Roman"/>
          <w:i/>
          <w:sz w:val="20"/>
          <w:szCs w:val="20"/>
          <w:highlight w:val="white"/>
        </w:rPr>
        <w:t>kunci</w:t>
      </w:r>
      <w:proofErr w:type="spellEnd"/>
      <w:r>
        <w:rPr>
          <w:rFonts w:ascii="Times New Roman" w:eastAsia="Times New Roman" w:hAnsi="Times New Roman" w:cs="Times New Roman"/>
          <w:i/>
          <w:sz w:val="20"/>
          <w:szCs w:val="20"/>
          <w:highlight w:val="white"/>
        </w:rPr>
        <w:t xml:space="preserve">: </w:t>
      </w:r>
      <w:proofErr w:type="spellStart"/>
      <w:r>
        <w:rPr>
          <w:rFonts w:ascii="Times New Roman" w:eastAsia="Times New Roman" w:hAnsi="Times New Roman" w:cs="Times New Roman"/>
          <w:i/>
          <w:sz w:val="20"/>
          <w:szCs w:val="20"/>
          <w:highlight w:val="white"/>
        </w:rPr>
        <w:t>Kaedah-Kaedah</w:t>
      </w:r>
      <w:proofErr w:type="spellEnd"/>
      <w:r>
        <w:rPr>
          <w:rFonts w:ascii="Times New Roman" w:eastAsia="Times New Roman" w:hAnsi="Times New Roman" w:cs="Times New Roman"/>
          <w:i/>
          <w:sz w:val="20"/>
          <w:szCs w:val="20"/>
          <w:highlight w:val="white"/>
        </w:rPr>
        <w:t xml:space="preserve"> </w:t>
      </w:r>
      <w:proofErr w:type="spellStart"/>
      <w:r>
        <w:rPr>
          <w:rFonts w:ascii="Times New Roman" w:eastAsia="Times New Roman" w:hAnsi="Times New Roman" w:cs="Times New Roman"/>
          <w:i/>
          <w:sz w:val="20"/>
          <w:szCs w:val="20"/>
          <w:highlight w:val="white"/>
        </w:rPr>
        <w:t>Mahkamah</w:t>
      </w:r>
      <w:proofErr w:type="spellEnd"/>
      <w:r>
        <w:rPr>
          <w:rFonts w:ascii="Times New Roman" w:eastAsia="Times New Roman" w:hAnsi="Times New Roman" w:cs="Times New Roman"/>
          <w:i/>
          <w:sz w:val="20"/>
          <w:szCs w:val="20"/>
          <w:highlight w:val="white"/>
        </w:rPr>
        <w:t xml:space="preserve"> 2012, Civil Procedure Rules (UK), </w:t>
      </w:r>
      <w:proofErr w:type="spellStart"/>
      <w:r>
        <w:rPr>
          <w:rFonts w:ascii="Times New Roman" w:eastAsia="Times New Roman" w:hAnsi="Times New Roman" w:cs="Times New Roman"/>
          <w:i/>
          <w:sz w:val="20"/>
          <w:szCs w:val="20"/>
          <w:highlight w:val="white"/>
        </w:rPr>
        <w:t>pliding</w:t>
      </w:r>
      <w:proofErr w:type="spellEnd"/>
      <w:r>
        <w:rPr>
          <w:rFonts w:ascii="Times New Roman" w:eastAsia="Times New Roman" w:hAnsi="Times New Roman" w:cs="Times New Roman"/>
          <w:i/>
          <w:sz w:val="20"/>
          <w:szCs w:val="20"/>
          <w:highlight w:val="white"/>
        </w:rPr>
        <w:t xml:space="preserve">, </w:t>
      </w:r>
      <w:proofErr w:type="spellStart"/>
      <w:r>
        <w:rPr>
          <w:rFonts w:ascii="Times New Roman" w:eastAsia="Times New Roman" w:hAnsi="Times New Roman" w:cs="Times New Roman"/>
          <w:i/>
          <w:sz w:val="20"/>
          <w:szCs w:val="20"/>
          <w:highlight w:val="white"/>
        </w:rPr>
        <w:t>pembatalan</w:t>
      </w:r>
      <w:proofErr w:type="spellEnd"/>
      <w:r>
        <w:rPr>
          <w:rFonts w:ascii="Times New Roman" w:eastAsia="Times New Roman" w:hAnsi="Times New Roman" w:cs="Times New Roman"/>
          <w:i/>
          <w:sz w:val="20"/>
          <w:szCs w:val="20"/>
          <w:highlight w:val="white"/>
        </w:rPr>
        <w:t xml:space="preserve"> </w:t>
      </w:r>
      <w:proofErr w:type="spellStart"/>
      <w:r>
        <w:rPr>
          <w:rFonts w:ascii="Times New Roman" w:eastAsia="Times New Roman" w:hAnsi="Times New Roman" w:cs="Times New Roman"/>
          <w:i/>
          <w:sz w:val="20"/>
          <w:szCs w:val="20"/>
          <w:highlight w:val="white"/>
        </w:rPr>
        <w:t>pliding</w:t>
      </w:r>
      <w:proofErr w:type="spellEnd"/>
      <w:r>
        <w:rPr>
          <w:rFonts w:ascii="Times New Roman" w:eastAsia="Times New Roman" w:hAnsi="Times New Roman" w:cs="Times New Roman"/>
          <w:i/>
          <w:sz w:val="20"/>
          <w:szCs w:val="20"/>
          <w:highlight w:val="white"/>
        </w:rPr>
        <w:t xml:space="preserve">, </w:t>
      </w:r>
      <w:proofErr w:type="spellStart"/>
      <w:r>
        <w:rPr>
          <w:rFonts w:ascii="Times New Roman" w:eastAsia="Times New Roman" w:hAnsi="Times New Roman" w:cs="Times New Roman"/>
          <w:i/>
          <w:sz w:val="20"/>
          <w:szCs w:val="20"/>
          <w:highlight w:val="white"/>
        </w:rPr>
        <w:t>penutupan</w:t>
      </w:r>
      <w:proofErr w:type="spellEnd"/>
      <w:r>
        <w:rPr>
          <w:rFonts w:ascii="Times New Roman" w:eastAsia="Times New Roman" w:hAnsi="Times New Roman" w:cs="Times New Roman"/>
          <w:i/>
          <w:sz w:val="20"/>
          <w:szCs w:val="20"/>
          <w:highlight w:val="white"/>
        </w:rPr>
        <w:t xml:space="preserve"> </w:t>
      </w:r>
      <w:proofErr w:type="spellStart"/>
      <w:r>
        <w:rPr>
          <w:rFonts w:ascii="Times New Roman" w:eastAsia="Times New Roman" w:hAnsi="Times New Roman" w:cs="Times New Roman"/>
          <w:i/>
          <w:sz w:val="20"/>
          <w:szCs w:val="20"/>
          <w:highlight w:val="white"/>
        </w:rPr>
        <w:t>pliding</w:t>
      </w:r>
      <w:proofErr w:type="spellEnd"/>
    </w:p>
    <w:p w14:paraId="00000013" w14:textId="77777777" w:rsidR="00E97409" w:rsidRDefault="00E97409" w:rsidP="00690802">
      <w:pPr>
        <w:spacing w:after="0" w:line="240" w:lineRule="auto"/>
        <w:rPr>
          <w:rFonts w:ascii="Times New Roman" w:eastAsia="Times New Roman" w:hAnsi="Times New Roman" w:cs="Times New Roman"/>
          <w:b/>
          <w:sz w:val="20"/>
          <w:szCs w:val="20"/>
          <w:highlight w:val="white"/>
        </w:rPr>
      </w:pPr>
    </w:p>
    <w:p w14:paraId="00000014" w14:textId="77777777" w:rsidR="00E97409" w:rsidRDefault="007741DD" w:rsidP="00690802">
      <w:pPr>
        <w:spacing w:after="0" w:line="240" w:lineRule="auto"/>
        <w:jc w:val="center"/>
        <w:rPr>
          <w:rFonts w:ascii="Times New Roman" w:eastAsia="Times New Roman" w:hAnsi="Times New Roman" w:cs="Times New Roman"/>
          <w:b/>
          <w:sz w:val="20"/>
          <w:szCs w:val="20"/>
          <w:highlight w:val="white"/>
        </w:rPr>
      </w:pPr>
      <w:r>
        <w:rPr>
          <w:rFonts w:ascii="Times New Roman" w:eastAsia="Times New Roman" w:hAnsi="Times New Roman" w:cs="Times New Roman"/>
          <w:b/>
          <w:sz w:val="20"/>
          <w:szCs w:val="20"/>
          <w:highlight w:val="white"/>
        </w:rPr>
        <w:t>ABSTRACT</w:t>
      </w:r>
    </w:p>
    <w:p w14:paraId="00000015" w14:textId="77777777" w:rsidR="00E97409" w:rsidRDefault="00E97409" w:rsidP="00690802">
      <w:pPr>
        <w:spacing w:after="0" w:line="240" w:lineRule="auto"/>
        <w:jc w:val="center"/>
        <w:rPr>
          <w:rFonts w:ascii="Times New Roman" w:eastAsia="Times New Roman" w:hAnsi="Times New Roman" w:cs="Times New Roman"/>
          <w:b/>
          <w:sz w:val="20"/>
          <w:szCs w:val="20"/>
          <w:highlight w:val="white"/>
        </w:rPr>
      </w:pPr>
    </w:p>
    <w:p w14:paraId="00000016" w14:textId="77777777" w:rsidR="00E97409" w:rsidRDefault="007741DD" w:rsidP="00690802">
      <w:pPr>
        <w:spacing w:after="0"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0"/>
          <w:szCs w:val="20"/>
          <w:highlight w:val="white"/>
        </w:rPr>
        <w:t xml:space="preserve">A pleading is a set of facts detailing the plaintiff's cause of action or the defendant's </w:t>
      </w:r>
      <w:proofErr w:type="spellStart"/>
      <w:r>
        <w:rPr>
          <w:rFonts w:ascii="Times New Roman" w:eastAsia="Times New Roman" w:hAnsi="Times New Roman" w:cs="Times New Roman"/>
          <w:sz w:val="20"/>
          <w:szCs w:val="20"/>
          <w:highlight w:val="white"/>
        </w:rPr>
        <w:t>defense</w:t>
      </w:r>
      <w:proofErr w:type="spellEnd"/>
      <w:r>
        <w:rPr>
          <w:rFonts w:ascii="Times New Roman" w:eastAsia="Times New Roman" w:hAnsi="Times New Roman" w:cs="Times New Roman"/>
          <w:sz w:val="20"/>
          <w:szCs w:val="20"/>
          <w:highlight w:val="white"/>
        </w:rPr>
        <w:t>. Pleading plays a huge role in identifying the issues or matters of a case. Pleadings are also crucial in informing the parties about the case they need to confront, subsequently preparing them to work out on the lawsuit. Comparison of laws in regard to pleadings between Malaysia and the United Kingdom is made because Malaysia refers a lot to United Kingdom cases involving civil procedure. The objective of this article is to discuss the issues that have arisen with respect to pleading and provide enlightenment on the differences between the law governing pleadings in Malaysia and the United Kingdom. The research of this article is conducted through doctrinal methods in which different legal sources from the chosen countries have been studied to achieve the purpose of this paper. Among the issues that have been identified are the time set for the closing of the pleadings, matters that need to be pleaded specifically and the striking out of pleadings on the grounds of abuse of process. The results of this study also aim to expose the reader to United Kingdom cases that have the potential to serve as a precedent for Malaysia as Malaysia still does not have cases that discuss certain issues.</w:t>
      </w:r>
    </w:p>
    <w:p w14:paraId="00000017" w14:textId="77777777" w:rsidR="00E97409" w:rsidRDefault="00E97409" w:rsidP="00690802">
      <w:pPr>
        <w:spacing w:after="0" w:line="240" w:lineRule="auto"/>
        <w:jc w:val="both"/>
        <w:rPr>
          <w:rFonts w:ascii="Times New Roman" w:eastAsia="Times New Roman" w:hAnsi="Times New Roman" w:cs="Times New Roman"/>
          <w:b/>
          <w:sz w:val="24"/>
          <w:szCs w:val="24"/>
          <w:highlight w:val="white"/>
        </w:rPr>
      </w:pPr>
    </w:p>
    <w:p w14:paraId="00000018" w14:textId="77777777" w:rsidR="00E97409" w:rsidRDefault="007741DD" w:rsidP="00690802">
      <w:pPr>
        <w:spacing w:after="0" w:line="240" w:lineRule="auto"/>
        <w:jc w:val="both"/>
        <w:rPr>
          <w:rFonts w:ascii="Times New Roman" w:eastAsia="Times New Roman" w:hAnsi="Times New Roman" w:cs="Times New Roman"/>
          <w:i/>
          <w:sz w:val="20"/>
          <w:szCs w:val="20"/>
          <w:highlight w:val="white"/>
        </w:rPr>
      </w:pPr>
      <w:r>
        <w:rPr>
          <w:rFonts w:ascii="Times New Roman" w:eastAsia="Times New Roman" w:hAnsi="Times New Roman" w:cs="Times New Roman"/>
          <w:i/>
          <w:sz w:val="20"/>
          <w:szCs w:val="20"/>
          <w:highlight w:val="white"/>
        </w:rPr>
        <w:t>Keywords: Rules of Court 2012, Civil Procedure Rules (UK), pleadings, striking out of pleadings, close of pleadings</w:t>
      </w:r>
    </w:p>
    <w:p w14:paraId="00000019" w14:textId="77777777" w:rsidR="00E97409" w:rsidRDefault="00E97409" w:rsidP="00690802">
      <w:pPr>
        <w:spacing w:after="0" w:line="240" w:lineRule="auto"/>
        <w:rPr>
          <w:rFonts w:ascii="Times New Roman" w:eastAsia="Times New Roman" w:hAnsi="Times New Roman" w:cs="Times New Roman"/>
          <w:b/>
          <w:sz w:val="24"/>
          <w:szCs w:val="24"/>
          <w:highlight w:val="white"/>
        </w:rPr>
      </w:pPr>
    </w:p>
    <w:p w14:paraId="0000001A" w14:textId="77777777" w:rsidR="00E97409" w:rsidRDefault="00E97409" w:rsidP="00690802">
      <w:pPr>
        <w:spacing w:after="0" w:line="240" w:lineRule="auto"/>
        <w:rPr>
          <w:rFonts w:ascii="Times New Roman" w:eastAsia="Times New Roman" w:hAnsi="Times New Roman" w:cs="Times New Roman"/>
          <w:b/>
          <w:sz w:val="24"/>
          <w:szCs w:val="24"/>
          <w:highlight w:val="white"/>
        </w:rPr>
      </w:pPr>
    </w:p>
    <w:p w14:paraId="0000001B" w14:textId="77777777" w:rsidR="00E97409" w:rsidRDefault="00E97409" w:rsidP="00690802">
      <w:pPr>
        <w:spacing w:after="0" w:line="240" w:lineRule="auto"/>
        <w:rPr>
          <w:rFonts w:ascii="Times New Roman" w:eastAsia="Times New Roman" w:hAnsi="Times New Roman" w:cs="Times New Roman"/>
          <w:b/>
          <w:sz w:val="24"/>
          <w:szCs w:val="24"/>
          <w:highlight w:val="white"/>
        </w:rPr>
      </w:pPr>
    </w:p>
    <w:p w14:paraId="0000001C" w14:textId="3F8A6CCD" w:rsidR="00E97409" w:rsidRDefault="00E97409" w:rsidP="00690802">
      <w:pPr>
        <w:spacing w:after="0" w:line="240" w:lineRule="auto"/>
        <w:rPr>
          <w:rFonts w:ascii="Times New Roman" w:eastAsia="Times New Roman" w:hAnsi="Times New Roman" w:cs="Times New Roman"/>
          <w:b/>
          <w:sz w:val="24"/>
          <w:szCs w:val="24"/>
          <w:highlight w:val="white"/>
        </w:rPr>
      </w:pPr>
    </w:p>
    <w:p w14:paraId="3C7CBB6E" w14:textId="182F4554" w:rsidR="00690802" w:rsidRDefault="00690802" w:rsidP="00690802">
      <w:pPr>
        <w:spacing w:after="0" w:line="240" w:lineRule="auto"/>
        <w:rPr>
          <w:rFonts w:ascii="Times New Roman" w:eastAsia="Times New Roman" w:hAnsi="Times New Roman" w:cs="Times New Roman"/>
          <w:b/>
          <w:sz w:val="24"/>
          <w:szCs w:val="24"/>
          <w:highlight w:val="white"/>
        </w:rPr>
      </w:pPr>
    </w:p>
    <w:p w14:paraId="68835D3D" w14:textId="129CD012" w:rsidR="00690802" w:rsidRDefault="00690802" w:rsidP="00690802">
      <w:pPr>
        <w:spacing w:after="0" w:line="240" w:lineRule="auto"/>
        <w:rPr>
          <w:rFonts w:ascii="Times New Roman" w:eastAsia="Times New Roman" w:hAnsi="Times New Roman" w:cs="Times New Roman"/>
          <w:b/>
          <w:sz w:val="24"/>
          <w:szCs w:val="24"/>
          <w:highlight w:val="white"/>
        </w:rPr>
      </w:pPr>
    </w:p>
    <w:p w14:paraId="24E6ED06" w14:textId="4A1FD8A5" w:rsidR="00690802" w:rsidRDefault="00690802" w:rsidP="00690802">
      <w:pPr>
        <w:spacing w:after="0" w:line="240" w:lineRule="auto"/>
        <w:rPr>
          <w:rFonts w:ascii="Times New Roman" w:eastAsia="Times New Roman" w:hAnsi="Times New Roman" w:cs="Times New Roman"/>
          <w:b/>
          <w:sz w:val="24"/>
          <w:szCs w:val="24"/>
          <w:highlight w:val="white"/>
        </w:rPr>
      </w:pPr>
    </w:p>
    <w:p w14:paraId="42C70723" w14:textId="68699158" w:rsidR="00690802" w:rsidRDefault="00690802" w:rsidP="00690802">
      <w:pPr>
        <w:spacing w:after="0" w:line="240" w:lineRule="auto"/>
        <w:rPr>
          <w:rFonts w:ascii="Times New Roman" w:eastAsia="Times New Roman" w:hAnsi="Times New Roman" w:cs="Times New Roman"/>
          <w:b/>
          <w:sz w:val="24"/>
          <w:szCs w:val="24"/>
          <w:highlight w:val="white"/>
        </w:rPr>
      </w:pPr>
    </w:p>
    <w:p w14:paraId="34F9CFAF" w14:textId="6EA149EF" w:rsidR="00690802" w:rsidRDefault="00690802" w:rsidP="00690802">
      <w:pPr>
        <w:spacing w:after="0" w:line="240" w:lineRule="auto"/>
        <w:rPr>
          <w:rFonts w:ascii="Times New Roman" w:eastAsia="Times New Roman" w:hAnsi="Times New Roman" w:cs="Times New Roman"/>
          <w:b/>
          <w:sz w:val="24"/>
          <w:szCs w:val="24"/>
          <w:highlight w:val="white"/>
        </w:rPr>
      </w:pPr>
    </w:p>
    <w:p w14:paraId="3C9E3C1A" w14:textId="1D74890A" w:rsidR="00690802" w:rsidRDefault="00690802" w:rsidP="00690802">
      <w:pPr>
        <w:spacing w:after="0" w:line="240" w:lineRule="auto"/>
        <w:rPr>
          <w:rFonts w:ascii="Times New Roman" w:eastAsia="Times New Roman" w:hAnsi="Times New Roman" w:cs="Times New Roman"/>
          <w:b/>
          <w:sz w:val="24"/>
          <w:szCs w:val="24"/>
          <w:highlight w:val="white"/>
        </w:rPr>
      </w:pPr>
    </w:p>
    <w:p w14:paraId="1ABA0513" w14:textId="6D616578" w:rsidR="00690802" w:rsidRDefault="00690802" w:rsidP="00690802">
      <w:pPr>
        <w:spacing w:after="0" w:line="240" w:lineRule="auto"/>
        <w:rPr>
          <w:rFonts w:ascii="Times New Roman" w:eastAsia="Times New Roman" w:hAnsi="Times New Roman" w:cs="Times New Roman"/>
          <w:b/>
          <w:sz w:val="24"/>
          <w:szCs w:val="24"/>
          <w:highlight w:val="white"/>
        </w:rPr>
      </w:pPr>
    </w:p>
    <w:p w14:paraId="4C7E95F1" w14:textId="77777777" w:rsidR="00690802" w:rsidRDefault="00690802" w:rsidP="00690802">
      <w:pPr>
        <w:spacing w:after="0" w:line="240" w:lineRule="auto"/>
        <w:rPr>
          <w:rFonts w:ascii="Times New Roman" w:eastAsia="Times New Roman" w:hAnsi="Times New Roman" w:cs="Times New Roman"/>
          <w:b/>
          <w:sz w:val="24"/>
          <w:szCs w:val="24"/>
          <w:highlight w:val="white"/>
        </w:rPr>
      </w:pPr>
    </w:p>
    <w:p w14:paraId="0000001D" w14:textId="77777777" w:rsidR="00E97409" w:rsidRDefault="007741DD" w:rsidP="00690802">
      <w:pPr>
        <w:spacing w:after="0" w:line="240" w:lineRule="auto"/>
        <w:rPr>
          <w:rFonts w:ascii="Times New Roman" w:eastAsia="Times New Roman" w:hAnsi="Times New Roman" w:cs="Times New Roman"/>
          <w:b/>
          <w:sz w:val="24"/>
          <w:szCs w:val="24"/>
          <w:highlight w:val="white"/>
        </w:rPr>
      </w:pPr>
      <w:proofErr w:type="spellStart"/>
      <w:r>
        <w:rPr>
          <w:rFonts w:ascii="Times New Roman" w:eastAsia="Times New Roman" w:hAnsi="Times New Roman" w:cs="Times New Roman"/>
          <w:b/>
          <w:sz w:val="24"/>
          <w:szCs w:val="24"/>
          <w:highlight w:val="white"/>
        </w:rPr>
        <w:lastRenderedPageBreak/>
        <w:t>Pengenalan</w:t>
      </w:r>
      <w:proofErr w:type="spellEnd"/>
      <w:r>
        <w:rPr>
          <w:rFonts w:ascii="Times New Roman" w:eastAsia="Times New Roman" w:hAnsi="Times New Roman" w:cs="Times New Roman"/>
          <w:b/>
          <w:sz w:val="24"/>
          <w:szCs w:val="24"/>
          <w:highlight w:val="white"/>
        </w:rPr>
        <w:t xml:space="preserve"> </w:t>
      </w:r>
      <w:proofErr w:type="spellStart"/>
      <w:r>
        <w:rPr>
          <w:rFonts w:ascii="Times New Roman" w:eastAsia="Times New Roman" w:hAnsi="Times New Roman" w:cs="Times New Roman"/>
          <w:b/>
          <w:sz w:val="24"/>
          <w:szCs w:val="24"/>
          <w:highlight w:val="white"/>
        </w:rPr>
        <w:t>Kepada</w:t>
      </w:r>
      <w:proofErr w:type="spellEnd"/>
      <w:r>
        <w:rPr>
          <w:rFonts w:ascii="Times New Roman" w:eastAsia="Times New Roman" w:hAnsi="Times New Roman" w:cs="Times New Roman"/>
          <w:b/>
          <w:sz w:val="24"/>
          <w:szCs w:val="24"/>
          <w:highlight w:val="white"/>
        </w:rPr>
        <w:t xml:space="preserve"> </w:t>
      </w:r>
      <w:proofErr w:type="spellStart"/>
      <w:r>
        <w:rPr>
          <w:rFonts w:ascii="Times New Roman" w:eastAsia="Times New Roman" w:hAnsi="Times New Roman" w:cs="Times New Roman"/>
          <w:b/>
          <w:sz w:val="24"/>
          <w:szCs w:val="24"/>
          <w:highlight w:val="white"/>
        </w:rPr>
        <w:t>Pliding</w:t>
      </w:r>
      <w:proofErr w:type="spellEnd"/>
      <w:r>
        <w:rPr>
          <w:rFonts w:ascii="Times New Roman" w:eastAsia="Times New Roman" w:hAnsi="Times New Roman" w:cs="Times New Roman"/>
          <w:b/>
          <w:sz w:val="24"/>
          <w:szCs w:val="24"/>
          <w:highlight w:val="white"/>
        </w:rPr>
        <w:t xml:space="preserve"> dan </w:t>
      </w:r>
      <w:proofErr w:type="spellStart"/>
      <w:r>
        <w:rPr>
          <w:rFonts w:ascii="Times New Roman" w:eastAsia="Times New Roman" w:hAnsi="Times New Roman" w:cs="Times New Roman"/>
          <w:b/>
          <w:sz w:val="24"/>
          <w:szCs w:val="24"/>
          <w:highlight w:val="white"/>
        </w:rPr>
        <w:t>Kepentingannya</w:t>
      </w:r>
      <w:proofErr w:type="spellEnd"/>
      <w:r>
        <w:rPr>
          <w:rFonts w:ascii="Times New Roman" w:eastAsia="Times New Roman" w:hAnsi="Times New Roman" w:cs="Times New Roman"/>
          <w:b/>
          <w:sz w:val="24"/>
          <w:szCs w:val="24"/>
          <w:highlight w:val="white"/>
        </w:rPr>
        <w:t>.</w:t>
      </w:r>
    </w:p>
    <w:p w14:paraId="0000001E" w14:textId="77777777" w:rsidR="00E97409" w:rsidRDefault="00E97409" w:rsidP="00690802">
      <w:pPr>
        <w:spacing w:after="0" w:line="240" w:lineRule="auto"/>
        <w:jc w:val="center"/>
        <w:rPr>
          <w:rFonts w:ascii="Times New Roman" w:eastAsia="Times New Roman" w:hAnsi="Times New Roman" w:cs="Times New Roman"/>
          <w:b/>
          <w:sz w:val="24"/>
          <w:szCs w:val="24"/>
          <w:highlight w:val="white"/>
        </w:rPr>
      </w:pPr>
    </w:p>
    <w:p w14:paraId="0000001F" w14:textId="77777777" w:rsidR="00E97409" w:rsidRDefault="007741DD" w:rsidP="00690802">
      <w:pPr>
        <w:spacing w:after="0" w:line="240" w:lineRule="auto"/>
        <w:ind w:firstLine="720"/>
        <w:jc w:val="both"/>
        <w:rPr>
          <w:rFonts w:ascii="Times New Roman" w:eastAsia="Times New Roman" w:hAnsi="Times New Roman" w:cs="Times New Roman"/>
          <w:sz w:val="24"/>
          <w:szCs w:val="24"/>
          <w:highlight w:val="white"/>
        </w:rPr>
      </w:pPr>
      <w:proofErr w:type="spellStart"/>
      <w:r>
        <w:rPr>
          <w:rFonts w:ascii="Times New Roman" w:eastAsia="Times New Roman" w:hAnsi="Times New Roman" w:cs="Times New Roman"/>
          <w:sz w:val="24"/>
          <w:szCs w:val="24"/>
          <w:highlight w:val="white"/>
        </w:rPr>
        <w:t>Menurut</w:t>
      </w:r>
      <w:proofErr w:type="spellEnd"/>
      <w:r>
        <w:rPr>
          <w:rFonts w:ascii="Times New Roman" w:eastAsia="Times New Roman" w:hAnsi="Times New Roman" w:cs="Times New Roman"/>
          <w:sz w:val="24"/>
          <w:szCs w:val="24"/>
          <w:highlight w:val="white"/>
        </w:rPr>
        <w:t xml:space="preserve"> Barron’s Law Dictionary, </w:t>
      </w:r>
      <w:proofErr w:type="spellStart"/>
      <w:r>
        <w:rPr>
          <w:rFonts w:ascii="Times New Roman" w:eastAsia="Times New Roman" w:hAnsi="Times New Roman" w:cs="Times New Roman"/>
          <w:sz w:val="24"/>
          <w:szCs w:val="24"/>
          <w:highlight w:val="white"/>
        </w:rPr>
        <w:t>pliding</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definisikan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sebagai</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kenyataan</w:t>
      </w:r>
      <w:proofErr w:type="spellEnd"/>
      <w:r>
        <w:rPr>
          <w:rFonts w:ascii="Times New Roman" w:eastAsia="Times New Roman" w:hAnsi="Times New Roman" w:cs="Times New Roman"/>
          <w:sz w:val="24"/>
          <w:szCs w:val="24"/>
          <w:highlight w:val="white"/>
        </w:rPr>
        <w:t xml:space="preserve"> yang </w:t>
      </w:r>
      <w:proofErr w:type="spellStart"/>
      <w:r>
        <w:rPr>
          <w:rFonts w:ascii="Times New Roman" w:eastAsia="Times New Roman" w:hAnsi="Times New Roman" w:cs="Times New Roman"/>
          <w:sz w:val="24"/>
          <w:szCs w:val="24"/>
          <w:highlight w:val="white"/>
        </w:rPr>
        <w:t>dalam</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bentuk</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logik</w:t>
      </w:r>
      <w:proofErr w:type="spellEnd"/>
      <w:r>
        <w:rPr>
          <w:rFonts w:ascii="Times New Roman" w:eastAsia="Times New Roman" w:hAnsi="Times New Roman" w:cs="Times New Roman"/>
          <w:sz w:val="24"/>
          <w:szCs w:val="24"/>
          <w:highlight w:val="white"/>
        </w:rPr>
        <w:t xml:space="preserve"> dan </w:t>
      </w:r>
      <w:proofErr w:type="spellStart"/>
      <w:r>
        <w:rPr>
          <w:rFonts w:ascii="Times New Roman" w:eastAsia="Times New Roman" w:hAnsi="Times New Roman" w:cs="Times New Roman"/>
          <w:sz w:val="24"/>
          <w:szCs w:val="24"/>
          <w:highlight w:val="white"/>
        </w:rPr>
        <w:t>undang-undang</w:t>
      </w:r>
      <w:proofErr w:type="spellEnd"/>
      <w:r>
        <w:rPr>
          <w:rFonts w:ascii="Times New Roman" w:eastAsia="Times New Roman" w:hAnsi="Times New Roman" w:cs="Times New Roman"/>
          <w:sz w:val="24"/>
          <w:szCs w:val="24"/>
          <w:highlight w:val="white"/>
        </w:rPr>
        <w:t xml:space="preserve">. Di </w:t>
      </w:r>
      <w:proofErr w:type="spellStart"/>
      <w:r>
        <w:rPr>
          <w:rFonts w:ascii="Times New Roman" w:eastAsia="Times New Roman" w:hAnsi="Times New Roman" w:cs="Times New Roman"/>
          <w:sz w:val="24"/>
          <w:szCs w:val="24"/>
          <w:highlight w:val="white"/>
        </w:rPr>
        <w:t>dalam</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pliding</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tersebut</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terdapat</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beberapa</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fakta</w:t>
      </w:r>
      <w:proofErr w:type="spellEnd"/>
      <w:r>
        <w:rPr>
          <w:rFonts w:ascii="Times New Roman" w:eastAsia="Times New Roman" w:hAnsi="Times New Roman" w:cs="Times New Roman"/>
          <w:sz w:val="24"/>
          <w:szCs w:val="24"/>
          <w:highlight w:val="white"/>
        </w:rPr>
        <w:t xml:space="preserve"> yang </w:t>
      </w:r>
      <w:proofErr w:type="spellStart"/>
      <w:r>
        <w:rPr>
          <w:rFonts w:ascii="Times New Roman" w:eastAsia="Times New Roman" w:hAnsi="Times New Roman" w:cs="Times New Roman"/>
          <w:sz w:val="24"/>
          <w:szCs w:val="24"/>
          <w:highlight w:val="white"/>
        </w:rPr>
        <w:t>membentuk</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kausa</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tindakan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bagi</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plaintif</w:t>
      </w:r>
      <w:proofErr w:type="spellEnd"/>
      <w:r>
        <w:rPr>
          <w:rFonts w:ascii="Times New Roman" w:eastAsia="Times New Roman" w:hAnsi="Times New Roman" w:cs="Times New Roman"/>
          <w:sz w:val="24"/>
          <w:szCs w:val="24"/>
          <w:highlight w:val="white"/>
        </w:rPr>
        <w:t xml:space="preserve">, dan juga </w:t>
      </w:r>
      <w:proofErr w:type="spellStart"/>
      <w:r>
        <w:rPr>
          <w:rFonts w:ascii="Times New Roman" w:eastAsia="Times New Roman" w:hAnsi="Times New Roman" w:cs="Times New Roman"/>
          <w:sz w:val="24"/>
          <w:szCs w:val="24"/>
          <w:highlight w:val="white"/>
        </w:rPr>
        <w:t>butiran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pembelaan</w:t>
      </w:r>
      <w:proofErr w:type="spellEnd"/>
      <w:r>
        <w:rPr>
          <w:rFonts w:ascii="Times New Roman" w:eastAsia="Times New Roman" w:hAnsi="Times New Roman" w:cs="Times New Roman"/>
          <w:sz w:val="24"/>
          <w:szCs w:val="24"/>
          <w:highlight w:val="white"/>
        </w:rPr>
        <w:t xml:space="preserve"> yang </w:t>
      </w:r>
      <w:proofErr w:type="spellStart"/>
      <w:r>
        <w:rPr>
          <w:rFonts w:ascii="Times New Roman" w:eastAsia="Times New Roman" w:hAnsi="Times New Roman" w:cs="Times New Roman"/>
          <w:sz w:val="24"/>
          <w:szCs w:val="24"/>
          <w:highlight w:val="white"/>
        </w:rPr>
        <w:t>diberikan</w:t>
      </w:r>
      <w:proofErr w:type="spellEnd"/>
      <w:r>
        <w:rPr>
          <w:rFonts w:ascii="Times New Roman" w:eastAsia="Times New Roman" w:hAnsi="Times New Roman" w:cs="Times New Roman"/>
          <w:sz w:val="24"/>
          <w:szCs w:val="24"/>
          <w:highlight w:val="white"/>
        </w:rPr>
        <w:t xml:space="preserve"> oleh </w:t>
      </w:r>
      <w:proofErr w:type="spellStart"/>
      <w:r>
        <w:rPr>
          <w:rFonts w:ascii="Times New Roman" w:eastAsia="Times New Roman" w:hAnsi="Times New Roman" w:cs="Times New Roman"/>
          <w:sz w:val="24"/>
          <w:szCs w:val="24"/>
          <w:highlight w:val="white"/>
        </w:rPr>
        <w:t>defendan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Pliding</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boleh</w:t>
      </w:r>
      <w:proofErr w:type="spellEnd"/>
      <w:r>
        <w:rPr>
          <w:rFonts w:ascii="Times New Roman" w:eastAsia="Times New Roman" w:hAnsi="Times New Roman" w:cs="Times New Roman"/>
          <w:sz w:val="24"/>
          <w:szCs w:val="24"/>
          <w:highlight w:val="white"/>
        </w:rPr>
        <w:t xml:space="preserve"> juga </w:t>
      </w:r>
      <w:proofErr w:type="spellStart"/>
      <w:r>
        <w:rPr>
          <w:rFonts w:ascii="Times New Roman" w:eastAsia="Times New Roman" w:hAnsi="Times New Roman" w:cs="Times New Roman"/>
          <w:sz w:val="24"/>
          <w:szCs w:val="24"/>
          <w:highlight w:val="white"/>
        </w:rPr>
        <w:t>menjadi</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dakwaan</w:t>
      </w:r>
      <w:proofErr w:type="spellEnd"/>
      <w:r>
        <w:rPr>
          <w:rFonts w:ascii="Times New Roman" w:eastAsia="Times New Roman" w:hAnsi="Times New Roman" w:cs="Times New Roman"/>
          <w:sz w:val="24"/>
          <w:szCs w:val="24"/>
          <w:highlight w:val="white"/>
        </w:rPr>
        <w:t xml:space="preserve"> oleh </w:t>
      </w:r>
      <w:proofErr w:type="spellStart"/>
      <w:r>
        <w:rPr>
          <w:rFonts w:ascii="Times New Roman" w:eastAsia="Times New Roman" w:hAnsi="Times New Roman" w:cs="Times New Roman"/>
          <w:sz w:val="24"/>
          <w:szCs w:val="24"/>
          <w:highlight w:val="white"/>
        </w:rPr>
        <w:t>pihak</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plaintif</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ataupun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penafian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mengenai</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fakta</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tertentu</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atau</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apa-apa</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penyataan</w:t>
      </w:r>
      <w:proofErr w:type="spellEnd"/>
      <w:r>
        <w:rPr>
          <w:rFonts w:ascii="Times New Roman" w:eastAsia="Times New Roman" w:hAnsi="Times New Roman" w:cs="Times New Roman"/>
          <w:sz w:val="24"/>
          <w:szCs w:val="24"/>
          <w:highlight w:val="white"/>
        </w:rPr>
        <w:t xml:space="preserve"> yang </w:t>
      </w:r>
      <w:proofErr w:type="spellStart"/>
      <w:r>
        <w:rPr>
          <w:rFonts w:ascii="Times New Roman" w:eastAsia="Times New Roman" w:hAnsi="Times New Roman" w:cs="Times New Roman"/>
          <w:sz w:val="24"/>
          <w:szCs w:val="24"/>
          <w:highlight w:val="white"/>
        </w:rPr>
        <w:t>menyokong</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atau</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menidakkan</w:t>
      </w:r>
      <w:proofErr w:type="spellEnd"/>
      <w:r>
        <w:rPr>
          <w:rFonts w:ascii="Times New Roman" w:eastAsia="Times New Roman" w:hAnsi="Times New Roman" w:cs="Times New Roman"/>
          <w:sz w:val="24"/>
          <w:szCs w:val="24"/>
          <w:highlight w:val="white"/>
        </w:rPr>
        <w:t xml:space="preserve"> di </w:t>
      </w:r>
      <w:proofErr w:type="spellStart"/>
      <w:r>
        <w:rPr>
          <w:rFonts w:ascii="Times New Roman" w:eastAsia="Times New Roman" w:hAnsi="Times New Roman" w:cs="Times New Roman"/>
          <w:sz w:val="24"/>
          <w:szCs w:val="24"/>
          <w:highlight w:val="white"/>
        </w:rPr>
        <w:t>bawah</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prinsip</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undang-undang</w:t>
      </w:r>
      <w:proofErr w:type="spellEnd"/>
      <w:r>
        <w:rPr>
          <w:rFonts w:ascii="Times New Roman" w:eastAsia="Times New Roman" w:hAnsi="Times New Roman" w:cs="Times New Roman"/>
          <w:sz w:val="24"/>
          <w:szCs w:val="24"/>
          <w:highlight w:val="white"/>
          <w:vertAlign w:val="superscript"/>
        </w:rPr>
        <w:footnoteReference w:id="1"/>
      </w:r>
      <w:r>
        <w:rPr>
          <w:rFonts w:ascii="Times New Roman" w:eastAsia="Times New Roman" w:hAnsi="Times New Roman" w:cs="Times New Roman"/>
          <w:sz w:val="24"/>
          <w:szCs w:val="24"/>
          <w:highlight w:val="white"/>
        </w:rPr>
        <w:t>.</w:t>
      </w:r>
    </w:p>
    <w:p w14:paraId="00000020" w14:textId="77777777" w:rsidR="00E97409" w:rsidRDefault="00E97409" w:rsidP="00690802">
      <w:pPr>
        <w:spacing w:after="0" w:line="240" w:lineRule="auto"/>
        <w:jc w:val="both"/>
        <w:rPr>
          <w:rFonts w:ascii="Times New Roman" w:eastAsia="Times New Roman" w:hAnsi="Times New Roman" w:cs="Times New Roman"/>
          <w:sz w:val="24"/>
          <w:szCs w:val="24"/>
          <w:highlight w:val="white"/>
        </w:rPr>
      </w:pPr>
    </w:p>
    <w:p w14:paraId="00000021" w14:textId="77777777" w:rsidR="00E97409" w:rsidRDefault="007741DD" w:rsidP="00690802">
      <w:pPr>
        <w:spacing w:after="0" w:line="240" w:lineRule="auto"/>
        <w:ind w:firstLine="720"/>
        <w:jc w:val="both"/>
        <w:rPr>
          <w:rFonts w:ascii="Times New Roman" w:eastAsia="Times New Roman" w:hAnsi="Times New Roman" w:cs="Times New Roman"/>
          <w:sz w:val="24"/>
          <w:szCs w:val="24"/>
          <w:highlight w:val="white"/>
        </w:rPr>
      </w:pPr>
      <w:proofErr w:type="spellStart"/>
      <w:r>
        <w:rPr>
          <w:rFonts w:ascii="Times New Roman" w:eastAsia="Times New Roman" w:hAnsi="Times New Roman" w:cs="Times New Roman"/>
          <w:sz w:val="24"/>
          <w:szCs w:val="24"/>
          <w:highlight w:val="white"/>
        </w:rPr>
        <w:t>Menurut</w:t>
      </w:r>
      <w:proofErr w:type="spellEnd"/>
      <w:r>
        <w:rPr>
          <w:rFonts w:ascii="Times New Roman" w:eastAsia="Times New Roman" w:hAnsi="Times New Roman" w:cs="Times New Roman"/>
          <w:sz w:val="24"/>
          <w:szCs w:val="24"/>
          <w:highlight w:val="white"/>
        </w:rPr>
        <w:t xml:space="preserve"> Raja </w:t>
      </w:r>
      <w:proofErr w:type="spellStart"/>
      <w:r>
        <w:rPr>
          <w:rFonts w:ascii="Times New Roman" w:eastAsia="Times New Roman" w:hAnsi="Times New Roman" w:cs="Times New Roman"/>
          <w:sz w:val="24"/>
          <w:szCs w:val="24"/>
          <w:highlight w:val="white"/>
        </w:rPr>
        <w:t>Azlan</w:t>
      </w:r>
      <w:proofErr w:type="spellEnd"/>
      <w:r>
        <w:rPr>
          <w:rFonts w:ascii="Times New Roman" w:eastAsia="Times New Roman" w:hAnsi="Times New Roman" w:cs="Times New Roman"/>
          <w:sz w:val="24"/>
          <w:szCs w:val="24"/>
          <w:highlight w:val="white"/>
        </w:rPr>
        <w:t xml:space="preserve"> Shah FJ </w:t>
      </w:r>
      <w:proofErr w:type="spellStart"/>
      <w:r>
        <w:rPr>
          <w:rFonts w:ascii="Times New Roman" w:eastAsia="Times New Roman" w:hAnsi="Times New Roman" w:cs="Times New Roman"/>
          <w:sz w:val="24"/>
          <w:szCs w:val="24"/>
          <w:highlight w:val="white"/>
        </w:rPr>
        <w:t>dalam</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kes</w:t>
      </w:r>
      <w:proofErr w:type="spellEnd"/>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b/>
          <w:i/>
          <w:sz w:val="24"/>
          <w:szCs w:val="24"/>
          <w:highlight w:val="white"/>
        </w:rPr>
        <w:t>Chartered Bank v Yong Chan</w:t>
      </w:r>
      <w:r>
        <w:rPr>
          <w:rFonts w:ascii="Times New Roman" w:eastAsia="Times New Roman" w:hAnsi="Times New Roman" w:cs="Times New Roman"/>
          <w:b/>
          <w:i/>
          <w:sz w:val="24"/>
          <w:szCs w:val="24"/>
          <w:highlight w:val="white"/>
          <w:vertAlign w:val="superscript"/>
        </w:rPr>
        <w:footnoteReference w:id="2"/>
      </w:r>
      <w:r>
        <w:rPr>
          <w:rFonts w:ascii="Times New Roman" w:eastAsia="Times New Roman" w:hAnsi="Times New Roman" w:cs="Times New Roman"/>
          <w:b/>
          <w:i/>
          <w:sz w:val="24"/>
          <w:szCs w:val="24"/>
          <w:highlight w:val="white"/>
        </w:rPr>
        <w:t xml:space="preserve">, </w:t>
      </w:r>
      <w:proofErr w:type="spellStart"/>
      <w:r>
        <w:rPr>
          <w:rFonts w:ascii="Times New Roman" w:eastAsia="Times New Roman" w:hAnsi="Times New Roman" w:cs="Times New Roman"/>
          <w:sz w:val="24"/>
          <w:szCs w:val="24"/>
          <w:highlight w:val="white"/>
        </w:rPr>
        <w:t>bagi</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mengekalkan</w:t>
      </w:r>
      <w:proofErr w:type="spellEnd"/>
      <w:r>
        <w:rPr>
          <w:rFonts w:ascii="Times New Roman" w:eastAsia="Times New Roman" w:hAnsi="Times New Roman" w:cs="Times New Roman"/>
          <w:sz w:val="24"/>
          <w:szCs w:val="24"/>
          <w:highlight w:val="white"/>
        </w:rPr>
        <w:t xml:space="preserve"> standard yang </w:t>
      </w:r>
      <w:proofErr w:type="spellStart"/>
      <w:r>
        <w:rPr>
          <w:rFonts w:ascii="Times New Roman" w:eastAsia="Times New Roman" w:hAnsi="Times New Roman" w:cs="Times New Roman"/>
          <w:sz w:val="24"/>
          <w:szCs w:val="24"/>
          <w:highlight w:val="white"/>
        </w:rPr>
        <w:t>tinggi</w:t>
      </w:r>
      <w:proofErr w:type="spellEnd"/>
      <w:r>
        <w:rPr>
          <w:rFonts w:ascii="Times New Roman" w:eastAsia="Times New Roman" w:hAnsi="Times New Roman" w:cs="Times New Roman"/>
          <w:sz w:val="24"/>
          <w:szCs w:val="24"/>
          <w:highlight w:val="white"/>
        </w:rPr>
        <w:t xml:space="preserve"> di </w:t>
      </w:r>
      <w:proofErr w:type="spellStart"/>
      <w:r>
        <w:rPr>
          <w:rFonts w:ascii="Times New Roman" w:eastAsia="Times New Roman" w:hAnsi="Times New Roman" w:cs="Times New Roman"/>
          <w:sz w:val="24"/>
          <w:szCs w:val="24"/>
          <w:highlight w:val="white"/>
        </w:rPr>
        <w:t>dalam</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mahkamah</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pergantungan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ke</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atas</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pliding</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tidak</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boleh</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berhenti</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setakat</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formaliti</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semata-mata</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Seterusnya</w:t>
      </w:r>
      <w:proofErr w:type="spellEnd"/>
      <w:r>
        <w:rPr>
          <w:rFonts w:ascii="Times New Roman" w:eastAsia="Times New Roman" w:hAnsi="Times New Roman" w:cs="Times New Roman"/>
          <w:sz w:val="24"/>
          <w:szCs w:val="24"/>
          <w:highlight w:val="white"/>
        </w:rPr>
        <w:t xml:space="preserve">, di </w:t>
      </w:r>
      <w:proofErr w:type="spellStart"/>
      <w:r>
        <w:rPr>
          <w:rFonts w:ascii="Times New Roman" w:eastAsia="Times New Roman" w:hAnsi="Times New Roman" w:cs="Times New Roman"/>
          <w:sz w:val="24"/>
          <w:szCs w:val="24"/>
          <w:highlight w:val="white"/>
        </w:rPr>
        <w:t>dalam</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b/>
          <w:i/>
          <w:sz w:val="24"/>
          <w:szCs w:val="24"/>
          <w:highlight w:val="white"/>
        </w:rPr>
        <w:t>Ferrel</w:t>
      </w:r>
      <w:proofErr w:type="spellEnd"/>
      <w:r>
        <w:rPr>
          <w:rFonts w:ascii="Times New Roman" w:eastAsia="Times New Roman" w:hAnsi="Times New Roman" w:cs="Times New Roman"/>
          <w:b/>
          <w:i/>
          <w:sz w:val="24"/>
          <w:szCs w:val="24"/>
          <w:highlight w:val="white"/>
        </w:rPr>
        <w:t xml:space="preserve"> v Secretary of State</w:t>
      </w:r>
      <w:r>
        <w:rPr>
          <w:rFonts w:ascii="Times New Roman" w:eastAsia="Times New Roman" w:hAnsi="Times New Roman" w:cs="Times New Roman"/>
          <w:b/>
          <w:i/>
          <w:sz w:val="24"/>
          <w:szCs w:val="24"/>
          <w:highlight w:val="white"/>
          <w:vertAlign w:val="superscript"/>
        </w:rPr>
        <w:footnoteReference w:id="3"/>
      </w:r>
      <w:r>
        <w:rPr>
          <w:rFonts w:ascii="Times New Roman" w:eastAsia="Times New Roman" w:hAnsi="Times New Roman" w:cs="Times New Roman"/>
          <w:i/>
          <w:sz w:val="24"/>
          <w:szCs w:val="24"/>
          <w:highlight w:val="white"/>
        </w:rPr>
        <w:t>.</w:t>
      </w:r>
      <w:r>
        <w:rPr>
          <w:rFonts w:ascii="Times New Roman" w:eastAsia="Times New Roman" w:hAnsi="Times New Roman" w:cs="Times New Roman"/>
          <w:b/>
          <w:i/>
          <w:sz w:val="24"/>
          <w:szCs w:val="24"/>
          <w:highlight w:val="white"/>
        </w:rPr>
        <w:t xml:space="preserve"> </w:t>
      </w:r>
      <w:proofErr w:type="spellStart"/>
      <w:r>
        <w:rPr>
          <w:rFonts w:ascii="Times New Roman" w:eastAsia="Times New Roman" w:hAnsi="Times New Roman" w:cs="Times New Roman"/>
          <w:sz w:val="24"/>
          <w:szCs w:val="24"/>
          <w:highlight w:val="white"/>
        </w:rPr>
        <w:t>Mahkamah</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telah</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memutuskan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bahawa</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pliding</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memainkan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peranan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utama</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dalam</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tindakan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sivil</w:t>
      </w:r>
      <w:proofErr w:type="spellEnd"/>
      <w:r>
        <w:rPr>
          <w:rFonts w:ascii="Times New Roman" w:eastAsia="Times New Roman" w:hAnsi="Times New Roman" w:cs="Times New Roman"/>
          <w:sz w:val="24"/>
          <w:szCs w:val="24"/>
          <w:highlight w:val="white"/>
        </w:rPr>
        <w:t>.</w:t>
      </w:r>
      <w:r>
        <w:rPr>
          <w:rFonts w:ascii="Times New Roman" w:eastAsia="Times New Roman" w:hAnsi="Times New Roman" w:cs="Times New Roman"/>
          <w:color w:val="FF0000"/>
          <w:sz w:val="24"/>
          <w:szCs w:val="24"/>
          <w:highlight w:val="white"/>
        </w:rPr>
        <w:t xml:space="preserve"> </w:t>
      </w:r>
      <w:proofErr w:type="spellStart"/>
      <w:r>
        <w:rPr>
          <w:rFonts w:ascii="Times New Roman" w:eastAsia="Times New Roman" w:hAnsi="Times New Roman" w:cs="Times New Roman"/>
          <w:sz w:val="24"/>
          <w:szCs w:val="24"/>
          <w:highlight w:val="white"/>
        </w:rPr>
        <w:t>Pliding</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tidak</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boleh</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dihiraukan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begitu</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sahaja</w:t>
      </w:r>
      <w:proofErr w:type="spellEnd"/>
      <w:r>
        <w:rPr>
          <w:rFonts w:ascii="Times New Roman" w:eastAsia="Times New Roman" w:hAnsi="Times New Roman" w:cs="Times New Roman"/>
          <w:sz w:val="24"/>
          <w:szCs w:val="24"/>
          <w:highlight w:val="white"/>
        </w:rPr>
        <w:t xml:space="preserve"> kerana </w:t>
      </w:r>
      <w:proofErr w:type="spellStart"/>
      <w:r>
        <w:rPr>
          <w:rFonts w:ascii="Times New Roman" w:eastAsia="Times New Roman" w:hAnsi="Times New Roman" w:cs="Times New Roman"/>
          <w:sz w:val="24"/>
          <w:szCs w:val="24"/>
          <w:highlight w:val="white"/>
        </w:rPr>
        <w:t>ia</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adalah</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penting</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Rentetan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dari</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itu</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pliding</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masih</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lagi</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boleh</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digunakan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bagi</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membuktikan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persoalan</w:t>
      </w:r>
      <w:proofErr w:type="spellEnd"/>
      <w:r>
        <w:rPr>
          <w:rFonts w:ascii="Times New Roman" w:eastAsia="Times New Roman" w:hAnsi="Times New Roman" w:cs="Times New Roman"/>
          <w:sz w:val="24"/>
          <w:szCs w:val="24"/>
          <w:highlight w:val="white"/>
        </w:rPr>
        <w:t xml:space="preserve"> dan </w:t>
      </w:r>
      <w:proofErr w:type="spellStart"/>
      <w:r>
        <w:rPr>
          <w:rFonts w:ascii="Times New Roman" w:eastAsia="Times New Roman" w:hAnsi="Times New Roman" w:cs="Times New Roman"/>
          <w:sz w:val="24"/>
          <w:szCs w:val="24"/>
          <w:highlight w:val="white"/>
        </w:rPr>
        <w:t>isi</w:t>
      </w:r>
      <w:proofErr w:type="spellEnd"/>
      <w:r>
        <w:rPr>
          <w:rFonts w:ascii="Times New Roman" w:eastAsia="Times New Roman" w:hAnsi="Times New Roman" w:cs="Times New Roman"/>
          <w:sz w:val="24"/>
          <w:szCs w:val="24"/>
          <w:highlight w:val="white"/>
        </w:rPr>
        <w:t xml:space="preserve"> yang </w:t>
      </w:r>
      <w:proofErr w:type="spellStart"/>
      <w:r>
        <w:rPr>
          <w:rFonts w:ascii="Times New Roman" w:eastAsia="Times New Roman" w:hAnsi="Times New Roman" w:cs="Times New Roman"/>
          <w:sz w:val="24"/>
          <w:szCs w:val="24"/>
          <w:highlight w:val="white"/>
        </w:rPr>
        <w:t>penting</w:t>
      </w:r>
      <w:proofErr w:type="spellEnd"/>
      <w:r>
        <w:rPr>
          <w:rFonts w:ascii="Times New Roman" w:eastAsia="Times New Roman" w:hAnsi="Times New Roman" w:cs="Times New Roman"/>
          <w:sz w:val="24"/>
          <w:szCs w:val="24"/>
          <w:highlight w:val="white"/>
        </w:rPr>
        <w:t xml:space="preserve">, di </w:t>
      </w:r>
      <w:proofErr w:type="spellStart"/>
      <w:r>
        <w:rPr>
          <w:rFonts w:ascii="Times New Roman" w:eastAsia="Times New Roman" w:hAnsi="Times New Roman" w:cs="Times New Roman"/>
          <w:sz w:val="24"/>
          <w:szCs w:val="24"/>
          <w:highlight w:val="white"/>
        </w:rPr>
        <w:t>samping</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bertujuan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untuk</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mendefinisikan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isu</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Seterusnya</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pliding</w:t>
      </w:r>
      <w:proofErr w:type="spellEnd"/>
      <w:r>
        <w:rPr>
          <w:rFonts w:ascii="Times New Roman" w:eastAsia="Times New Roman" w:hAnsi="Times New Roman" w:cs="Times New Roman"/>
          <w:sz w:val="24"/>
          <w:szCs w:val="24"/>
          <w:highlight w:val="white"/>
        </w:rPr>
        <w:t xml:space="preserve"> juga </w:t>
      </w:r>
      <w:proofErr w:type="spellStart"/>
      <w:r>
        <w:rPr>
          <w:rFonts w:ascii="Times New Roman" w:eastAsia="Times New Roman" w:hAnsi="Times New Roman" w:cs="Times New Roman"/>
          <w:sz w:val="24"/>
          <w:szCs w:val="24"/>
          <w:highlight w:val="white"/>
        </w:rPr>
        <w:t>bertujuan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untuk</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memaklumkan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pihak-pihak</w:t>
      </w:r>
      <w:proofErr w:type="spellEnd"/>
      <w:r>
        <w:rPr>
          <w:rFonts w:ascii="Times New Roman" w:eastAsia="Times New Roman" w:hAnsi="Times New Roman" w:cs="Times New Roman"/>
          <w:sz w:val="24"/>
          <w:szCs w:val="24"/>
          <w:highlight w:val="white"/>
        </w:rPr>
        <w:t xml:space="preserve"> yang </w:t>
      </w:r>
      <w:proofErr w:type="spellStart"/>
      <w:r>
        <w:rPr>
          <w:rFonts w:ascii="Times New Roman" w:eastAsia="Times New Roman" w:hAnsi="Times New Roman" w:cs="Times New Roman"/>
          <w:sz w:val="24"/>
          <w:szCs w:val="24"/>
          <w:highlight w:val="white"/>
        </w:rPr>
        <w:t>terlibat</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dengan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lebih</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awal</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mengenai</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tindakan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sivil</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tersebut</w:t>
      </w:r>
      <w:proofErr w:type="spellEnd"/>
      <w:r>
        <w:rPr>
          <w:rFonts w:ascii="Times New Roman" w:eastAsia="Times New Roman" w:hAnsi="Times New Roman" w:cs="Times New Roman"/>
          <w:sz w:val="24"/>
          <w:szCs w:val="24"/>
          <w:highlight w:val="white"/>
        </w:rPr>
        <w:t xml:space="preserve"> dan </w:t>
      </w:r>
      <w:proofErr w:type="spellStart"/>
      <w:r>
        <w:rPr>
          <w:rFonts w:ascii="Times New Roman" w:eastAsia="Times New Roman" w:hAnsi="Times New Roman" w:cs="Times New Roman"/>
          <w:sz w:val="24"/>
          <w:szCs w:val="24"/>
          <w:highlight w:val="white"/>
        </w:rPr>
        <w:t>seterusnya</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membolehkan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pihak-pihak</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untuk</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menentukan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apakah</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langkah</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seterusnya</w:t>
      </w:r>
      <w:proofErr w:type="spellEnd"/>
      <w:r>
        <w:rPr>
          <w:rFonts w:ascii="Times New Roman" w:eastAsia="Times New Roman" w:hAnsi="Times New Roman" w:cs="Times New Roman"/>
          <w:sz w:val="24"/>
          <w:szCs w:val="24"/>
          <w:highlight w:val="white"/>
        </w:rPr>
        <w:t xml:space="preserve"> yang </w:t>
      </w:r>
      <w:proofErr w:type="spellStart"/>
      <w:r>
        <w:rPr>
          <w:rFonts w:ascii="Times New Roman" w:eastAsia="Times New Roman" w:hAnsi="Times New Roman" w:cs="Times New Roman"/>
          <w:sz w:val="24"/>
          <w:szCs w:val="24"/>
          <w:highlight w:val="white"/>
        </w:rPr>
        <w:t>perlu</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diambil</w:t>
      </w:r>
      <w:proofErr w:type="spellEnd"/>
      <w:r>
        <w:rPr>
          <w:rFonts w:ascii="Times New Roman" w:eastAsia="Times New Roman" w:hAnsi="Times New Roman" w:cs="Times New Roman"/>
          <w:sz w:val="24"/>
          <w:szCs w:val="24"/>
          <w:highlight w:val="white"/>
        </w:rPr>
        <w:t>.</w:t>
      </w:r>
    </w:p>
    <w:p w14:paraId="00000022" w14:textId="77777777" w:rsidR="00E97409" w:rsidRDefault="00E97409" w:rsidP="00690802">
      <w:pPr>
        <w:spacing w:after="0" w:line="240" w:lineRule="auto"/>
        <w:jc w:val="both"/>
        <w:rPr>
          <w:rFonts w:ascii="Times New Roman" w:eastAsia="Times New Roman" w:hAnsi="Times New Roman" w:cs="Times New Roman"/>
          <w:sz w:val="24"/>
          <w:szCs w:val="24"/>
          <w:highlight w:val="white"/>
        </w:rPr>
      </w:pPr>
    </w:p>
    <w:p w14:paraId="00000023" w14:textId="77777777" w:rsidR="00E97409" w:rsidRDefault="007741DD" w:rsidP="00690802">
      <w:pPr>
        <w:spacing w:after="0" w:line="240" w:lineRule="auto"/>
        <w:ind w:firstLine="720"/>
        <w:jc w:val="both"/>
        <w:rPr>
          <w:rFonts w:ascii="Times New Roman" w:eastAsia="Times New Roman" w:hAnsi="Times New Roman" w:cs="Times New Roman"/>
          <w:sz w:val="24"/>
          <w:szCs w:val="24"/>
          <w:highlight w:val="white"/>
        </w:rPr>
      </w:pPr>
      <w:proofErr w:type="spellStart"/>
      <w:r>
        <w:rPr>
          <w:rFonts w:ascii="Times New Roman" w:eastAsia="Times New Roman" w:hAnsi="Times New Roman" w:cs="Times New Roman"/>
          <w:sz w:val="24"/>
          <w:szCs w:val="24"/>
          <w:highlight w:val="white"/>
        </w:rPr>
        <w:t>Maka</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ini</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membawa</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ke</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persoalan</w:t>
      </w:r>
      <w:proofErr w:type="spellEnd"/>
      <w:r>
        <w:rPr>
          <w:rFonts w:ascii="Times New Roman" w:eastAsia="Times New Roman" w:hAnsi="Times New Roman" w:cs="Times New Roman"/>
          <w:sz w:val="24"/>
          <w:szCs w:val="24"/>
          <w:highlight w:val="white"/>
        </w:rPr>
        <w:t xml:space="preserve"> yang </w:t>
      </w:r>
      <w:proofErr w:type="spellStart"/>
      <w:r>
        <w:rPr>
          <w:rFonts w:ascii="Times New Roman" w:eastAsia="Times New Roman" w:hAnsi="Times New Roman" w:cs="Times New Roman"/>
          <w:sz w:val="24"/>
          <w:szCs w:val="24"/>
          <w:highlight w:val="white"/>
        </w:rPr>
        <w:t>seterusnya</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iaitu</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apakah</w:t>
      </w:r>
      <w:proofErr w:type="spellEnd"/>
      <w:r>
        <w:rPr>
          <w:rFonts w:ascii="Times New Roman" w:eastAsia="Times New Roman" w:hAnsi="Times New Roman" w:cs="Times New Roman"/>
          <w:sz w:val="24"/>
          <w:szCs w:val="24"/>
          <w:highlight w:val="white"/>
        </w:rPr>
        <w:t xml:space="preserve"> yang </w:t>
      </w:r>
      <w:proofErr w:type="spellStart"/>
      <w:r>
        <w:rPr>
          <w:rFonts w:ascii="Times New Roman" w:eastAsia="Times New Roman" w:hAnsi="Times New Roman" w:cs="Times New Roman"/>
          <w:sz w:val="24"/>
          <w:szCs w:val="24"/>
          <w:highlight w:val="white"/>
        </w:rPr>
        <w:t>menyebabkan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pliding</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dikira</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sebagai</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sesuatu</w:t>
      </w:r>
      <w:proofErr w:type="spellEnd"/>
      <w:r>
        <w:rPr>
          <w:rFonts w:ascii="Times New Roman" w:eastAsia="Times New Roman" w:hAnsi="Times New Roman" w:cs="Times New Roman"/>
          <w:sz w:val="24"/>
          <w:szCs w:val="24"/>
          <w:highlight w:val="white"/>
        </w:rPr>
        <w:t xml:space="preserve"> yang </w:t>
      </w:r>
      <w:proofErr w:type="spellStart"/>
      <w:r>
        <w:rPr>
          <w:rFonts w:ascii="Times New Roman" w:eastAsia="Times New Roman" w:hAnsi="Times New Roman" w:cs="Times New Roman"/>
          <w:sz w:val="24"/>
          <w:szCs w:val="24"/>
          <w:highlight w:val="white"/>
        </w:rPr>
        <w:t>penting</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dalam</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tindakan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sivil</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Bagi</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menjawab</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persoalan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ini</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fungsi</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pliding</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dikaji</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dengan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teliti</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Didapati</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bahawa</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pliding</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berfungsi</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untuk</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memberi</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notis</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terhadap</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pihak</w:t>
      </w:r>
      <w:proofErr w:type="spellEnd"/>
      <w:r>
        <w:rPr>
          <w:rFonts w:ascii="Times New Roman" w:eastAsia="Times New Roman" w:hAnsi="Times New Roman" w:cs="Times New Roman"/>
          <w:sz w:val="24"/>
          <w:szCs w:val="24"/>
          <w:highlight w:val="white"/>
        </w:rPr>
        <w:t xml:space="preserve"> yang </w:t>
      </w:r>
      <w:proofErr w:type="spellStart"/>
      <w:r>
        <w:rPr>
          <w:rFonts w:ascii="Times New Roman" w:eastAsia="Times New Roman" w:hAnsi="Times New Roman" w:cs="Times New Roman"/>
          <w:sz w:val="24"/>
          <w:szCs w:val="24"/>
          <w:highlight w:val="white"/>
        </w:rPr>
        <w:t>terlibat</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dengan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tindakan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sivil</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tersebut</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Ia</w:t>
      </w:r>
      <w:proofErr w:type="spellEnd"/>
      <w:r>
        <w:rPr>
          <w:rFonts w:ascii="Times New Roman" w:eastAsia="Times New Roman" w:hAnsi="Times New Roman" w:cs="Times New Roman"/>
          <w:sz w:val="24"/>
          <w:szCs w:val="24"/>
          <w:highlight w:val="white"/>
        </w:rPr>
        <w:t xml:space="preserve"> juga </w:t>
      </w:r>
      <w:proofErr w:type="spellStart"/>
      <w:r>
        <w:rPr>
          <w:rFonts w:ascii="Times New Roman" w:eastAsia="Times New Roman" w:hAnsi="Times New Roman" w:cs="Times New Roman"/>
          <w:sz w:val="24"/>
          <w:szCs w:val="24"/>
          <w:highlight w:val="white"/>
        </w:rPr>
        <w:t>berfungsi</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untuk</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penentuan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isu-isu</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penting</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bagi</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memudahkan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mahkamah</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untuk</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mengadili</w:t>
      </w:r>
      <w:proofErr w:type="spellEnd"/>
      <w:r>
        <w:rPr>
          <w:rFonts w:ascii="Times New Roman" w:eastAsia="Times New Roman" w:hAnsi="Times New Roman" w:cs="Times New Roman"/>
          <w:sz w:val="24"/>
          <w:szCs w:val="24"/>
          <w:highlight w:val="white"/>
        </w:rPr>
        <w:t xml:space="preserve"> dan </w:t>
      </w:r>
      <w:proofErr w:type="spellStart"/>
      <w:r>
        <w:rPr>
          <w:rFonts w:ascii="Times New Roman" w:eastAsia="Times New Roman" w:hAnsi="Times New Roman" w:cs="Times New Roman"/>
          <w:sz w:val="24"/>
          <w:szCs w:val="24"/>
          <w:highlight w:val="white"/>
        </w:rPr>
        <w:t>menyelesaikan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pertikaian</w:t>
      </w:r>
      <w:proofErr w:type="spellEnd"/>
      <w:r>
        <w:rPr>
          <w:rFonts w:ascii="Times New Roman" w:eastAsia="Times New Roman" w:hAnsi="Times New Roman" w:cs="Times New Roman"/>
          <w:sz w:val="24"/>
          <w:szCs w:val="24"/>
          <w:highlight w:val="white"/>
        </w:rPr>
        <w:t xml:space="preserve"> di </w:t>
      </w:r>
      <w:proofErr w:type="spellStart"/>
      <w:r>
        <w:rPr>
          <w:rFonts w:ascii="Times New Roman" w:eastAsia="Times New Roman" w:hAnsi="Times New Roman" w:cs="Times New Roman"/>
          <w:sz w:val="24"/>
          <w:szCs w:val="24"/>
          <w:highlight w:val="white"/>
        </w:rPr>
        <w:t>antara</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pihak</w:t>
      </w:r>
      <w:proofErr w:type="spellEnd"/>
      <w:r>
        <w:rPr>
          <w:rFonts w:ascii="Times New Roman" w:eastAsia="Times New Roman" w:hAnsi="Times New Roman" w:cs="Times New Roman"/>
          <w:sz w:val="24"/>
          <w:szCs w:val="24"/>
          <w:highlight w:val="white"/>
        </w:rPr>
        <w:t xml:space="preserve"> yang </w:t>
      </w:r>
      <w:proofErr w:type="spellStart"/>
      <w:r>
        <w:rPr>
          <w:rFonts w:ascii="Times New Roman" w:eastAsia="Times New Roman" w:hAnsi="Times New Roman" w:cs="Times New Roman"/>
          <w:sz w:val="24"/>
          <w:szCs w:val="24"/>
          <w:highlight w:val="white"/>
        </w:rPr>
        <w:t>terlibat</w:t>
      </w:r>
      <w:proofErr w:type="spellEnd"/>
      <w:r>
        <w:rPr>
          <w:rFonts w:ascii="Times New Roman" w:eastAsia="Times New Roman" w:hAnsi="Times New Roman" w:cs="Times New Roman"/>
          <w:sz w:val="24"/>
          <w:szCs w:val="24"/>
          <w:highlight w:val="white"/>
        </w:rPr>
        <w:t xml:space="preserve">. Oleh </w:t>
      </w:r>
      <w:proofErr w:type="spellStart"/>
      <w:r>
        <w:rPr>
          <w:rFonts w:ascii="Times New Roman" w:eastAsia="Times New Roman" w:hAnsi="Times New Roman" w:cs="Times New Roman"/>
          <w:sz w:val="24"/>
          <w:szCs w:val="24"/>
          <w:highlight w:val="white"/>
        </w:rPr>
        <w:t>itu</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ini</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menyebabkan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pihak-pihak</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dalam</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kes</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untuk</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terikat</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dengan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apa</w:t>
      </w:r>
      <w:proofErr w:type="spellEnd"/>
      <w:r>
        <w:rPr>
          <w:rFonts w:ascii="Times New Roman" w:eastAsia="Times New Roman" w:hAnsi="Times New Roman" w:cs="Times New Roman"/>
          <w:sz w:val="24"/>
          <w:szCs w:val="24"/>
          <w:highlight w:val="white"/>
        </w:rPr>
        <w:t xml:space="preserve"> yang </w:t>
      </w:r>
      <w:proofErr w:type="spellStart"/>
      <w:r>
        <w:rPr>
          <w:rFonts w:ascii="Times New Roman" w:eastAsia="Times New Roman" w:hAnsi="Times New Roman" w:cs="Times New Roman"/>
          <w:sz w:val="24"/>
          <w:szCs w:val="24"/>
          <w:highlight w:val="white"/>
        </w:rPr>
        <w:t>terdapat</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dalam</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pliding</w:t>
      </w:r>
      <w:proofErr w:type="spellEnd"/>
      <w:r>
        <w:rPr>
          <w:rFonts w:ascii="Times New Roman" w:eastAsia="Times New Roman" w:hAnsi="Times New Roman" w:cs="Times New Roman"/>
          <w:sz w:val="24"/>
          <w:szCs w:val="24"/>
          <w:highlight w:val="white"/>
        </w:rPr>
        <w:t xml:space="preserve"> dan </w:t>
      </w:r>
      <w:proofErr w:type="spellStart"/>
      <w:r>
        <w:rPr>
          <w:rFonts w:ascii="Times New Roman" w:eastAsia="Times New Roman" w:hAnsi="Times New Roman" w:cs="Times New Roman"/>
          <w:sz w:val="24"/>
          <w:szCs w:val="24"/>
          <w:highlight w:val="white"/>
        </w:rPr>
        <w:t>ia</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diterhadkan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hanya</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setakat</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apa</w:t>
      </w:r>
      <w:proofErr w:type="spellEnd"/>
      <w:r>
        <w:rPr>
          <w:rFonts w:ascii="Times New Roman" w:eastAsia="Times New Roman" w:hAnsi="Times New Roman" w:cs="Times New Roman"/>
          <w:sz w:val="24"/>
          <w:szCs w:val="24"/>
          <w:highlight w:val="white"/>
        </w:rPr>
        <w:t xml:space="preserve"> yang </w:t>
      </w:r>
      <w:proofErr w:type="spellStart"/>
      <w:r>
        <w:rPr>
          <w:rFonts w:ascii="Times New Roman" w:eastAsia="Times New Roman" w:hAnsi="Times New Roman" w:cs="Times New Roman"/>
          <w:sz w:val="24"/>
          <w:szCs w:val="24"/>
          <w:highlight w:val="white"/>
        </w:rPr>
        <w:t>telah</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dibangkitkan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sewaktu</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peringkat</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pliding</w:t>
      </w:r>
      <w:proofErr w:type="spellEnd"/>
      <w:r>
        <w:rPr>
          <w:rFonts w:ascii="Times New Roman" w:eastAsia="Times New Roman" w:hAnsi="Times New Roman" w:cs="Times New Roman"/>
          <w:sz w:val="24"/>
          <w:szCs w:val="24"/>
          <w:highlight w:val="white"/>
          <w:vertAlign w:val="superscript"/>
        </w:rPr>
        <w:footnoteReference w:id="4"/>
      </w:r>
      <w:r>
        <w:rPr>
          <w:rFonts w:ascii="Times New Roman" w:eastAsia="Times New Roman" w:hAnsi="Times New Roman" w:cs="Times New Roman"/>
          <w:sz w:val="24"/>
          <w:szCs w:val="24"/>
          <w:highlight w:val="white"/>
        </w:rPr>
        <w:t xml:space="preserve">. </w:t>
      </w:r>
    </w:p>
    <w:p w14:paraId="00000024" w14:textId="77777777" w:rsidR="00E97409" w:rsidRDefault="00E97409" w:rsidP="00690802">
      <w:pPr>
        <w:spacing w:after="0" w:line="240" w:lineRule="auto"/>
        <w:jc w:val="both"/>
        <w:rPr>
          <w:rFonts w:ascii="Times New Roman" w:eastAsia="Times New Roman" w:hAnsi="Times New Roman" w:cs="Times New Roman"/>
          <w:sz w:val="24"/>
          <w:szCs w:val="24"/>
          <w:highlight w:val="white"/>
        </w:rPr>
      </w:pPr>
    </w:p>
    <w:p w14:paraId="00000025" w14:textId="77777777" w:rsidR="00E97409" w:rsidRDefault="007741DD" w:rsidP="00690802">
      <w:pPr>
        <w:spacing w:after="0" w:line="240" w:lineRule="auto"/>
        <w:ind w:firstLine="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Oleh </w:t>
      </w:r>
      <w:proofErr w:type="spellStart"/>
      <w:r>
        <w:rPr>
          <w:rFonts w:ascii="Times New Roman" w:eastAsia="Times New Roman" w:hAnsi="Times New Roman" w:cs="Times New Roman"/>
          <w:sz w:val="24"/>
          <w:szCs w:val="24"/>
          <w:highlight w:val="white"/>
        </w:rPr>
        <w:t>itu</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kes</w:t>
      </w:r>
      <w:proofErr w:type="spellEnd"/>
      <w:r>
        <w:rPr>
          <w:rFonts w:ascii="Times New Roman" w:eastAsia="Times New Roman" w:hAnsi="Times New Roman" w:cs="Times New Roman"/>
          <w:sz w:val="24"/>
          <w:szCs w:val="24"/>
          <w:highlight w:val="white"/>
        </w:rPr>
        <w:t xml:space="preserve"> yang </w:t>
      </w:r>
      <w:proofErr w:type="spellStart"/>
      <w:r>
        <w:rPr>
          <w:rFonts w:ascii="Times New Roman" w:eastAsia="Times New Roman" w:hAnsi="Times New Roman" w:cs="Times New Roman"/>
          <w:sz w:val="24"/>
          <w:szCs w:val="24"/>
          <w:highlight w:val="white"/>
        </w:rPr>
        <w:t>relevan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ialah</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kes</w:t>
      </w:r>
      <w:proofErr w:type="spellEnd"/>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b/>
          <w:i/>
          <w:sz w:val="24"/>
          <w:szCs w:val="24"/>
          <w:highlight w:val="white"/>
        </w:rPr>
        <w:t xml:space="preserve">Novotel </w:t>
      </w:r>
      <w:proofErr w:type="spellStart"/>
      <w:r>
        <w:rPr>
          <w:rFonts w:ascii="Times New Roman" w:eastAsia="Times New Roman" w:hAnsi="Times New Roman" w:cs="Times New Roman"/>
          <w:b/>
          <w:i/>
          <w:sz w:val="24"/>
          <w:szCs w:val="24"/>
          <w:highlight w:val="white"/>
        </w:rPr>
        <w:t>Societe</w:t>
      </w:r>
      <w:proofErr w:type="spellEnd"/>
      <w:r>
        <w:rPr>
          <w:rFonts w:ascii="Times New Roman" w:eastAsia="Times New Roman" w:hAnsi="Times New Roman" w:cs="Times New Roman"/>
          <w:b/>
          <w:i/>
          <w:sz w:val="24"/>
          <w:szCs w:val="24"/>
          <w:highlight w:val="white"/>
        </w:rPr>
        <w:t xml:space="preserve"> </w:t>
      </w:r>
      <w:proofErr w:type="spellStart"/>
      <w:r>
        <w:rPr>
          <w:rFonts w:ascii="Times New Roman" w:eastAsia="Times New Roman" w:hAnsi="Times New Roman" w:cs="Times New Roman"/>
          <w:b/>
          <w:i/>
          <w:sz w:val="24"/>
          <w:szCs w:val="24"/>
          <w:highlight w:val="white"/>
        </w:rPr>
        <w:t>d’Investissements</w:t>
      </w:r>
      <w:proofErr w:type="spellEnd"/>
      <w:r>
        <w:rPr>
          <w:rFonts w:ascii="Times New Roman" w:eastAsia="Times New Roman" w:hAnsi="Times New Roman" w:cs="Times New Roman"/>
          <w:b/>
          <w:i/>
          <w:sz w:val="24"/>
          <w:szCs w:val="24"/>
          <w:highlight w:val="white"/>
        </w:rPr>
        <w:t xml:space="preserve"> et </w:t>
      </w:r>
      <w:proofErr w:type="spellStart"/>
      <w:r>
        <w:rPr>
          <w:rFonts w:ascii="Times New Roman" w:eastAsia="Times New Roman" w:hAnsi="Times New Roman" w:cs="Times New Roman"/>
          <w:b/>
          <w:i/>
          <w:sz w:val="24"/>
          <w:szCs w:val="24"/>
          <w:highlight w:val="white"/>
        </w:rPr>
        <w:t>d’Exploitation</w:t>
      </w:r>
      <w:proofErr w:type="spellEnd"/>
      <w:r>
        <w:rPr>
          <w:rFonts w:ascii="Times New Roman" w:eastAsia="Times New Roman" w:hAnsi="Times New Roman" w:cs="Times New Roman"/>
          <w:b/>
          <w:i/>
          <w:sz w:val="24"/>
          <w:szCs w:val="24"/>
          <w:highlight w:val="white"/>
        </w:rPr>
        <w:t xml:space="preserve"> Hoteliers &amp; Anor v </w:t>
      </w:r>
      <w:proofErr w:type="spellStart"/>
      <w:r>
        <w:rPr>
          <w:rFonts w:ascii="Times New Roman" w:eastAsia="Times New Roman" w:hAnsi="Times New Roman" w:cs="Times New Roman"/>
          <w:b/>
          <w:i/>
          <w:sz w:val="24"/>
          <w:szCs w:val="24"/>
          <w:highlight w:val="white"/>
        </w:rPr>
        <w:t>Pernas</w:t>
      </w:r>
      <w:proofErr w:type="spellEnd"/>
      <w:r>
        <w:rPr>
          <w:rFonts w:ascii="Times New Roman" w:eastAsia="Times New Roman" w:hAnsi="Times New Roman" w:cs="Times New Roman"/>
          <w:b/>
          <w:i/>
          <w:sz w:val="24"/>
          <w:szCs w:val="24"/>
          <w:highlight w:val="white"/>
        </w:rPr>
        <w:t xml:space="preserve"> Hotel Chain (Selangor)</w:t>
      </w:r>
      <w:r>
        <w:rPr>
          <w:rFonts w:ascii="Times New Roman" w:eastAsia="Times New Roman" w:hAnsi="Times New Roman" w:cs="Times New Roman"/>
          <w:b/>
          <w:i/>
          <w:sz w:val="24"/>
          <w:szCs w:val="24"/>
          <w:highlight w:val="white"/>
          <w:vertAlign w:val="superscript"/>
        </w:rPr>
        <w:footnoteReference w:id="5"/>
      </w:r>
      <w:r>
        <w:rPr>
          <w:rFonts w:ascii="Times New Roman" w:eastAsia="Times New Roman" w:hAnsi="Times New Roman" w:cs="Times New Roman"/>
          <w:b/>
          <w:i/>
          <w:sz w:val="24"/>
          <w:szCs w:val="24"/>
          <w:highlight w:val="white"/>
        </w:rPr>
        <w:t xml:space="preserve"> </w:t>
      </w:r>
      <w:r>
        <w:rPr>
          <w:rFonts w:ascii="Times New Roman" w:eastAsia="Times New Roman" w:hAnsi="Times New Roman" w:cs="Times New Roman"/>
          <w:sz w:val="24"/>
          <w:szCs w:val="24"/>
          <w:highlight w:val="white"/>
        </w:rPr>
        <w:t xml:space="preserve">di mana Mohamed Azmi SCJ </w:t>
      </w:r>
      <w:proofErr w:type="spellStart"/>
      <w:r>
        <w:rPr>
          <w:rFonts w:ascii="Times New Roman" w:eastAsia="Times New Roman" w:hAnsi="Times New Roman" w:cs="Times New Roman"/>
          <w:sz w:val="24"/>
          <w:szCs w:val="24"/>
          <w:highlight w:val="white"/>
        </w:rPr>
        <w:t>telah</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menyatakan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bahawa</w:t>
      </w:r>
      <w:proofErr w:type="spellEnd"/>
      <w:r>
        <w:rPr>
          <w:rFonts w:ascii="Times New Roman" w:eastAsia="Times New Roman" w:hAnsi="Times New Roman" w:cs="Times New Roman"/>
          <w:sz w:val="24"/>
          <w:szCs w:val="24"/>
          <w:highlight w:val="white"/>
        </w:rPr>
        <w:t xml:space="preserve"> Novotel </w:t>
      </w:r>
      <w:proofErr w:type="spellStart"/>
      <w:r>
        <w:rPr>
          <w:rFonts w:ascii="Times New Roman" w:eastAsia="Times New Roman" w:hAnsi="Times New Roman" w:cs="Times New Roman"/>
          <w:sz w:val="24"/>
          <w:szCs w:val="24"/>
          <w:highlight w:val="white"/>
        </w:rPr>
        <w:t>adalah</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terikat</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kepada</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pliding</w:t>
      </w:r>
      <w:proofErr w:type="spellEnd"/>
      <w:r>
        <w:rPr>
          <w:rFonts w:ascii="Times New Roman" w:eastAsia="Times New Roman" w:hAnsi="Times New Roman" w:cs="Times New Roman"/>
          <w:sz w:val="24"/>
          <w:szCs w:val="24"/>
          <w:highlight w:val="white"/>
        </w:rPr>
        <w:t xml:space="preserve">. Oleh </w:t>
      </w:r>
      <w:proofErr w:type="spellStart"/>
      <w:r>
        <w:rPr>
          <w:rFonts w:ascii="Times New Roman" w:eastAsia="Times New Roman" w:hAnsi="Times New Roman" w:cs="Times New Roman"/>
          <w:sz w:val="24"/>
          <w:szCs w:val="24"/>
          <w:highlight w:val="white"/>
        </w:rPr>
        <w:t>itu</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penentuan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isu-isu</w:t>
      </w:r>
      <w:proofErr w:type="spellEnd"/>
      <w:r>
        <w:rPr>
          <w:rFonts w:ascii="Times New Roman" w:eastAsia="Times New Roman" w:hAnsi="Times New Roman" w:cs="Times New Roman"/>
          <w:sz w:val="24"/>
          <w:szCs w:val="24"/>
          <w:highlight w:val="white"/>
        </w:rPr>
        <w:t xml:space="preserve"> yang </w:t>
      </w:r>
      <w:proofErr w:type="spellStart"/>
      <w:r>
        <w:rPr>
          <w:rFonts w:ascii="Times New Roman" w:eastAsia="Times New Roman" w:hAnsi="Times New Roman" w:cs="Times New Roman"/>
          <w:sz w:val="24"/>
          <w:szCs w:val="24"/>
          <w:highlight w:val="white"/>
        </w:rPr>
        <w:t>akan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dipersetujui</w:t>
      </w:r>
      <w:proofErr w:type="spellEnd"/>
      <w:r>
        <w:rPr>
          <w:rFonts w:ascii="Times New Roman" w:eastAsia="Times New Roman" w:hAnsi="Times New Roman" w:cs="Times New Roman"/>
          <w:sz w:val="24"/>
          <w:szCs w:val="24"/>
          <w:highlight w:val="white"/>
        </w:rPr>
        <w:t xml:space="preserve"> oleh </w:t>
      </w:r>
      <w:proofErr w:type="spellStart"/>
      <w:r>
        <w:rPr>
          <w:rFonts w:ascii="Times New Roman" w:eastAsia="Times New Roman" w:hAnsi="Times New Roman" w:cs="Times New Roman"/>
          <w:sz w:val="24"/>
          <w:szCs w:val="24"/>
          <w:highlight w:val="white"/>
        </w:rPr>
        <w:t>pihak-pihak</w:t>
      </w:r>
      <w:proofErr w:type="spellEnd"/>
      <w:r>
        <w:rPr>
          <w:rFonts w:ascii="Times New Roman" w:eastAsia="Times New Roman" w:hAnsi="Times New Roman" w:cs="Times New Roman"/>
          <w:sz w:val="24"/>
          <w:szCs w:val="24"/>
          <w:highlight w:val="white"/>
        </w:rPr>
        <w:t xml:space="preserve"> yang </w:t>
      </w:r>
      <w:proofErr w:type="spellStart"/>
      <w:r>
        <w:rPr>
          <w:rFonts w:ascii="Times New Roman" w:eastAsia="Times New Roman" w:hAnsi="Times New Roman" w:cs="Times New Roman"/>
          <w:sz w:val="24"/>
          <w:szCs w:val="24"/>
          <w:highlight w:val="white"/>
        </w:rPr>
        <w:t>terlibat</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adalah</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penting</w:t>
      </w:r>
      <w:proofErr w:type="spellEnd"/>
      <w:r>
        <w:rPr>
          <w:rFonts w:ascii="Times New Roman" w:eastAsia="Times New Roman" w:hAnsi="Times New Roman" w:cs="Times New Roman"/>
          <w:sz w:val="24"/>
          <w:szCs w:val="24"/>
          <w:highlight w:val="white"/>
        </w:rPr>
        <w:t xml:space="preserve">. </w:t>
      </w:r>
    </w:p>
    <w:p w14:paraId="00000026" w14:textId="77777777" w:rsidR="00E97409" w:rsidRDefault="00E97409" w:rsidP="00690802">
      <w:pPr>
        <w:spacing w:after="0" w:line="240" w:lineRule="auto"/>
        <w:jc w:val="both"/>
        <w:rPr>
          <w:rFonts w:ascii="Times New Roman" w:eastAsia="Times New Roman" w:hAnsi="Times New Roman" w:cs="Times New Roman"/>
          <w:sz w:val="24"/>
          <w:szCs w:val="24"/>
          <w:highlight w:val="white"/>
        </w:rPr>
      </w:pPr>
    </w:p>
    <w:p w14:paraId="00000027" w14:textId="77777777" w:rsidR="00E97409" w:rsidRDefault="007741DD" w:rsidP="00690802">
      <w:pPr>
        <w:spacing w:after="0" w:line="240" w:lineRule="auto"/>
        <w:ind w:firstLine="720"/>
        <w:jc w:val="both"/>
        <w:rPr>
          <w:rFonts w:ascii="Times New Roman" w:eastAsia="Times New Roman" w:hAnsi="Times New Roman" w:cs="Times New Roman"/>
          <w:b/>
          <w:i/>
          <w:sz w:val="24"/>
          <w:szCs w:val="24"/>
          <w:highlight w:val="white"/>
        </w:rPr>
      </w:pPr>
      <w:proofErr w:type="spellStart"/>
      <w:r>
        <w:rPr>
          <w:rFonts w:ascii="Times New Roman" w:eastAsia="Times New Roman" w:hAnsi="Times New Roman" w:cs="Times New Roman"/>
          <w:sz w:val="24"/>
          <w:szCs w:val="24"/>
          <w:highlight w:val="white"/>
        </w:rPr>
        <w:t>Prinsip</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bahawa</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pihak-pihak</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adalah</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terikat</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kepada</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pliding</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ini</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masih</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lagi</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digunapakai</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sehingga</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sekarang</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seperti</w:t>
      </w:r>
      <w:proofErr w:type="spellEnd"/>
      <w:r>
        <w:rPr>
          <w:rFonts w:ascii="Times New Roman" w:eastAsia="Times New Roman" w:hAnsi="Times New Roman" w:cs="Times New Roman"/>
          <w:sz w:val="24"/>
          <w:szCs w:val="24"/>
          <w:highlight w:val="white"/>
        </w:rPr>
        <w:t xml:space="preserve"> yang </w:t>
      </w:r>
      <w:proofErr w:type="spellStart"/>
      <w:r>
        <w:rPr>
          <w:rFonts w:ascii="Times New Roman" w:eastAsia="Times New Roman" w:hAnsi="Times New Roman" w:cs="Times New Roman"/>
          <w:sz w:val="24"/>
          <w:szCs w:val="24"/>
          <w:highlight w:val="white"/>
        </w:rPr>
        <w:t>boleh</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dilihat</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dalam</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kes</w:t>
      </w:r>
      <w:proofErr w:type="spellEnd"/>
      <w:r>
        <w:rPr>
          <w:rFonts w:ascii="Times New Roman" w:eastAsia="Times New Roman" w:hAnsi="Times New Roman" w:cs="Times New Roman"/>
          <w:b/>
          <w:i/>
          <w:sz w:val="24"/>
          <w:szCs w:val="24"/>
          <w:highlight w:val="white"/>
        </w:rPr>
        <w:t xml:space="preserve"> Dr </w:t>
      </w:r>
      <w:proofErr w:type="spellStart"/>
      <w:r>
        <w:rPr>
          <w:rFonts w:ascii="Times New Roman" w:eastAsia="Times New Roman" w:hAnsi="Times New Roman" w:cs="Times New Roman"/>
          <w:b/>
          <w:i/>
          <w:sz w:val="24"/>
          <w:szCs w:val="24"/>
          <w:highlight w:val="white"/>
        </w:rPr>
        <w:t>Shaari</w:t>
      </w:r>
      <w:proofErr w:type="spellEnd"/>
      <w:r>
        <w:rPr>
          <w:rFonts w:ascii="Times New Roman" w:eastAsia="Times New Roman" w:hAnsi="Times New Roman" w:cs="Times New Roman"/>
          <w:b/>
          <w:i/>
          <w:sz w:val="24"/>
          <w:szCs w:val="24"/>
          <w:highlight w:val="white"/>
        </w:rPr>
        <w:t xml:space="preserve"> Isa &amp; Anor v Tan Sri Harris bin </w:t>
      </w:r>
      <w:proofErr w:type="spellStart"/>
      <w:r>
        <w:rPr>
          <w:rFonts w:ascii="Times New Roman" w:eastAsia="Times New Roman" w:hAnsi="Times New Roman" w:cs="Times New Roman"/>
          <w:b/>
          <w:i/>
          <w:sz w:val="24"/>
          <w:szCs w:val="24"/>
          <w:highlight w:val="white"/>
        </w:rPr>
        <w:t>Mohd</w:t>
      </w:r>
      <w:proofErr w:type="spellEnd"/>
      <w:r>
        <w:rPr>
          <w:rFonts w:ascii="Times New Roman" w:eastAsia="Times New Roman" w:hAnsi="Times New Roman" w:cs="Times New Roman"/>
          <w:b/>
          <w:i/>
          <w:sz w:val="24"/>
          <w:szCs w:val="24"/>
          <w:highlight w:val="white"/>
        </w:rPr>
        <w:t xml:space="preserve"> Salleh</w:t>
      </w:r>
      <w:r>
        <w:rPr>
          <w:rFonts w:ascii="Times New Roman" w:eastAsia="Times New Roman" w:hAnsi="Times New Roman" w:cs="Times New Roman"/>
          <w:b/>
          <w:i/>
          <w:sz w:val="24"/>
          <w:szCs w:val="24"/>
          <w:highlight w:val="white"/>
          <w:vertAlign w:val="superscript"/>
        </w:rPr>
        <w:footnoteReference w:id="6"/>
      </w:r>
      <w:r>
        <w:rPr>
          <w:rFonts w:ascii="Times New Roman" w:eastAsia="Times New Roman" w:hAnsi="Times New Roman" w:cs="Times New Roman"/>
          <w:b/>
          <w:i/>
          <w:sz w:val="24"/>
          <w:szCs w:val="24"/>
          <w:highlight w:val="white"/>
        </w:rPr>
        <w:t xml:space="preserve"> </w:t>
      </w:r>
      <w:r>
        <w:rPr>
          <w:rFonts w:ascii="Times New Roman" w:eastAsia="Times New Roman" w:hAnsi="Times New Roman" w:cs="Times New Roman"/>
          <w:sz w:val="24"/>
          <w:szCs w:val="24"/>
          <w:highlight w:val="white"/>
        </w:rPr>
        <w:t xml:space="preserve">di mana </w:t>
      </w:r>
      <w:proofErr w:type="spellStart"/>
      <w:r>
        <w:rPr>
          <w:rFonts w:ascii="Times New Roman" w:eastAsia="Times New Roman" w:hAnsi="Times New Roman" w:cs="Times New Roman"/>
          <w:sz w:val="24"/>
          <w:szCs w:val="24"/>
          <w:highlight w:val="white"/>
        </w:rPr>
        <w:t>Mahkamah</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telah</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menyatakan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dalam</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penghakiman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bahawa</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dalam</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semua</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kes</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sivil</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plaintif</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adalah</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terikat</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kepada</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apa</w:t>
      </w:r>
      <w:proofErr w:type="spellEnd"/>
      <w:r>
        <w:rPr>
          <w:rFonts w:ascii="Times New Roman" w:eastAsia="Times New Roman" w:hAnsi="Times New Roman" w:cs="Times New Roman"/>
          <w:sz w:val="24"/>
          <w:szCs w:val="24"/>
          <w:highlight w:val="white"/>
        </w:rPr>
        <w:t xml:space="preserve"> yang </w:t>
      </w:r>
      <w:proofErr w:type="spellStart"/>
      <w:r>
        <w:rPr>
          <w:rFonts w:ascii="Times New Roman" w:eastAsia="Times New Roman" w:hAnsi="Times New Roman" w:cs="Times New Roman"/>
          <w:sz w:val="24"/>
          <w:szCs w:val="24"/>
          <w:highlight w:val="white"/>
        </w:rPr>
        <w:t>telah</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diplidkan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Ini</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bermaksud</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walaupun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pindaan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kepada</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pliding</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adalah</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dibenarkan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tetapi</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ia</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adalah</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penting</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untuk</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diingatkan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lastRenderedPageBreak/>
        <w:t>bahawa</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perkara</w:t>
      </w:r>
      <w:proofErr w:type="spellEnd"/>
      <w:r>
        <w:rPr>
          <w:rFonts w:ascii="Times New Roman" w:eastAsia="Times New Roman" w:hAnsi="Times New Roman" w:cs="Times New Roman"/>
          <w:sz w:val="24"/>
          <w:szCs w:val="24"/>
          <w:highlight w:val="white"/>
        </w:rPr>
        <w:t xml:space="preserve"> yang </w:t>
      </w:r>
      <w:proofErr w:type="spellStart"/>
      <w:r>
        <w:rPr>
          <w:rFonts w:ascii="Times New Roman" w:eastAsia="Times New Roman" w:hAnsi="Times New Roman" w:cs="Times New Roman"/>
          <w:sz w:val="24"/>
          <w:szCs w:val="24"/>
          <w:highlight w:val="white"/>
        </w:rPr>
        <w:t>tiada</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dalam</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pliding</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tidak</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akan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dibenarkan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untuk</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dibawa</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ke</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hadapan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mahkamah</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Mahkamah</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dalam</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kes</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tersebut</w:t>
      </w:r>
      <w:proofErr w:type="spellEnd"/>
      <w:r>
        <w:rPr>
          <w:rFonts w:ascii="Times New Roman" w:eastAsia="Times New Roman" w:hAnsi="Times New Roman" w:cs="Times New Roman"/>
          <w:sz w:val="24"/>
          <w:szCs w:val="24"/>
          <w:highlight w:val="white"/>
        </w:rPr>
        <w:t xml:space="preserve"> juga </w:t>
      </w:r>
      <w:proofErr w:type="spellStart"/>
      <w:r>
        <w:rPr>
          <w:rFonts w:ascii="Times New Roman" w:eastAsia="Times New Roman" w:hAnsi="Times New Roman" w:cs="Times New Roman"/>
          <w:sz w:val="24"/>
          <w:szCs w:val="24"/>
          <w:highlight w:val="white"/>
        </w:rPr>
        <w:t>merujuk</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kepada</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kes</w:t>
      </w:r>
      <w:proofErr w:type="spellEnd"/>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b/>
          <w:i/>
          <w:sz w:val="24"/>
          <w:szCs w:val="24"/>
          <w:highlight w:val="white"/>
        </w:rPr>
        <w:t xml:space="preserve">JCT Ltd v </w:t>
      </w:r>
      <w:proofErr w:type="spellStart"/>
      <w:r>
        <w:rPr>
          <w:rFonts w:ascii="Times New Roman" w:eastAsia="Times New Roman" w:hAnsi="Times New Roman" w:cs="Times New Roman"/>
          <w:b/>
          <w:i/>
          <w:sz w:val="24"/>
          <w:szCs w:val="24"/>
          <w:highlight w:val="white"/>
        </w:rPr>
        <w:t>Muniandy</w:t>
      </w:r>
      <w:proofErr w:type="spellEnd"/>
      <w:r>
        <w:rPr>
          <w:rFonts w:ascii="Times New Roman" w:eastAsia="Times New Roman" w:hAnsi="Times New Roman" w:cs="Times New Roman"/>
          <w:b/>
          <w:i/>
          <w:sz w:val="24"/>
          <w:szCs w:val="24"/>
          <w:highlight w:val="white"/>
        </w:rPr>
        <w:t xml:space="preserve"> </w:t>
      </w:r>
      <w:proofErr w:type="spellStart"/>
      <w:r>
        <w:rPr>
          <w:rFonts w:ascii="Times New Roman" w:eastAsia="Times New Roman" w:hAnsi="Times New Roman" w:cs="Times New Roman"/>
          <w:b/>
          <w:i/>
          <w:sz w:val="24"/>
          <w:szCs w:val="24"/>
          <w:highlight w:val="white"/>
        </w:rPr>
        <w:t>Nadasan</w:t>
      </w:r>
      <w:proofErr w:type="spellEnd"/>
      <w:r>
        <w:rPr>
          <w:rFonts w:ascii="Times New Roman" w:eastAsia="Times New Roman" w:hAnsi="Times New Roman" w:cs="Times New Roman"/>
          <w:b/>
          <w:i/>
          <w:sz w:val="24"/>
          <w:szCs w:val="24"/>
          <w:highlight w:val="white"/>
          <w:vertAlign w:val="superscript"/>
        </w:rPr>
        <w:footnoteReference w:id="7"/>
      </w:r>
      <w:r>
        <w:rPr>
          <w:rFonts w:ascii="Times New Roman" w:eastAsia="Times New Roman" w:hAnsi="Times New Roman" w:cs="Times New Roman"/>
          <w:b/>
          <w:i/>
          <w:sz w:val="24"/>
          <w:szCs w:val="24"/>
          <w:highlight w:val="white"/>
        </w:rPr>
        <w:t>.</w:t>
      </w:r>
    </w:p>
    <w:p w14:paraId="00000028" w14:textId="77777777" w:rsidR="00E97409" w:rsidRDefault="00E97409" w:rsidP="00690802">
      <w:pPr>
        <w:spacing w:after="0" w:line="240" w:lineRule="auto"/>
        <w:jc w:val="both"/>
        <w:rPr>
          <w:rFonts w:ascii="Times New Roman" w:eastAsia="Times New Roman" w:hAnsi="Times New Roman" w:cs="Times New Roman"/>
          <w:sz w:val="24"/>
          <w:szCs w:val="24"/>
          <w:highlight w:val="white"/>
        </w:rPr>
      </w:pPr>
    </w:p>
    <w:p w14:paraId="00000029" w14:textId="77777777" w:rsidR="00E97409" w:rsidRDefault="007741DD" w:rsidP="00690802">
      <w:pPr>
        <w:spacing w:after="0" w:line="240" w:lineRule="auto"/>
        <w:ind w:firstLine="720"/>
        <w:jc w:val="both"/>
        <w:rPr>
          <w:rFonts w:ascii="Times New Roman" w:eastAsia="Times New Roman" w:hAnsi="Times New Roman" w:cs="Times New Roman"/>
          <w:b/>
          <w:sz w:val="24"/>
          <w:szCs w:val="24"/>
          <w:highlight w:val="white"/>
        </w:rPr>
      </w:pPr>
      <w:proofErr w:type="spellStart"/>
      <w:r>
        <w:rPr>
          <w:rFonts w:ascii="Times New Roman" w:eastAsia="Times New Roman" w:hAnsi="Times New Roman" w:cs="Times New Roman"/>
          <w:sz w:val="24"/>
          <w:szCs w:val="24"/>
          <w:highlight w:val="white"/>
        </w:rPr>
        <w:t>Maka</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jika</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plaintif</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gagal</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menyampaikan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pernyataan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tuntutan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kepada</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defendan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dalam</w:t>
      </w:r>
      <w:proofErr w:type="spellEnd"/>
      <w:r>
        <w:rPr>
          <w:rFonts w:ascii="Times New Roman" w:eastAsia="Times New Roman" w:hAnsi="Times New Roman" w:cs="Times New Roman"/>
          <w:sz w:val="24"/>
          <w:szCs w:val="24"/>
          <w:highlight w:val="white"/>
        </w:rPr>
        <w:t xml:space="preserve"> masa yang </w:t>
      </w:r>
      <w:proofErr w:type="spellStart"/>
      <w:r>
        <w:rPr>
          <w:rFonts w:ascii="Times New Roman" w:eastAsia="Times New Roman" w:hAnsi="Times New Roman" w:cs="Times New Roman"/>
          <w:sz w:val="24"/>
          <w:szCs w:val="24"/>
          <w:highlight w:val="white"/>
        </w:rPr>
        <w:t>ditetapkan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tuntutan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tersebut</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boleh</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diberhentikan</w:t>
      </w:r>
      <w:proofErr w:type="spellEnd"/>
      <w:r>
        <w:rPr>
          <w:rFonts w:ascii="Times New Roman" w:eastAsia="Times New Roman" w:hAnsi="Times New Roman" w:cs="Times New Roman"/>
          <w:sz w:val="24"/>
          <w:szCs w:val="24"/>
          <w:highlight w:val="white"/>
        </w:rPr>
        <w:t xml:space="preserve"> dan </w:t>
      </w:r>
      <w:proofErr w:type="spellStart"/>
      <w:r>
        <w:rPr>
          <w:rFonts w:ascii="Times New Roman" w:eastAsia="Times New Roman" w:hAnsi="Times New Roman" w:cs="Times New Roman"/>
          <w:sz w:val="24"/>
          <w:szCs w:val="24"/>
          <w:highlight w:val="white"/>
        </w:rPr>
        <w:t>jika</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defendan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gagal</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menyampaikan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pembelaannya</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dalam</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tempoh</w:t>
      </w:r>
      <w:proofErr w:type="spellEnd"/>
      <w:r>
        <w:rPr>
          <w:rFonts w:ascii="Times New Roman" w:eastAsia="Times New Roman" w:hAnsi="Times New Roman" w:cs="Times New Roman"/>
          <w:sz w:val="24"/>
          <w:szCs w:val="24"/>
          <w:highlight w:val="white"/>
        </w:rPr>
        <w:t xml:space="preserve"> yang </w:t>
      </w:r>
      <w:proofErr w:type="spellStart"/>
      <w:r>
        <w:rPr>
          <w:rFonts w:ascii="Times New Roman" w:eastAsia="Times New Roman" w:hAnsi="Times New Roman" w:cs="Times New Roman"/>
          <w:sz w:val="24"/>
          <w:szCs w:val="24"/>
          <w:highlight w:val="white"/>
        </w:rPr>
        <w:t>ditetapkan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plaintif</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mungkin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boleh</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mendapatkan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penghakiman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terus</w:t>
      </w:r>
      <w:proofErr w:type="spellEnd"/>
      <w:r>
        <w:rPr>
          <w:rFonts w:ascii="Times New Roman" w:eastAsia="Times New Roman" w:hAnsi="Times New Roman" w:cs="Times New Roman"/>
          <w:sz w:val="24"/>
          <w:szCs w:val="24"/>
          <w:highlight w:val="white"/>
        </w:rPr>
        <w:t>.</w:t>
      </w:r>
    </w:p>
    <w:p w14:paraId="0000002A" w14:textId="77777777" w:rsidR="00E97409" w:rsidRDefault="00E97409" w:rsidP="00690802">
      <w:pPr>
        <w:spacing w:after="0" w:line="240" w:lineRule="auto"/>
        <w:jc w:val="both"/>
        <w:rPr>
          <w:rFonts w:ascii="Times New Roman" w:eastAsia="Times New Roman" w:hAnsi="Times New Roman" w:cs="Times New Roman"/>
          <w:b/>
          <w:sz w:val="24"/>
          <w:szCs w:val="24"/>
          <w:highlight w:val="white"/>
        </w:rPr>
      </w:pPr>
    </w:p>
    <w:p w14:paraId="0000002B" w14:textId="77777777" w:rsidR="00E97409" w:rsidRDefault="007741DD" w:rsidP="00690802">
      <w:pPr>
        <w:spacing w:after="0" w:line="240" w:lineRule="auto"/>
        <w:jc w:val="center"/>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 xml:space="preserve">Sejarah </w:t>
      </w:r>
      <w:proofErr w:type="spellStart"/>
      <w:r>
        <w:rPr>
          <w:rFonts w:ascii="Times New Roman" w:eastAsia="Times New Roman" w:hAnsi="Times New Roman" w:cs="Times New Roman"/>
          <w:b/>
          <w:sz w:val="24"/>
          <w:szCs w:val="24"/>
          <w:highlight w:val="white"/>
        </w:rPr>
        <w:t>Pliding</w:t>
      </w:r>
      <w:proofErr w:type="spellEnd"/>
    </w:p>
    <w:p w14:paraId="0000002C" w14:textId="77777777" w:rsidR="00E97409" w:rsidRDefault="00E97409" w:rsidP="00690802">
      <w:pPr>
        <w:spacing w:after="0" w:line="240" w:lineRule="auto"/>
        <w:ind w:left="720"/>
        <w:rPr>
          <w:rFonts w:ascii="Times New Roman" w:eastAsia="Times New Roman" w:hAnsi="Times New Roman" w:cs="Times New Roman"/>
          <w:sz w:val="24"/>
          <w:szCs w:val="24"/>
          <w:highlight w:val="white"/>
        </w:rPr>
      </w:pPr>
    </w:p>
    <w:p w14:paraId="0000002D" w14:textId="77777777" w:rsidR="00E97409" w:rsidRDefault="007741DD" w:rsidP="00690802">
      <w:pPr>
        <w:spacing w:after="0" w:line="240" w:lineRule="auto"/>
        <w:ind w:firstLine="720"/>
        <w:jc w:val="both"/>
        <w:rPr>
          <w:rFonts w:ascii="Times New Roman" w:eastAsia="Times New Roman" w:hAnsi="Times New Roman" w:cs="Times New Roman"/>
          <w:sz w:val="24"/>
          <w:szCs w:val="24"/>
          <w:highlight w:val="white"/>
        </w:rPr>
      </w:pPr>
      <w:proofErr w:type="spellStart"/>
      <w:r>
        <w:rPr>
          <w:rFonts w:ascii="Times New Roman" w:eastAsia="Times New Roman" w:hAnsi="Times New Roman" w:cs="Times New Roman"/>
          <w:sz w:val="24"/>
          <w:szCs w:val="24"/>
          <w:highlight w:val="white"/>
        </w:rPr>
        <w:t>Dapat</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dilihat</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bahawa</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sivil</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prosiding</w:t>
      </w:r>
      <w:proofErr w:type="spellEnd"/>
      <w:r>
        <w:rPr>
          <w:rFonts w:ascii="Times New Roman" w:eastAsia="Times New Roman" w:hAnsi="Times New Roman" w:cs="Times New Roman"/>
          <w:sz w:val="24"/>
          <w:szCs w:val="24"/>
          <w:highlight w:val="white"/>
        </w:rPr>
        <w:t xml:space="preserve"> di Malaysia </w:t>
      </w:r>
      <w:proofErr w:type="spellStart"/>
      <w:r>
        <w:rPr>
          <w:rFonts w:ascii="Times New Roman" w:eastAsia="Times New Roman" w:hAnsi="Times New Roman" w:cs="Times New Roman"/>
          <w:sz w:val="24"/>
          <w:szCs w:val="24"/>
          <w:highlight w:val="white"/>
        </w:rPr>
        <w:t>banyak</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merujuk</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kepada</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undang-undang</w:t>
      </w:r>
      <w:proofErr w:type="spellEnd"/>
      <w:r>
        <w:rPr>
          <w:rFonts w:ascii="Times New Roman" w:eastAsia="Times New Roman" w:hAnsi="Times New Roman" w:cs="Times New Roman"/>
          <w:sz w:val="24"/>
          <w:szCs w:val="24"/>
          <w:highlight w:val="white"/>
        </w:rPr>
        <w:t xml:space="preserve"> United Kingdom. </w:t>
      </w:r>
      <w:proofErr w:type="spellStart"/>
      <w:r>
        <w:rPr>
          <w:rFonts w:ascii="Times New Roman" w:eastAsia="Times New Roman" w:hAnsi="Times New Roman" w:cs="Times New Roman"/>
          <w:sz w:val="24"/>
          <w:szCs w:val="24"/>
          <w:highlight w:val="white"/>
        </w:rPr>
        <w:t>Maka</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adalah</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lebih</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jelas</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untuk</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melihat</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aspek</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sejarah</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pliding</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dari</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perspektif</w:t>
      </w:r>
      <w:proofErr w:type="spellEnd"/>
      <w:r>
        <w:rPr>
          <w:rFonts w:ascii="Times New Roman" w:eastAsia="Times New Roman" w:hAnsi="Times New Roman" w:cs="Times New Roman"/>
          <w:sz w:val="24"/>
          <w:szCs w:val="24"/>
          <w:highlight w:val="white"/>
        </w:rPr>
        <w:t xml:space="preserve"> United Kingdom. Di </w:t>
      </w:r>
      <w:proofErr w:type="spellStart"/>
      <w:r>
        <w:rPr>
          <w:rFonts w:ascii="Times New Roman" w:eastAsia="Times New Roman" w:hAnsi="Times New Roman" w:cs="Times New Roman"/>
          <w:sz w:val="24"/>
          <w:szCs w:val="24"/>
          <w:highlight w:val="white"/>
        </w:rPr>
        <w:t>dalam</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mahkamah</w:t>
      </w:r>
      <w:proofErr w:type="spellEnd"/>
      <w:r>
        <w:rPr>
          <w:rFonts w:ascii="Times New Roman" w:eastAsia="Times New Roman" w:hAnsi="Times New Roman" w:cs="Times New Roman"/>
          <w:sz w:val="24"/>
          <w:szCs w:val="24"/>
          <w:highlight w:val="white"/>
        </w:rPr>
        <w:t xml:space="preserve"> United Kingdom, </w:t>
      </w:r>
      <w:proofErr w:type="spellStart"/>
      <w:r>
        <w:rPr>
          <w:rFonts w:ascii="Times New Roman" w:eastAsia="Times New Roman" w:hAnsi="Times New Roman" w:cs="Times New Roman"/>
          <w:sz w:val="24"/>
          <w:szCs w:val="24"/>
          <w:highlight w:val="white"/>
        </w:rPr>
        <w:t>pliding</w:t>
      </w:r>
      <w:proofErr w:type="spellEnd"/>
      <w:r>
        <w:rPr>
          <w:rFonts w:ascii="Times New Roman" w:eastAsia="Times New Roman" w:hAnsi="Times New Roman" w:cs="Times New Roman"/>
          <w:sz w:val="24"/>
          <w:szCs w:val="24"/>
          <w:highlight w:val="white"/>
        </w:rPr>
        <w:t xml:space="preserve"> pada </w:t>
      </w:r>
      <w:proofErr w:type="spellStart"/>
      <w:r>
        <w:rPr>
          <w:rFonts w:ascii="Times New Roman" w:eastAsia="Times New Roman" w:hAnsi="Times New Roman" w:cs="Times New Roman"/>
          <w:sz w:val="24"/>
          <w:szCs w:val="24"/>
          <w:highlight w:val="white"/>
        </w:rPr>
        <w:t>asalnya</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dilakukan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secara</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lisan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Sistem</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ini</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dibangunkan</w:t>
      </w:r>
      <w:proofErr w:type="spellEnd"/>
      <w:r>
        <w:rPr>
          <w:rFonts w:ascii="Times New Roman" w:eastAsia="Times New Roman" w:hAnsi="Times New Roman" w:cs="Times New Roman"/>
          <w:sz w:val="24"/>
          <w:szCs w:val="24"/>
          <w:highlight w:val="white"/>
        </w:rPr>
        <w:t xml:space="preserve"> di </w:t>
      </w:r>
      <w:proofErr w:type="spellStart"/>
      <w:r>
        <w:rPr>
          <w:rFonts w:ascii="Times New Roman" w:eastAsia="Times New Roman" w:hAnsi="Times New Roman" w:cs="Times New Roman"/>
          <w:sz w:val="24"/>
          <w:szCs w:val="24"/>
          <w:highlight w:val="white"/>
        </w:rPr>
        <w:t>mahkamah</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Inggeris</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sejurus</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selepas</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Penaklukan</w:t>
      </w:r>
      <w:proofErr w:type="spellEnd"/>
      <w:r>
        <w:rPr>
          <w:rFonts w:ascii="Times New Roman" w:eastAsia="Times New Roman" w:hAnsi="Times New Roman" w:cs="Times New Roman"/>
          <w:sz w:val="24"/>
          <w:szCs w:val="24"/>
          <w:highlight w:val="white"/>
        </w:rPr>
        <w:t xml:space="preserve"> Norman dan </w:t>
      </w:r>
      <w:proofErr w:type="spellStart"/>
      <w:r>
        <w:rPr>
          <w:rFonts w:ascii="Times New Roman" w:eastAsia="Times New Roman" w:hAnsi="Times New Roman" w:cs="Times New Roman"/>
          <w:sz w:val="24"/>
          <w:szCs w:val="24"/>
          <w:highlight w:val="white"/>
        </w:rPr>
        <w:t>ia</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diamalkan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sehingga</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ia</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diperbaharui</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selepas</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abad</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kesembilan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belas</w:t>
      </w:r>
      <w:proofErr w:type="spellEnd"/>
      <w:r>
        <w:rPr>
          <w:rFonts w:ascii="Times New Roman" w:eastAsia="Times New Roman" w:hAnsi="Times New Roman" w:cs="Times New Roman"/>
          <w:sz w:val="24"/>
          <w:szCs w:val="24"/>
          <w:highlight w:val="white"/>
        </w:rPr>
        <w:t xml:space="preserve"> di mana </w:t>
      </w:r>
      <w:proofErr w:type="spellStart"/>
      <w:r>
        <w:rPr>
          <w:rFonts w:ascii="Times New Roman" w:eastAsia="Times New Roman" w:hAnsi="Times New Roman" w:cs="Times New Roman"/>
          <w:sz w:val="24"/>
          <w:szCs w:val="24"/>
          <w:highlight w:val="white"/>
        </w:rPr>
        <w:t>ia</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kemudiannya</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dipanggil</w:t>
      </w:r>
      <w:proofErr w:type="spellEnd"/>
      <w:r>
        <w:rPr>
          <w:rFonts w:ascii="Times New Roman" w:eastAsia="Times New Roman" w:hAnsi="Times New Roman" w:cs="Times New Roman"/>
          <w:sz w:val="24"/>
          <w:szCs w:val="24"/>
          <w:highlight w:val="white"/>
        </w:rPr>
        <w:t xml:space="preserve"> “common law pleading”</w:t>
      </w:r>
      <w:r>
        <w:rPr>
          <w:rFonts w:ascii="Times New Roman" w:eastAsia="Times New Roman" w:hAnsi="Times New Roman" w:cs="Times New Roman"/>
          <w:sz w:val="24"/>
          <w:szCs w:val="24"/>
          <w:highlight w:val="white"/>
          <w:vertAlign w:val="superscript"/>
        </w:rPr>
        <w:footnoteReference w:id="8"/>
      </w:r>
      <w:r>
        <w:rPr>
          <w:rFonts w:ascii="Times New Roman" w:eastAsia="Times New Roman" w:hAnsi="Times New Roman" w:cs="Times New Roman"/>
          <w:sz w:val="24"/>
          <w:szCs w:val="24"/>
          <w:highlight w:val="white"/>
        </w:rPr>
        <w:t xml:space="preserve">. </w:t>
      </w:r>
    </w:p>
    <w:p w14:paraId="0000002E" w14:textId="77777777" w:rsidR="00E97409" w:rsidRDefault="00E97409" w:rsidP="00690802">
      <w:pPr>
        <w:spacing w:after="0" w:line="240" w:lineRule="auto"/>
        <w:jc w:val="both"/>
        <w:rPr>
          <w:rFonts w:ascii="Times New Roman" w:eastAsia="Times New Roman" w:hAnsi="Times New Roman" w:cs="Times New Roman"/>
          <w:sz w:val="24"/>
          <w:szCs w:val="24"/>
          <w:highlight w:val="white"/>
        </w:rPr>
      </w:pPr>
    </w:p>
    <w:p w14:paraId="0000002F" w14:textId="77777777" w:rsidR="00E97409" w:rsidRDefault="007741DD" w:rsidP="00690802">
      <w:pPr>
        <w:spacing w:after="0" w:line="240" w:lineRule="auto"/>
        <w:ind w:firstLine="720"/>
        <w:jc w:val="both"/>
        <w:rPr>
          <w:rFonts w:ascii="Times New Roman" w:eastAsia="Times New Roman" w:hAnsi="Times New Roman" w:cs="Times New Roman"/>
          <w:sz w:val="24"/>
          <w:szCs w:val="24"/>
          <w:highlight w:val="white"/>
        </w:rPr>
      </w:pPr>
      <w:proofErr w:type="spellStart"/>
      <w:r>
        <w:rPr>
          <w:rFonts w:ascii="Times New Roman" w:eastAsia="Times New Roman" w:hAnsi="Times New Roman" w:cs="Times New Roman"/>
          <w:sz w:val="24"/>
          <w:szCs w:val="24"/>
          <w:highlight w:val="white"/>
        </w:rPr>
        <w:t>Seperti</w:t>
      </w:r>
      <w:proofErr w:type="spellEnd"/>
      <w:r>
        <w:rPr>
          <w:rFonts w:ascii="Times New Roman" w:eastAsia="Times New Roman" w:hAnsi="Times New Roman" w:cs="Times New Roman"/>
          <w:sz w:val="24"/>
          <w:szCs w:val="24"/>
          <w:highlight w:val="white"/>
        </w:rPr>
        <w:t xml:space="preserve"> yang </w:t>
      </w:r>
      <w:proofErr w:type="spellStart"/>
      <w:r>
        <w:rPr>
          <w:rFonts w:ascii="Times New Roman" w:eastAsia="Times New Roman" w:hAnsi="Times New Roman" w:cs="Times New Roman"/>
          <w:sz w:val="24"/>
          <w:szCs w:val="24"/>
          <w:highlight w:val="white"/>
        </w:rPr>
        <w:t>diperkatakan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sebelum</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ini</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pliding</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adalah</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dilakukan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secara</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lisan</w:t>
      </w:r>
      <w:proofErr w:type="spellEnd"/>
      <w:r>
        <w:rPr>
          <w:rFonts w:ascii="Times New Roman" w:eastAsia="Times New Roman" w:hAnsi="Times New Roman" w:cs="Times New Roman"/>
          <w:sz w:val="24"/>
          <w:szCs w:val="24"/>
          <w:highlight w:val="white"/>
        </w:rPr>
        <w:t xml:space="preserve"> dan </w:t>
      </w:r>
      <w:proofErr w:type="spellStart"/>
      <w:r>
        <w:rPr>
          <w:rFonts w:ascii="Times New Roman" w:eastAsia="Times New Roman" w:hAnsi="Times New Roman" w:cs="Times New Roman"/>
          <w:sz w:val="24"/>
          <w:szCs w:val="24"/>
          <w:highlight w:val="white"/>
        </w:rPr>
        <w:t>bukan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bertulis</w:t>
      </w:r>
      <w:proofErr w:type="spellEnd"/>
      <w:r>
        <w:rPr>
          <w:rFonts w:ascii="Times New Roman" w:eastAsia="Times New Roman" w:hAnsi="Times New Roman" w:cs="Times New Roman"/>
          <w:sz w:val="24"/>
          <w:szCs w:val="24"/>
          <w:highlight w:val="white"/>
        </w:rPr>
        <w:t xml:space="preserve">, dan </w:t>
      </w:r>
      <w:proofErr w:type="spellStart"/>
      <w:r>
        <w:rPr>
          <w:rFonts w:ascii="Times New Roman" w:eastAsia="Times New Roman" w:hAnsi="Times New Roman" w:cs="Times New Roman"/>
          <w:sz w:val="24"/>
          <w:szCs w:val="24"/>
          <w:highlight w:val="white"/>
        </w:rPr>
        <w:t>dijalankan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dengan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cara</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berikut</w:t>
      </w:r>
      <w:proofErr w:type="spellEnd"/>
      <w:r>
        <w:rPr>
          <w:rFonts w:ascii="Times New Roman" w:eastAsia="Times New Roman" w:hAnsi="Times New Roman" w:cs="Times New Roman"/>
          <w:sz w:val="24"/>
          <w:szCs w:val="24"/>
          <w:highlight w:val="white"/>
        </w:rPr>
        <w:t>:</w:t>
      </w:r>
    </w:p>
    <w:p w14:paraId="00000030" w14:textId="77777777" w:rsidR="00E97409" w:rsidRDefault="00E97409" w:rsidP="00690802">
      <w:pPr>
        <w:spacing w:after="0" w:line="240" w:lineRule="auto"/>
        <w:jc w:val="both"/>
        <w:rPr>
          <w:rFonts w:ascii="Times New Roman" w:eastAsia="Times New Roman" w:hAnsi="Times New Roman" w:cs="Times New Roman"/>
          <w:sz w:val="24"/>
          <w:szCs w:val="24"/>
          <w:highlight w:val="white"/>
        </w:rPr>
      </w:pPr>
    </w:p>
    <w:p w14:paraId="00000031" w14:textId="77777777" w:rsidR="00E97409" w:rsidRDefault="007741DD" w:rsidP="00690802">
      <w:pPr>
        <w:numPr>
          <w:ilvl w:val="0"/>
          <w:numId w:val="5"/>
        </w:numPr>
        <w:spacing w:after="0" w:line="240" w:lineRule="auto"/>
        <w:ind w:left="630" w:hanging="630"/>
        <w:jc w:val="both"/>
        <w:rPr>
          <w:rFonts w:ascii="Times New Roman" w:eastAsia="Times New Roman" w:hAnsi="Times New Roman" w:cs="Times New Roman"/>
          <w:sz w:val="24"/>
          <w:szCs w:val="24"/>
          <w:highlight w:val="white"/>
        </w:rPr>
      </w:pPr>
      <w:proofErr w:type="spellStart"/>
      <w:r>
        <w:rPr>
          <w:rFonts w:ascii="Times New Roman" w:eastAsia="Times New Roman" w:hAnsi="Times New Roman" w:cs="Times New Roman"/>
          <w:sz w:val="24"/>
          <w:szCs w:val="24"/>
          <w:highlight w:val="white"/>
        </w:rPr>
        <w:t>Apabila</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hadir</w:t>
      </w:r>
      <w:proofErr w:type="spellEnd"/>
      <w:r>
        <w:rPr>
          <w:rFonts w:ascii="Times New Roman" w:eastAsia="Times New Roman" w:hAnsi="Times New Roman" w:cs="Times New Roman"/>
          <w:sz w:val="24"/>
          <w:szCs w:val="24"/>
          <w:highlight w:val="white"/>
        </w:rPr>
        <w:t xml:space="preserve"> di </w:t>
      </w:r>
      <w:proofErr w:type="spellStart"/>
      <w:r>
        <w:rPr>
          <w:rFonts w:ascii="Times New Roman" w:eastAsia="Times New Roman" w:hAnsi="Times New Roman" w:cs="Times New Roman"/>
          <w:sz w:val="24"/>
          <w:szCs w:val="24"/>
          <w:highlight w:val="white"/>
        </w:rPr>
        <w:t>mahkamah</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setiap</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pihak</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membuat</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pernyataan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lisan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tentang</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fakta</w:t>
      </w:r>
      <w:proofErr w:type="spellEnd"/>
      <w:r>
        <w:rPr>
          <w:rFonts w:ascii="Times New Roman" w:eastAsia="Times New Roman" w:hAnsi="Times New Roman" w:cs="Times New Roman"/>
          <w:sz w:val="24"/>
          <w:szCs w:val="24"/>
          <w:highlight w:val="white"/>
        </w:rPr>
        <w:t xml:space="preserve"> yang </w:t>
      </w:r>
      <w:proofErr w:type="spellStart"/>
      <w:r>
        <w:rPr>
          <w:rFonts w:ascii="Times New Roman" w:eastAsia="Times New Roman" w:hAnsi="Times New Roman" w:cs="Times New Roman"/>
          <w:sz w:val="24"/>
          <w:szCs w:val="24"/>
          <w:highlight w:val="white"/>
        </w:rPr>
        <w:t>menjadi</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sandaran</w:t>
      </w:r>
      <w:proofErr w:type="spellEnd"/>
      <w:r>
        <w:rPr>
          <w:rFonts w:ascii="Times New Roman" w:eastAsia="Times New Roman" w:hAnsi="Times New Roman" w:cs="Times New Roman"/>
          <w:sz w:val="24"/>
          <w:szCs w:val="24"/>
          <w:highlight w:val="white"/>
        </w:rPr>
        <w:t xml:space="preserve"> di </w:t>
      </w:r>
      <w:proofErr w:type="spellStart"/>
      <w:r>
        <w:rPr>
          <w:rFonts w:ascii="Times New Roman" w:eastAsia="Times New Roman" w:hAnsi="Times New Roman" w:cs="Times New Roman"/>
          <w:sz w:val="24"/>
          <w:szCs w:val="24"/>
          <w:highlight w:val="white"/>
        </w:rPr>
        <w:t>mahkamah</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terbuka</w:t>
      </w:r>
      <w:proofErr w:type="spellEnd"/>
      <w:r>
        <w:rPr>
          <w:rFonts w:ascii="Times New Roman" w:eastAsia="Times New Roman" w:hAnsi="Times New Roman" w:cs="Times New Roman"/>
          <w:sz w:val="24"/>
          <w:szCs w:val="24"/>
          <w:highlight w:val="white"/>
        </w:rPr>
        <w:t xml:space="preserve">. </w:t>
      </w:r>
    </w:p>
    <w:p w14:paraId="00000032" w14:textId="77777777" w:rsidR="00E97409" w:rsidRDefault="00E97409" w:rsidP="00690802">
      <w:pPr>
        <w:spacing w:after="0" w:line="240" w:lineRule="auto"/>
        <w:ind w:left="630" w:hanging="630"/>
        <w:jc w:val="both"/>
        <w:rPr>
          <w:rFonts w:ascii="Times New Roman" w:eastAsia="Times New Roman" w:hAnsi="Times New Roman" w:cs="Times New Roman"/>
          <w:sz w:val="24"/>
          <w:szCs w:val="24"/>
          <w:highlight w:val="white"/>
        </w:rPr>
      </w:pPr>
    </w:p>
    <w:p w14:paraId="00000033" w14:textId="77777777" w:rsidR="00E97409" w:rsidRDefault="007741DD" w:rsidP="00690802">
      <w:pPr>
        <w:numPr>
          <w:ilvl w:val="0"/>
          <w:numId w:val="5"/>
        </w:numPr>
        <w:spacing w:after="0" w:line="240" w:lineRule="auto"/>
        <w:ind w:left="630" w:hanging="63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Hakim </w:t>
      </w:r>
      <w:proofErr w:type="spellStart"/>
      <w:r>
        <w:rPr>
          <w:rFonts w:ascii="Times New Roman" w:eastAsia="Times New Roman" w:hAnsi="Times New Roman" w:cs="Times New Roman"/>
          <w:sz w:val="24"/>
          <w:szCs w:val="24"/>
          <w:highlight w:val="white"/>
        </w:rPr>
        <w:t>wajib</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untuk</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menyederhanakan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kontroversi</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lisan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ini</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sehingga</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mencapai</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tahap</w:t>
      </w:r>
      <w:proofErr w:type="spellEnd"/>
      <w:r>
        <w:rPr>
          <w:rFonts w:ascii="Times New Roman" w:eastAsia="Times New Roman" w:hAnsi="Times New Roman" w:cs="Times New Roman"/>
          <w:sz w:val="24"/>
          <w:szCs w:val="24"/>
          <w:highlight w:val="white"/>
        </w:rPr>
        <w:t xml:space="preserve"> di mana </w:t>
      </w:r>
      <w:proofErr w:type="spellStart"/>
      <w:r>
        <w:rPr>
          <w:rFonts w:ascii="Times New Roman" w:eastAsia="Times New Roman" w:hAnsi="Times New Roman" w:cs="Times New Roman"/>
          <w:sz w:val="24"/>
          <w:szCs w:val="24"/>
          <w:highlight w:val="white"/>
        </w:rPr>
        <w:t>perkara</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tertentu</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disahkan</w:t>
      </w:r>
      <w:proofErr w:type="spellEnd"/>
      <w:r>
        <w:rPr>
          <w:rFonts w:ascii="Times New Roman" w:eastAsia="Times New Roman" w:hAnsi="Times New Roman" w:cs="Times New Roman"/>
          <w:sz w:val="24"/>
          <w:szCs w:val="24"/>
          <w:highlight w:val="white"/>
        </w:rPr>
        <w:t xml:space="preserve"> oleh </w:t>
      </w:r>
      <w:proofErr w:type="spellStart"/>
      <w:r>
        <w:rPr>
          <w:rFonts w:ascii="Times New Roman" w:eastAsia="Times New Roman" w:hAnsi="Times New Roman" w:cs="Times New Roman"/>
          <w:sz w:val="24"/>
          <w:szCs w:val="24"/>
          <w:highlight w:val="white"/>
        </w:rPr>
        <w:t>satu</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pihak</w:t>
      </w:r>
      <w:proofErr w:type="spellEnd"/>
      <w:r>
        <w:rPr>
          <w:rFonts w:ascii="Times New Roman" w:eastAsia="Times New Roman" w:hAnsi="Times New Roman" w:cs="Times New Roman"/>
          <w:sz w:val="24"/>
          <w:szCs w:val="24"/>
          <w:highlight w:val="white"/>
        </w:rPr>
        <w:t xml:space="preserve"> dan </w:t>
      </w:r>
      <w:proofErr w:type="spellStart"/>
      <w:r>
        <w:rPr>
          <w:rFonts w:ascii="Times New Roman" w:eastAsia="Times New Roman" w:hAnsi="Times New Roman" w:cs="Times New Roman"/>
          <w:sz w:val="24"/>
          <w:szCs w:val="24"/>
          <w:highlight w:val="white"/>
        </w:rPr>
        <w:t>dinafikan</w:t>
      </w:r>
      <w:proofErr w:type="spellEnd"/>
      <w:r>
        <w:rPr>
          <w:rFonts w:ascii="Times New Roman" w:eastAsia="Times New Roman" w:hAnsi="Times New Roman" w:cs="Times New Roman"/>
          <w:sz w:val="24"/>
          <w:szCs w:val="24"/>
          <w:highlight w:val="white"/>
        </w:rPr>
        <w:t xml:space="preserve"> oleh </w:t>
      </w:r>
      <w:proofErr w:type="spellStart"/>
      <w:r>
        <w:rPr>
          <w:rFonts w:ascii="Times New Roman" w:eastAsia="Times New Roman" w:hAnsi="Times New Roman" w:cs="Times New Roman"/>
          <w:sz w:val="24"/>
          <w:szCs w:val="24"/>
          <w:highlight w:val="white"/>
        </w:rPr>
        <w:t>pihak</w:t>
      </w:r>
      <w:proofErr w:type="spellEnd"/>
      <w:r>
        <w:rPr>
          <w:rFonts w:ascii="Times New Roman" w:eastAsia="Times New Roman" w:hAnsi="Times New Roman" w:cs="Times New Roman"/>
          <w:sz w:val="24"/>
          <w:szCs w:val="24"/>
          <w:highlight w:val="white"/>
        </w:rPr>
        <w:t xml:space="preserve"> yang lain. </w:t>
      </w:r>
    </w:p>
    <w:p w14:paraId="00000034" w14:textId="77777777" w:rsidR="00E97409" w:rsidRDefault="00E97409" w:rsidP="00690802">
      <w:pPr>
        <w:spacing w:after="0" w:line="240" w:lineRule="auto"/>
        <w:ind w:left="630" w:hanging="630"/>
        <w:jc w:val="both"/>
        <w:rPr>
          <w:rFonts w:ascii="Times New Roman" w:eastAsia="Times New Roman" w:hAnsi="Times New Roman" w:cs="Times New Roman"/>
          <w:sz w:val="24"/>
          <w:szCs w:val="24"/>
          <w:highlight w:val="white"/>
        </w:rPr>
      </w:pPr>
    </w:p>
    <w:p w14:paraId="00000035" w14:textId="77777777" w:rsidR="00E97409" w:rsidRDefault="007741DD" w:rsidP="00690802">
      <w:pPr>
        <w:numPr>
          <w:ilvl w:val="0"/>
          <w:numId w:val="5"/>
        </w:numPr>
        <w:spacing w:after="0" w:line="240" w:lineRule="auto"/>
        <w:ind w:left="630" w:hanging="630"/>
        <w:jc w:val="both"/>
        <w:rPr>
          <w:rFonts w:ascii="Times New Roman" w:eastAsia="Times New Roman" w:hAnsi="Times New Roman" w:cs="Times New Roman"/>
          <w:sz w:val="24"/>
          <w:szCs w:val="24"/>
          <w:highlight w:val="white"/>
        </w:rPr>
      </w:pPr>
      <w:proofErr w:type="spellStart"/>
      <w:r>
        <w:rPr>
          <w:rFonts w:ascii="Times New Roman" w:eastAsia="Times New Roman" w:hAnsi="Times New Roman" w:cs="Times New Roman"/>
          <w:sz w:val="24"/>
          <w:szCs w:val="24"/>
          <w:highlight w:val="white"/>
        </w:rPr>
        <w:t>Apabila</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perkara</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ini</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dicapai</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kedua-dua</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pihak</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akan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menentukan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isu</w:t>
      </w:r>
      <w:proofErr w:type="spellEnd"/>
      <w:r>
        <w:rPr>
          <w:rFonts w:ascii="Times New Roman" w:eastAsia="Times New Roman" w:hAnsi="Times New Roman" w:cs="Times New Roman"/>
          <w:sz w:val="24"/>
          <w:szCs w:val="24"/>
          <w:highlight w:val="white"/>
        </w:rPr>
        <w:t xml:space="preserve"> pada </w:t>
      </w:r>
      <w:proofErr w:type="spellStart"/>
      <w:r>
        <w:rPr>
          <w:rFonts w:ascii="Times New Roman" w:eastAsia="Times New Roman" w:hAnsi="Times New Roman" w:cs="Times New Roman"/>
          <w:sz w:val="24"/>
          <w:szCs w:val="24"/>
          <w:highlight w:val="white"/>
        </w:rPr>
        <w:t>akhir</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pliding</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mereka</w:t>
      </w:r>
      <w:proofErr w:type="spellEnd"/>
      <w:r>
        <w:rPr>
          <w:rFonts w:ascii="Times New Roman" w:eastAsia="Times New Roman" w:hAnsi="Times New Roman" w:cs="Times New Roman"/>
          <w:sz w:val="24"/>
          <w:szCs w:val="24"/>
          <w:highlight w:val="white"/>
        </w:rPr>
        <w:t xml:space="preserve">. </w:t>
      </w:r>
    </w:p>
    <w:p w14:paraId="00000036" w14:textId="77777777" w:rsidR="00E97409" w:rsidRDefault="00E97409" w:rsidP="00690802">
      <w:pPr>
        <w:spacing w:after="0" w:line="240" w:lineRule="auto"/>
        <w:ind w:left="630" w:hanging="630"/>
        <w:jc w:val="both"/>
        <w:rPr>
          <w:rFonts w:ascii="Times New Roman" w:eastAsia="Times New Roman" w:hAnsi="Times New Roman" w:cs="Times New Roman"/>
          <w:sz w:val="24"/>
          <w:szCs w:val="24"/>
          <w:highlight w:val="white"/>
        </w:rPr>
      </w:pPr>
    </w:p>
    <w:p w14:paraId="00000037" w14:textId="77777777" w:rsidR="00E97409" w:rsidRDefault="007741DD" w:rsidP="00690802">
      <w:pPr>
        <w:numPr>
          <w:ilvl w:val="0"/>
          <w:numId w:val="5"/>
        </w:numPr>
        <w:spacing w:after="0" w:line="240" w:lineRule="auto"/>
        <w:ind w:left="630" w:hanging="63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Jika </w:t>
      </w:r>
      <w:proofErr w:type="spellStart"/>
      <w:r>
        <w:rPr>
          <w:rFonts w:ascii="Times New Roman" w:eastAsia="Times New Roman" w:hAnsi="Times New Roman" w:cs="Times New Roman"/>
          <w:sz w:val="24"/>
          <w:szCs w:val="24"/>
          <w:highlight w:val="white"/>
        </w:rPr>
        <w:t>sesuatu</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isu</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itu</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ialah</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persoalan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undang-undang</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ia</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akan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diputuskan</w:t>
      </w:r>
      <w:proofErr w:type="spellEnd"/>
      <w:r>
        <w:rPr>
          <w:rFonts w:ascii="Times New Roman" w:eastAsia="Times New Roman" w:hAnsi="Times New Roman" w:cs="Times New Roman"/>
          <w:sz w:val="24"/>
          <w:szCs w:val="24"/>
          <w:highlight w:val="white"/>
        </w:rPr>
        <w:t xml:space="preserve"> oleh hakim </w:t>
      </w:r>
      <w:proofErr w:type="spellStart"/>
      <w:r>
        <w:rPr>
          <w:rFonts w:ascii="Times New Roman" w:eastAsia="Times New Roman" w:hAnsi="Times New Roman" w:cs="Times New Roman"/>
          <w:sz w:val="24"/>
          <w:szCs w:val="24"/>
          <w:highlight w:val="white"/>
        </w:rPr>
        <w:t>manakala</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jika</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ia</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adalah</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persoalan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fakta</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ia</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akan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dibicarakan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mengikut</w:t>
      </w:r>
      <w:proofErr w:type="spellEnd"/>
      <w:r>
        <w:rPr>
          <w:rFonts w:ascii="Times New Roman" w:eastAsia="Times New Roman" w:hAnsi="Times New Roman" w:cs="Times New Roman"/>
          <w:sz w:val="24"/>
          <w:szCs w:val="24"/>
          <w:highlight w:val="white"/>
        </w:rPr>
        <w:t xml:space="preserve"> salah </w:t>
      </w:r>
      <w:proofErr w:type="spellStart"/>
      <w:r>
        <w:rPr>
          <w:rFonts w:ascii="Times New Roman" w:eastAsia="Times New Roman" w:hAnsi="Times New Roman" w:cs="Times New Roman"/>
          <w:sz w:val="24"/>
          <w:szCs w:val="24"/>
          <w:highlight w:val="white"/>
        </w:rPr>
        <w:t>satu</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cara</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perbicaraan</w:t>
      </w:r>
      <w:proofErr w:type="spellEnd"/>
      <w:r>
        <w:rPr>
          <w:rFonts w:ascii="Times New Roman" w:eastAsia="Times New Roman" w:hAnsi="Times New Roman" w:cs="Times New Roman"/>
          <w:sz w:val="24"/>
          <w:szCs w:val="24"/>
          <w:highlight w:val="white"/>
        </w:rPr>
        <w:t xml:space="preserve"> yang </w:t>
      </w:r>
      <w:proofErr w:type="spellStart"/>
      <w:r>
        <w:rPr>
          <w:rFonts w:ascii="Times New Roman" w:eastAsia="Times New Roman" w:hAnsi="Times New Roman" w:cs="Times New Roman"/>
          <w:sz w:val="24"/>
          <w:szCs w:val="24"/>
          <w:highlight w:val="white"/>
        </w:rPr>
        <w:t>wujud</w:t>
      </w:r>
      <w:proofErr w:type="spellEnd"/>
      <w:r>
        <w:rPr>
          <w:rFonts w:ascii="Times New Roman" w:eastAsia="Times New Roman" w:hAnsi="Times New Roman" w:cs="Times New Roman"/>
          <w:sz w:val="24"/>
          <w:szCs w:val="24"/>
          <w:highlight w:val="white"/>
        </w:rPr>
        <w:t xml:space="preserve"> pada </w:t>
      </w:r>
      <w:proofErr w:type="spellStart"/>
      <w:r>
        <w:rPr>
          <w:rFonts w:ascii="Times New Roman" w:eastAsia="Times New Roman" w:hAnsi="Times New Roman" w:cs="Times New Roman"/>
          <w:sz w:val="24"/>
          <w:szCs w:val="24"/>
          <w:highlight w:val="white"/>
        </w:rPr>
        <w:t>ketika</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itu</w:t>
      </w:r>
      <w:proofErr w:type="spellEnd"/>
      <w:r>
        <w:rPr>
          <w:rFonts w:ascii="Times New Roman" w:eastAsia="Times New Roman" w:hAnsi="Times New Roman" w:cs="Times New Roman"/>
          <w:sz w:val="24"/>
          <w:szCs w:val="24"/>
          <w:highlight w:val="white"/>
        </w:rPr>
        <w:t>.</w:t>
      </w:r>
    </w:p>
    <w:p w14:paraId="00000038" w14:textId="77777777" w:rsidR="00E97409" w:rsidRDefault="00E97409" w:rsidP="00690802">
      <w:pPr>
        <w:spacing w:after="0" w:line="240" w:lineRule="auto"/>
        <w:ind w:left="630" w:hanging="630"/>
        <w:jc w:val="both"/>
        <w:rPr>
          <w:rFonts w:ascii="Times New Roman" w:eastAsia="Times New Roman" w:hAnsi="Times New Roman" w:cs="Times New Roman"/>
          <w:sz w:val="24"/>
          <w:szCs w:val="24"/>
          <w:highlight w:val="white"/>
        </w:rPr>
      </w:pPr>
    </w:p>
    <w:p w14:paraId="00000039" w14:textId="77777777" w:rsidR="00E97409" w:rsidRDefault="007741DD" w:rsidP="00690802">
      <w:pPr>
        <w:numPr>
          <w:ilvl w:val="0"/>
          <w:numId w:val="5"/>
        </w:numPr>
        <w:spacing w:after="0" w:line="240" w:lineRule="auto"/>
        <w:ind w:left="630" w:hanging="630"/>
        <w:jc w:val="both"/>
        <w:rPr>
          <w:rFonts w:ascii="Times New Roman" w:eastAsia="Times New Roman" w:hAnsi="Times New Roman" w:cs="Times New Roman"/>
          <w:sz w:val="24"/>
          <w:szCs w:val="24"/>
          <w:highlight w:val="white"/>
        </w:rPr>
      </w:pPr>
      <w:proofErr w:type="spellStart"/>
      <w:r>
        <w:rPr>
          <w:rFonts w:ascii="Times New Roman" w:eastAsia="Times New Roman" w:hAnsi="Times New Roman" w:cs="Times New Roman"/>
          <w:sz w:val="24"/>
          <w:szCs w:val="24"/>
          <w:highlight w:val="white"/>
        </w:rPr>
        <w:t>Semasa</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pliding</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lisan</w:t>
      </w:r>
      <w:proofErr w:type="spellEnd"/>
      <w:r>
        <w:rPr>
          <w:rFonts w:ascii="Times New Roman" w:eastAsia="Times New Roman" w:hAnsi="Times New Roman" w:cs="Times New Roman"/>
          <w:sz w:val="24"/>
          <w:szCs w:val="24"/>
          <w:highlight w:val="white"/>
        </w:rPr>
        <w:t xml:space="preserve"> di mana </w:t>
      </w:r>
      <w:proofErr w:type="spellStart"/>
      <w:r>
        <w:rPr>
          <w:rFonts w:ascii="Times New Roman" w:eastAsia="Times New Roman" w:hAnsi="Times New Roman" w:cs="Times New Roman"/>
          <w:sz w:val="24"/>
          <w:szCs w:val="24"/>
          <w:highlight w:val="white"/>
        </w:rPr>
        <w:t>isu-isu</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dipastikan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catatan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dibuat</w:t>
      </w:r>
      <w:proofErr w:type="spellEnd"/>
      <w:r>
        <w:rPr>
          <w:rFonts w:ascii="Times New Roman" w:eastAsia="Times New Roman" w:hAnsi="Times New Roman" w:cs="Times New Roman"/>
          <w:sz w:val="24"/>
          <w:szCs w:val="24"/>
          <w:highlight w:val="white"/>
        </w:rPr>
        <w:t xml:space="preserve"> pada </w:t>
      </w:r>
      <w:proofErr w:type="spellStart"/>
      <w:r>
        <w:rPr>
          <w:rFonts w:ascii="Times New Roman" w:eastAsia="Times New Roman" w:hAnsi="Times New Roman" w:cs="Times New Roman"/>
          <w:sz w:val="24"/>
          <w:szCs w:val="24"/>
          <w:highlight w:val="white"/>
        </w:rPr>
        <w:t>gulungan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kertas</w:t>
      </w:r>
      <w:proofErr w:type="spellEnd"/>
      <w:r>
        <w:rPr>
          <w:rFonts w:ascii="Times New Roman" w:eastAsia="Times New Roman" w:hAnsi="Times New Roman" w:cs="Times New Roman"/>
          <w:sz w:val="24"/>
          <w:szCs w:val="24"/>
          <w:highlight w:val="white"/>
        </w:rPr>
        <w:t xml:space="preserve"> oleh </w:t>
      </w:r>
      <w:proofErr w:type="spellStart"/>
      <w:r>
        <w:rPr>
          <w:rFonts w:ascii="Times New Roman" w:eastAsia="Times New Roman" w:hAnsi="Times New Roman" w:cs="Times New Roman"/>
          <w:sz w:val="24"/>
          <w:szCs w:val="24"/>
          <w:highlight w:val="white"/>
        </w:rPr>
        <w:t>seorang</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pegawai</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mahkamah</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tentang</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dakwaan</w:t>
      </w:r>
      <w:proofErr w:type="spellEnd"/>
      <w:r>
        <w:rPr>
          <w:rFonts w:ascii="Times New Roman" w:eastAsia="Times New Roman" w:hAnsi="Times New Roman" w:cs="Times New Roman"/>
          <w:sz w:val="24"/>
          <w:szCs w:val="24"/>
          <w:highlight w:val="white"/>
        </w:rPr>
        <w:t xml:space="preserve"> yang </w:t>
      </w:r>
      <w:proofErr w:type="spellStart"/>
      <w:r>
        <w:rPr>
          <w:rFonts w:ascii="Times New Roman" w:eastAsia="Times New Roman" w:hAnsi="Times New Roman" w:cs="Times New Roman"/>
          <w:sz w:val="24"/>
          <w:szCs w:val="24"/>
          <w:highlight w:val="white"/>
        </w:rPr>
        <w:t>dibuat</w:t>
      </w:r>
      <w:proofErr w:type="spellEnd"/>
      <w:r>
        <w:rPr>
          <w:rFonts w:ascii="Times New Roman" w:eastAsia="Times New Roman" w:hAnsi="Times New Roman" w:cs="Times New Roman"/>
          <w:sz w:val="24"/>
          <w:szCs w:val="24"/>
          <w:highlight w:val="white"/>
        </w:rPr>
        <w:t xml:space="preserve"> oleh </w:t>
      </w:r>
      <w:proofErr w:type="spellStart"/>
      <w:r>
        <w:rPr>
          <w:rFonts w:ascii="Times New Roman" w:eastAsia="Times New Roman" w:hAnsi="Times New Roman" w:cs="Times New Roman"/>
          <w:sz w:val="24"/>
          <w:szCs w:val="24"/>
          <w:highlight w:val="white"/>
        </w:rPr>
        <w:t>setiap</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pihak</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secara</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bergilir-gilir</w:t>
      </w:r>
      <w:proofErr w:type="spellEnd"/>
      <w:r>
        <w:rPr>
          <w:rFonts w:ascii="Times New Roman" w:eastAsia="Times New Roman" w:hAnsi="Times New Roman" w:cs="Times New Roman"/>
          <w:sz w:val="24"/>
          <w:szCs w:val="24"/>
          <w:highlight w:val="white"/>
        </w:rPr>
        <w:t xml:space="preserve">. </w:t>
      </w:r>
    </w:p>
    <w:p w14:paraId="0000003A" w14:textId="77777777" w:rsidR="00E97409" w:rsidRDefault="00E97409" w:rsidP="00690802">
      <w:pPr>
        <w:spacing w:after="0" w:line="240" w:lineRule="auto"/>
        <w:ind w:left="630" w:hanging="630"/>
        <w:jc w:val="both"/>
        <w:rPr>
          <w:rFonts w:ascii="Times New Roman" w:eastAsia="Times New Roman" w:hAnsi="Times New Roman" w:cs="Times New Roman"/>
          <w:sz w:val="24"/>
          <w:szCs w:val="24"/>
          <w:highlight w:val="white"/>
        </w:rPr>
      </w:pPr>
    </w:p>
    <w:p w14:paraId="0000003B" w14:textId="77777777" w:rsidR="00E97409" w:rsidRDefault="007741DD" w:rsidP="00690802">
      <w:pPr>
        <w:numPr>
          <w:ilvl w:val="0"/>
          <w:numId w:val="5"/>
        </w:numPr>
        <w:spacing w:after="0" w:line="240" w:lineRule="auto"/>
        <w:ind w:left="630" w:hanging="63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Pada </w:t>
      </w:r>
      <w:proofErr w:type="spellStart"/>
      <w:r>
        <w:rPr>
          <w:rFonts w:ascii="Times New Roman" w:eastAsia="Times New Roman" w:hAnsi="Times New Roman" w:cs="Times New Roman"/>
          <w:sz w:val="24"/>
          <w:szCs w:val="24"/>
          <w:highlight w:val="white"/>
        </w:rPr>
        <w:t>kertas</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ini</w:t>
      </w:r>
      <w:proofErr w:type="spellEnd"/>
      <w:r>
        <w:rPr>
          <w:rFonts w:ascii="Times New Roman" w:eastAsia="Times New Roman" w:hAnsi="Times New Roman" w:cs="Times New Roman"/>
          <w:sz w:val="24"/>
          <w:szCs w:val="24"/>
          <w:highlight w:val="white"/>
        </w:rPr>
        <w:t xml:space="preserve"> juga </w:t>
      </w:r>
      <w:proofErr w:type="spellStart"/>
      <w:r>
        <w:rPr>
          <w:rFonts w:ascii="Times New Roman" w:eastAsia="Times New Roman" w:hAnsi="Times New Roman" w:cs="Times New Roman"/>
          <w:sz w:val="24"/>
          <w:szCs w:val="24"/>
          <w:highlight w:val="white"/>
        </w:rPr>
        <w:t>telah</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dimasukkan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notis</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singkat</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tentang</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sifat</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tindakan</w:t>
      </w:r>
      <w:proofErr w:type="spellEnd"/>
      <w:r>
        <w:rPr>
          <w:rFonts w:ascii="Times New Roman" w:eastAsia="Times New Roman" w:hAnsi="Times New Roman" w:cs="Times New Roman"/>
          <w:sz w:val="24"/>
          <w:szCs w:val="24"/>
          <w:highlight w:val="white"/>
        </w:rPr>
        <w:t xml:space="preserve"> dan </w:t>
      </w:r>
      <w:proofErr w:type="spellStart"/>
      <w:r>
        <w:rPr>
          <w:rFonts w:ascii="Times New Roman" w:eastAsia="Times New Roman" w:hAnsi="Times New Roman" w:cs="Times New Roman"/>
          <w:sz w:val="24"/>
          <w:szCs w:val="24"/>
          <w:highlight w:val="white"/>
        </w:rPr>
        <w:t>tindakan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mahkamah</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itu</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sendiri</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Perkara</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ini</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dipanggil</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rekod</w:t>
      </w:r>
      <w:proofErr w:type="spellEnd"/>
      <w:r>
        <w:rPr>
          <w:rFonts w:ascii="Times New Roman" w:eastAsia="Times New Roman" w:hAnsi="Times New Roman" w:cs="Times New Roman"/>
          <w:sz w:val="24"/>
          <w:szCs w:val="24"/>
          <w:highlight w:val="white"/>
        </w:rPr>
        <w:t xml:space="preserve">' dan </w:t>
      </w:r>
      <w:proofErr w:type="spellStart"/>
      <w:r>
        <w:rPr>
          <w:rFonts w:ascii="Times New Roman" w:eastAsia="Times New Roman" w:hAnsi="Times New Roman" w:cs="Times New Roman"/>
          <w:sz w:val="24"/>
          <w:szCs w:val="24"/>
          <w:highlight w:val="white"/>
        </w:rPr>
        <w:t>adalah</w:t>
      </w:r>
      <w:proofErr w:type="spellEnd"/>
      <w:r>
        <w:rPr>
          <w:rFonts w:ascii="Times New Roman" w:eastAsia="Times New Roman" w:hAnsi="Times New Roman" w:cs="Times New Roman"/>
          <w:sz w:val="24"/>
          <w:szCs w:val="24"/>
          <w:highlight w:val="white"/>
        </w:rPr>
        <w:t xml:space="preserve"> daftar </w:t>
      </w:r>
      <w:proofErr w:type="spellStart"/>
      <w:r>
        <w:rPr>
          <w:rFonts w:ascii="Times New Roman" w:eastAsia="Times New Roman" w:hAnsi="Times New Roman" w:cs="Times New Roman"/>
          <w:sz w:val="24"/>
          <w:szCs w:val="24"/>
          <w:highlight w:val="white"/>
        </w:rPr>
        <w:t>rasmi</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pliding</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itu</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Ia</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telah</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dipelihara</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sebagai</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kesaksian</w:t>
      </w:r>
      <w:proofErr w:type="spellEnd"/>
      <w:r>
        <w:rPr>
          <w:rFonts w:ascii="Times New Roman" w:eastAsia="Times New Roman" w:hAnsi="Times New Roman" w:cs="Times New Roman"/>
          <w:sz w:val="24"/>
          <w:szCs w:val="24"/>
          <w:highlight w:val="white"/>
        </w:rPr>
        <w:t xml:space="preserve"> yang </w:t>
      </w:r>
      <w:proofErr w:type="spellStart"/>
      <w:r>
        <w:rPr>
          <w:rFonts w:ascii="Times New Roman" w:eastAsia="Times New Roman" w:hAnsi="Times New Roman" w:cs="Times New Roman"/>
          <w:sz w:val="24"/>
          <w:szCs w:val="24"/>
          <w:highlight w:val="white"/>
        </w:rPr>
        <w:t>kekal</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intrinsik</w:t>
      </w:r>
      <w:proofErr w:type="spellEnd"/>
      <w:r>
        <w:rPr>
          <w:rFonts w:ascii="Times New Roman" w:eastAsia="Times New Roman" w:hAnsi="Times New Roman" w:cs="Times New Roman"/>
          <w:sz w:val="24"/>
          <w:szCs w:val="24"/>
          <w:highlight w:val="white"/>
        </w:rPr>
        <w:t xml:space="preserve">, dan </w:t>
      </w:r>
      <w:proofErr w:type="spellStart"/>
      <w:r>
        <w:rPr>
          <w:rFonts w:ascii="Times New Roman" w:eastAsia="Times New Roman" w:hAnsi="Times New Roman" w:cs="Times New Roman"/>
          <w:sz w:val="24"/>
          <w:szCs w:val="24"/>
          <w:highlight w:val="white"/>
        </w:rPr>
        <w:t>boleh</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diterima</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bagi</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semua</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prosiding</w:t>
      </w:r>
      <w:proofErr w:type="spellEnd"/>
      <w:r>
        <w:rPr>
          <w:rFonts w:ascii="Times New Roman" w:eastAsia="Times New Roman" w:hAnsi="Times New Roman" w:cs="Times New Roman"/>
          <w:sz w:val="24"/>
          <w:szCs w:val="24"/>
          <w:highlight w:val="white"/>
        </w:rPr>
        <w:t xml:space="preserve"> yang </w:t>
      </w:r>
      <w:proofErr w:type="spellStart"/>
      <w:r>
        <w:rPr>
          <w:rFonts w:ascii="Times New Roman" w:eastAsia="Times New Roman" w:hAnsi="Times New Roman" w:cs="Times New Roman"/>
          <w:sz w:val="24"/>
          <w:szCs w:val="24"/>
          <w:highlight w:val="white"/>
        </w:rPr>
        <w:t>berkaitan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Pliding</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lisan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ini</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disampaikan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sama</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ada</w:t>
      </w:r>
      <w:proofErr w:type="spellEnd"/>
      <w:r>
        <w:rPr>
          <w:rFonts w:ascii="Times New Roman" w:eastAsia="Times New Roman" w:hAnsi="Times New Roman" w:cs="Times New Roman"/>
          <w:sz w:val="24"/>
          <w:szCs w:val="24"/>
          <w:highlight w:val="white"/>
        </w:rPr>
        <w:t xml:space="preserve"> oleh </w:t>
      </w:r>
      <w:proofErr w:type="spellStart"/>
      <w:r>
        <w:rPr>
          <w:rFonts w:ascii="Times New Roman" w:eastAsia="Times New Roman" w:hAnsi="Times New Roman" w:cs="Times New Roman"/>
          <w:sz w:val="24"/>
          <w:szCs w:val="24"/>
          <w:highlight w:val="white"/>
        </w:rPr>
        <w:t>pihak</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itu</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sendiri</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atau</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wakilnya</w:t>
      </w:r>
      <w:proofErr w:type="spellEnd"/>
      <w:r>
        <w:rPr>
          <w:rFonts w:ascii="Times New Roman" w:eastAsia="Times New Roman" w:hAnsi="Times New Roman" w:cs="Times New Roman"/>
          <w:sz w:val="24"/>
          <w:szCs w:val="24"/>
          <w:highlight w:val="white"/>
          <w:vertAlign w:val="superscript"/>
        </w:rPr>
        <w:footnoteReference w:id="9"/>
      </w:r>
      <w:r>
        <w:rPr>
          <w:rFonts w:ascii="Times New Roman" w:eastAsia="Times New Roman" w:hAnsi="Times New Roman" w:cs="Times New Roman"/>
          <w:sz w:val="24"/>
          <w:szCs w:val="24"/>
          <w:highlight w:val="white"/>
        </w:rPr>
        <w:t>.</w:t>
      </w:r>
    </w:p>
    <w:p w14:paraId="0000003C" w14:textId="77777777" w:rsidR="00E97409" w:rsidRDefault="00E97409" w:rsidP="00690802">
      <w:pPr>
        <w:spacing w:after="0" w:line="240" w:lineRule="auto"/>
        <w:ind w:left="720"/>
        <w:jc w:val="both"/>
        <w:rPr>
          <w:rFonts w:ascii="Times New Roman" w:eastAsia="Times New Roman" w:hAnsi="Times New Roman" w:cs="Times New Roman"/>
          <w:sz w:val="24"/>
          <w:szCs w:val="24"/>
          <w:highlight w:val="white"/>
        </w:rPr>
      </w:pPr>
    </w:p>
    <w:p w14:paraId="0000003D" w14:textId="77777777" w:rsidR="00E97409" w:rsidRDefault="007741DD" w:rsidP="00690802">
      <w:pPr>
        <w:spacing w:after="0" w:line="240" w:lineRule="auto"/>
        <w:ind w:firstLine="720"/>
        <w:jc w:val="both"/>
        <w:rPr>
          <w:rFonts w:ascii="Times New Roman" w:eastAsia="Times New Roman" w:hAnsi="Times New Roman" w:cs="Times New Roman"/>
          <w:sz w:val="24"/>
          <w:szCs w:val="24"/>
          <w:highlight w:val="white"/>
        </w:rPr>
      </w:pPr>
      <w:proofErr w:type="spellStart"/>
      <w:r>
        <w:rPr>
          <w:rFonts w:ascii="Times New Roman" w:eastAsia="Times New Roman" w:hAnsi="Times New Roman" w:cs="Times New Roman"/>
          <w:sz w:val="24"/>
          <w:szCs w:val="24"/>
          <w:highlight w:val="white"/>
        </w:rPr>
        <w:lastRenderedPageBreak/>
        <w:t>Secara</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beransur-ansur</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ia</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menjadi</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suatu</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amalan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bagi</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pemohon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untuk</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memasukkan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kenyataannya</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dalam</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gulungan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kertas</w:t>
      </w:r>
      <w:proofErr w:type="spellEnd"/>
      <w:r>
        <w:rPr>
          <w:rFonts w:ascii="Times New Roman" w:eastAsia="Times New Roman" w:hAnsi="Times New Roman" w:cs="Times New Roman"/>
          <w:sz w:val="24"/>
          <w:szCs w:val="24"/>
          <w:highlight w:val="white"/>
        </w:rPr>
        <w:t xml:space="preserve">, di mana </w:t>
      </w:r>
      <w:proofErr w:type="spellStart"/>
      <w:r>
        <w:rPr>
          <w:rFonts w:ascii="Times New Roman" w:eastAsia="Times New Roman" w:hAnsi="Times New Roman" w:cs="Times New Roman"/>
          <w:sz w:val="24"/>
          <w:szCs w:val="24"/>
          <w:highlight w:val="white"/>
        </w:rPr>
        <w:t>pihak</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lawan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akan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mempunyai</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akses</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untuk</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menyediakan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pembelaanya</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Setelah</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sekian</w:t>
      </w:r>
      <w:proofErr w:type="spellEnd"/>
      <w:r>
        <w:rPr>
          <w:rFonts w:ascii="Times New Roman" w:eastAsia="Times New Roman" w:hAnsi="Times New Roman" w:cs="Times New Roman"/>
          <w:sz w:val="24"/>
          <w:szCs w:val="24"/>
          <w:highlight w:val="white"/>
        </w:rPr>
        <w:t xml:space="preserve"> lama, </w:t>
      </w:r>
      <w:proofErr w:type="spellStart"/>
      <w:r>
        <w:rPr>
          <w:rFonts w:ascii="Times New Roman" w:eastAsia="Times New Roman" w:hAnsi="Times New Roman" w:cs="Times New Roman"/>
          <w:sz w:val="24"/>
          <w:szCs w:val="24"/>
          <w:highlight w:val="white"/>
        </w:rPr>
        <w:t>bagi</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mengurangkan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kesulitan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satu</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amalan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telah</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muncul</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sewaktu</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pemerintahan</w:t>
      </w:r>
      <w:proofErr w:type="spellEnd"/>
      <w:r>
        <w:rPr>
          <w:rFonts w:ascii="Times New Roman" w:eastAsia="Times New Roman" w:hAnsi="Times New Roman" w:cs="Times New Roman"/>
          <w:sz w:val="24"/>
          <w:szCs w:val="24"/>
          <w:highlight w:val="white"/>
        </w:rPr>
        <w:t xml:space="preserve"> Edward IV di mana </w:t>
      </w:r>
      <w:proofErr w:type="spellStart"/>
      <w:r>
        <w:rPr>
          <w:rFonts w:ascii="Times New Roman" w:eastAsia="Times New Roman" w:hAnsi="Times New Roman" w:cs="Times New Roman"/>
          <w:sz w:val="24"/>
          <w:szCs w:val="24"/>
          <w:highlight w:val="white"/>
        </w:rPr>
        <w:t>pemohon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menyampaikan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pliding</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tersebut</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secara</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bertulis</w:t>
      </w:r>
      <w:proofErr w:type="spellEnd"/>
      <w:r>
        <w:rPr>
          <w:rFonts w:ascii="Times New Roman" w:eastAsia="Times New Roman" w:hAnsi="Times New Roman" w:cs="Times New Roman"/>
          <w:sz w:val="24"/>
          <w:szCs w:val="24"/>
          <w:highlight w:val="white"/>
          <w:vertAlign w:val="superscript"/>
        </w:rPr>
        <w:footnoteReference w:id="10"/>
      </w:r>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Amalan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ini</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mula</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dipraktikkan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secara</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lebih</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meluas</w:t>
      </w:r>
      <w:proofErr w:type="spellEnd"/>
      <w:r>
        <w:rPr>
          <w:rFonts w:ascii="Times New Roman" w:eastAsia="Times New Roman" w:hAnsi="Times New Roman" w:cs="Times New Roman"/>
          <w:sz w:val="24"/>
          <w:szCs w:val="24"/>
          <w:highlight w:val="white"/>
        </w:rPr>
        <w:t xml:space="preserve"> kerana </w:t>
      </w:r>
      <w:proofErr w:type="spellStart"/>
      <w:r>
        <w:rPr>
          <w:rFonts w:ascii="Times New Roman" w:eastAsia="Times New Roman" w:hAnsi="Times New Roman" w:cs="Times New Roman"/>
          <w:sz w:val="24"/>
          <w:szCs w:val="24"/>
          <w:highlight w:val="white"/>
        </w:rPr>
        <w:t>ia</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memudahkan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semua</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pihak</w:t>
      </w:r>
      <w:proofErr w:type="spellEnd"/>
      <w:r>
        <w:rPr>
          <w:rFonts w:ascii="Times New Roman" w:eastAsia="Times New Roman" w:hAnsi="Times New Roman" w:cs="Times New Roman"/>
          <w:sz w:val="24"/>
          <w:szCs w:val="24"/>
          <w:highlight w:val="white"/>
        </w:rPr>
        <w:t>.</w:t>
      </w:r>
    </w:p>
    <w:p w14:paraId="0000003E" w14:textId="77777777" w:rsidR="00E97409" w:rsidRDefault="00E97409" w:rsidP="00690802">
      <w:pPr>
        <w:spacing w:after="0" w:line="240" w:lineRule="auto"/>
        <w:jc w:val="both"/>
        <w:rPr>
          <w:rFonts w:ascii="Times New Roman" w:eastAsia="Times New Roman" w:hAnsi="Times New Roman" w:cs="Times New Roman"/>
          <w:sz w:val="24"/>
          <w:szCs w:val="24"/>
          <w:highlight w:val="white"/>
        </w:rPr>
      </w:pPr>
    </w:p>
    <w:p w14:paraId="0000003F" w14:textId="77777777" w:rsidR="00E97409" w:rsidRDefault="007741DD" w:rsidP="00690802">
      <w:pPr>
        <w:spacing w:after="0" w:line="240" w:lineRule="auto"/>
        <w:ind w:firstLine="720"/>
        <w:jc w:val="both"/>
        <w:rPr>
          <w:rFonts w:ascii="Times New Roman" w:eastAsia="Times New Roman" w:hAnsi="Times New Roman" w:cs="Times New Roman"/>
          <w:sz w:val="24"/>
          <w:szCs w:val="24"/>
          <w:highlight w:val="white"/>
        </w:rPr>
      </w:pPr>
      <w:proofErr w:type="spellStart"/>
      <w:r>
        <w:rPr>
          <w:rFonts w:ascii="Times New Roman" w:eastAsia="Times New Roman" w:hAnsi="Times New Roman" w:cs="Times New Roman"/>
          <w:sz w:val="24"/>
          <w:szCs w:val="24"/>
          <w:highlight w:val="white"/>
        </w:rPr>
        <w:t>Bagaimanapun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walaupun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pliding</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secara</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lisan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telah</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jarang</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digunakan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ia</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masih</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lagi</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tidak</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mengubah</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bentuk</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dakwaan</w:t>
      </w:r>
      <w:proofErr w:type="spellEnd"/>
      <w:r>
        <w:rPr>
          <w:rFonts w:ascii="Times New Roman" w:eastAsia="Times New Roman" w:hAnsi="Times New Roman" w:cs="Times New Roman"/>
          <w:sz w:val="24"/>
          <w:szCs w:val="24"/>
          <w:highlight w:val="white"/>
        </w:rPr>
        <w:t xml:space="preserve"> yang </w:t>
      </w:r>
      <w:proofErr w:type="spellStart"/>
      <w:r>
        <w:rPr>
          <w:rFonts w:ascii="Times New Roman" w:eastAsia="Times New Roman" w:hAnsi="Times New Roman" w:cs="Times New Roman"/>
          <w:sz w:val="24"/>
          <w:szCs w:val="24"/>
          <w:highlight w:val="white"/>
        </w:rPr>
        <w:t>akan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dibuat</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Prinsip-prinsip</w:t>
      </w:r>
      <w:proofErr w:type="spellEnd"/>
      <w:r>
        <w:rPr>
          <w:rFonts w:ascii="Times New Roman" w:eastAsia="Times New Roman" w:hAnsi="Times New Roman" w:cs="Times New Roman"/>
          <w:sz w:val="24"/>
          <w:szCs w:val="24"/>
          <w:highlight w:val="white"/>
        </w:rPr>
        <w:t xml:space="preserve"> yang </w:t>
      </w:r>
      <w:proofErr w:type="spellStart"/>
      <w:r>
        <w:rPr>
          <w:rFonts w:ascii="Times New Roman" w:eastAsia="Times New Roman" w:hAnsi="Times New Roman" w:cs="Times New Roman"/>
          <w:sz w:val="24"/>
          <w:szCs w:val="24"/>
          <w:highlight w:val="white"/>
        </w:rPr>
        <w:t>sama</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masih</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lagi</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berkuatkuasa</w:t>
      </w:r>
      <w:proofErr w:type="spellEnd"/>
      <w:r>
        <w:rPr>
          <w:rFonts w:ascii="Times New Roman" w:eastAsia="Times New Roman" w:hAnsi="Times New Roman" w:cs="Times New Roman"/>
          <w:sz w:val="24"/>
          <w:szCs w:val="24"/>
          <w:highlight w:val="white"/>
        </w:rPr>
        <w:t xml:space="preserve">, dan </w:t>
      </w:r>
      <w:proofErr w:type="spellStart"/>
      <w:r>
        <w:rPr>
          <w:rFonts w:ascii="Times New Roman" w:eastAsia="Times New Roman" w:hAnsi="Times New Roman" w:cs="Times New Roman"/>
          <w:sz w:val="24"/>
          <w:szCs w:val="24"/>
          <w:highlight w:val="white"/>
        </w:rPr>
        <w:t>pihak-pihak</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tersebut</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setuju</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kepada</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satu</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isu</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dalam</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pliding</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bertulis</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sepertimana</w:t>
      </w:r>
      <w:proofErr w:type="spellEnd"/>
      <w:r>
        <w:rPr>
          <w:rFonts w:ascii="Times New Roman" w:eastAsia="Times New Roman" w:hAnsi="Times New Roman" w:cs="Times New Roman"/>
          <w:sz w:val="24"/>
          <w:szCs w:val="24"/>
          <w:highlight w:val="white"/>
        </w:rPr>
        <w:t xml:space="preserve"> yang </w:t>
      </w:r>
      <w:proofErr w:type="spellStart"/>
      <w:r>
        <w:rPr>
          <w:rFonts w:ascii="Times New Roman" w:eastAsia="Times New Roman" w:hAnsi="Times New Roman" w:cs="Times New Roman"/>
          <w:sz w:val="24"/>
          <w:szCs w:val="24"/>
          <w:highlight w:val="white"/>
        </w:rPr>
        <w:t>dilakukan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secara</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lisan</w:t>
      </w:r>
      <w:proofErr w:type="spellEnd"/>
      <w:r>
        <w:rPr>
          <w:rFonts w:ascii="Times New Roman" w:eastAsia="Times New Roman" w:hAnsi="Times New Roman" w:cs="Times New Roman"/>
          <w:sz w:val="24"/>
          <w:szCs w:val="24"/>
          <w:highlight w:val="white"/>
        </w:rPr>
        <w:t xml:space="preserve"> di </w:t>
      </w:r>
      <w:proofErr w:type="spellStart"/>
      <w:r>
        <w:rPr>
          <w:rFonts w:ascii="Times New Roman" w:eastAsia="Times New Roman" w:hAnsi="Times New Roman" w:cs="Times New Roman"/>
          <w:sz w:val="24"/>
          <w:szCs w:val="24"/>
          <w:highlight w:val="white"/>
        </w:rPr>
        <w:t>mahkamah</w:t>
      </w:r>
      <w:proofErr w:type="spellEnd"/>
      <w:r>
        <w:rPr>
          <w:rFonts w:ascii="Times New Roman" w:eastAsia="Times New Roman" w:hAnsi="Times New Roman" w:cs="Times New Roman"/>
          <w:sz w:val="24"/>
          <w:szCs w:val="24"/>
          <w:highlight w:val="white"/>
          <w:vertAlign w:val="superscript"/>
        </w:rPr>
        <w:footnoteReference w:id="11"/>
      </w:r>
      <w:r>
        <w:rPr>
          <w:rFonts w:ascii="Times New Roman" w:eastAsia="Times New Roman" w:hAnsi="Times New Roman" w:cs="Times New Roman"/>
          <w:sz w:val="24"/>
          <w:szCs w:val="24"/>
          <w:highlight w:val="white"/>
        </w:rPr>
        <w:t xml:space="preserve">. </w:t>
      </w:r>
    </w:p>
    <w:p w14:paraId="00000040" w14:textId="77777777" w:rsidR="00E97409" w:rsidRDefault="00E97409" w:rsidP="00690802">
      <w:pPr>
        <w:spacing w:after="0" w:line="240" w:lineRule="auto"/>
        <w:jc w:val="both"/>
        <w:rPr>
          <w:rFonts w:ascii="Times New Roman" w:eastAsia="Times New Roman" w:hAnsi="Times New Roman" w:cs="Times New Roman"/>
          <w:sz w:val="24"/>
          <w:szCs w:val="24"/>
          <w:highlight w:val="white"/>
        </w:rPr>
      </w:pPr>
    </w:p>
    <w:p w14:paraId="00000041" w14:textId="77777777" w:rsidR="00E97409" w:rsidRDefault="007741DD" w:rsidP="00690802">
      <w:pPr>
        <w:spacing w:after="0" w:line="240" w:lineRule="auto"/>
        <w:ind w:firstLine="720"/>
        <w:jc w:val="both"/>
        <w:rPr>
          <w:rFonts w:ascii="Times New Roman" w:eastAsia="Times New Roman" w:hAnsi="Times New Roman" w:cs="Times New Roman"/>
          <w:sz w:val="24"/>
          <w:szCs w:val="24"/>
          <w:highlight w:val="white"/>
        </w:rPr>
      </w:pPr>
      <w:proofErr w:type="spellStart"/>
      <w:r>
        <w:rPr>
          <w:rFonts w:ascii="Times New Roman" w:eastAsia="Times New Roman" w:hAnsi="Times New Roman" w:cs="Times New Roman"/>
          <w:sz w:val="24"/>
          <w:szCs w:val="24"/>
          <w:highlight w:val="white"/>
        </w:rPr>
        <w:t>Mahkamah</w:t>
      </w:r>
      <w:proofErr w:type="spellEnd"/>
      <w:r>
        <w:rPr>
          <w:rFonts w:ascii="Times New Roman" w:eastAsia="Times New Roman" w:hAnsi="Times New Roman" w:cs="Times New Roman"/>
          <w:sz w:val="24"/>
          <w:szCs w:val="24"/>
          <w:highlight w:val="white"/>
        </w:rPr>
        <w:t xml:space="preserve"> di Malaysia </w:t>
      </w:r>
      <w:proofErr w:type="spellStart"/>
      <w:r>
        <w:rPr>
          <w:rFonts w:ascii="Times New Roman" w:eastAsia="Times New Roman" w:hAnsi="Times New Roman" w:cs="Times New Roman"/>
          <w:sz w:val="24"/>
          <w:szCs w:val="24"/>
          <w:highlight w:val="white"/>
        </w:rPr>
        <w:t>mengguna</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pakai</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sistem</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sekarang</w:t>
      </w:r>
      <w:proofErr w:type="spellEnd"/>
      <w:r>
        <w:rPr>
          <w:rFonts w:ascii="Times New Roman" w:eastAsia="Times New Roman" w:hAnsi="Times New Roman" w:cs="Times New Roman"/>
          <w:sz w:val="24"/>
          <w:szCs w:val="24"/>
          <w:highlight w:val="white"/>
        </w:rPr>
        <w:t xml:space="preserve"> di mana </w:t>
      </w:r>
      <w:proofErr w:type="spellStart"/>
      <w:r>
        <w:rPr>
          <w:rFonts w:ascii="Times New Roman" w:eastAsia="Times New Roman" w:hAnsi="Times New Roman" w:cs="Times New Roman"/>
          <w:sz w:val="24"/>
          <w:szCs w:val="24"/>
          <w:highlight w:val="white"/>
        </w:rPr>
        <w:t>pihak</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dalam</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tindakan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sivil</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tersebut</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haruslah</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menyatakan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tuntutannya</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untuk</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memastikan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pihak</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lawan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dapat</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bersiap</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sedia</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untuk</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memberikan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pembelaan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bagi</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pihak</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mereka</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Jikalau</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dilihat</w:t>
      </w:r>
      <w:proofErr w:type="spellEnd"/>
      <w:r>
        <w:rPr>
          <w:rFonts w:ascii="Times New Roman" w:eastAsia="Times New Roman" w:hAnsi="Times New Roman" w:cs="Times New Roman"/>
          <w:sz w:val="24"/>
          <w:szCs w:val="24"/>
          <w:highlight w:val="white"/>
        </w:rPr>
        <w:t xml:space="preserve"> pada </w:t>
      </w:r>
      <w:proofErr w:type="spellStart"/>
      <w:r>
        <w:rPr>
          <w:rFonts w:ascii="Times New Roman" w:eastAsia="Times New Roman" w:hAnsi="Times New Roman" w:cs="Times New Roman"/>
          <w:sz w:val="24"/>
          <w:szCs w:val="24"/>
          <w:highlight w:val="white"/>
        </w:rPr>
        <w:t>sistem</w:t>
      </w:r>
      <w:proofErr w:type="spellEnd"/>
      <w:r>
        <w:rPr>
          <w:rFonts w:ascii="Times New Roman" w:eastAsia="Times New Roman" w:hAnsi="Times New Roman" w:cs="Times New Roman"/>
          <w:sz w:val="24"/>
          <w:szCs w:val="24"/>
          <w:highlight w:val="white"/>
        </w:rPr>
        <w:t xml:space="preserve"> yang lama, </w:t>
      </w:r>
      <w:proofErr w:type="spellStart"/>
      <w:r>
        <w:rPr>
          <w:rFonts w:ascii="Times New Roman" w:eastAsia="Times New Roman" w:hAnsi="Times New Roman" w:cs="Times New Roman"/>
          <w:sz w:val="24"/>
          <w:szCs w:val="24"/>
          <w:highlight w:val="white"/>
        </w:rPr>
        <w:t>prosedur</w:t>
      </w:r>
      <w:proofErr w:type="spellEnd"/>
      <w:r>
        <w:rPr>
          <w:rFonts w:ascii="Times New Roman" w:eastAsia="Times New Roman" w:hAnsi="Times New Roman" w:cs="Times New Roman"/>
          <w:sz w:val="24"/>
          <w:szCs w:val="24"/>
          <w:highlight w:val="white"/>
        </w:rPr>
        <w:t xml:space="preserve"> yang </w:t>
      </w:r>
      <w:proofErr w:type="spellStart"/>
      <w:r>
        <w:rPr>
          <w:rFonts w:ascii="Times New Roman" w:eastAsia="Times New Roman" w:hAnsi="Times New Roman" w:cs="Times New Roman"/>
          <w:sz w:val="24"/>
          <w:szCs w:val="24"/>
          <w:highlight w:val="white"/>
        </w:rPr>
        <w:t>terlibat</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ialah</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pihak-pihak</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akan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cuba</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menyembunyikan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sebanyak</w:t>
      </w:r>
      <w:proofErr w:type="spellEnd"/>
      <w:r>
        <w:rPr>
          <w:rFonts w:ascii="Times New Roman" w:eastAsia="Times New Roman" w:hAnsi="Times New Roman" w:cs="Times New Roman"/>
          <w:sz w:val="24"/>
          <w:szCs w:val="24"/>
          <w:highlight w:val="white"/>
        </w:rPr>
        <w:t xml:space="preserve"> yang </w:t>
      </w:r>
      <w:proofErr w:type="spellStart"/>
      <w:r>
        <w:rPr>
          <w:rFonts w:ascii="Times New Roman" w:eastAsia="Times New Roman" w:hAnsi="Times New Roman" w:cs="Times New Roman"/>
          <w:sz w:val="24"/>
          <w:szCs w:val="24"/>
          <w:highlight w:val="white"/>
        </w:rPr>
        <w:t>mungkin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apa</w:t>
      </w:r>
      <w:proofErr w:type="spellEnd"/>
      <w:r>
        <w:rPr>
          <w:rFonts w:ascii="Times New Roman" w:eastAsia="Times New Roman" w:hAnsi="Times New Roman" w:cs="Times New Roman"/>
          <w:sz w:val="24"/>
          <w:szCs w:val="24"/>
          <w:highlight w:val="white"/>
        </w:rPr>
        <w:t xml:space="preserve"> yang </w:t>
      </w:r>
      <w:proofErr w:type="spellStart"/>
      <w:r>
        <w:rPr>
          <w:rFonts w:ascii="Times New Roman" w:eastAsia="Times New Roman" w:hAnsi="Times New Roman" w:cs="Times New Roman"/>
          <w:sz w:val="24"/>
          <w:szCs w:val="24"/>
          <w:highlight w:val="white"/>
        </w:rPr>
        <w:t>akan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perlu</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dibuktikan</w:t>
      </w:r>
      <w:proofErr w:type="spellEnd"/>
      <w:r>
        <w:rPr>
          <w:rFonts w:ascii="Times New Roman" w:eastAsia="Times New Roman" w:hAnsi="Times New Roman" w:cs="Times New Roman"/>
          <w:sz w:val="24"/>
          <w:szCs w:val="24"/>
          <w:highlight w:val="white"/>
        </w:rPr>
        <w:t xml:space="preserve"> di </w:t>
      </w:r>
      <w:proofErr w:type="spellStart"/>
      <w:r>
        <w:rPr>
          <w:rFonts w:ascii="Times New Roman" w:eastAsia="Times New Roman" w:hAnsi="Times New Roman" w:cs="Times New Roman"/>
          <w:sz w:val="24"/>
          <w:szCs w:val="24"/>
          <w:highlight w:val="white"/>
        </w:rPr>
        <w:t>mahkamah</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Namun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boleh</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dilihat</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bahawa</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ia</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akan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membuat</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pihak</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lawan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akan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terkejut</w:t>
      </w:r>
      <w:proofErr w:type="spellEnd"/>
      <w:r>
        <w:rPr>
          <w:rFonts w:ascii="Times New Roman" w:eastAsia="Times New Roman" w:hAnsi="Times New Roman" w:cs="Times New Roman"/>
          <w:sz w:val="24"/>
          <w:szCs w:val="24"/>
          <w:highlight w:val="white"/>
        </w:rPr>
        <w:t xml:space="preserve"> dan </w:t>
      </w:r>
      <w:proofErr w:type="spellStart"/>
      <w:r>
        <w:rPr>
          <w:rFonts w:ascii="Times New Roman" w:eastAsia="Times New Roman" w:hAnsi="Times New Roman" w:cs="Times New Roman"/>
          <w:sz w:val="24"/>
          <w:szCs w:val="24"/>
          <w:highlight w:val="white"/>
        </w:rPr>
        <w:t>berkemungkinan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untuk</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gagal</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dalam</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menyediakan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pembelaan</w:t>
      </w:r>
      <w:proofErr w:type="spellEnd"/>
      <w:r>
        <w:rPr>
          <w:rFonts w:ascii="Times New Roman" w:eastAsia="Times New Roman" w:hAnsi="Times New Roman" w:cs="Times New Roman"/>
          <w:sz w:val="24"/>
          <w:szCs w:val="24"/>
          <w:highlight w:val="white"/>
        </w:rPr>
        <w:t xml:space="preserve"> yang </w:t>
      </w:r>
      <w:proofErr w:type="spellStart"/>
      <w:r>
        <w:rPr>
          <w:rFonts w:ascii="Times New Roman" w:eastAsia="Times New Roman" w:hAnsi="Times New Roman" w:cs="Times New Roman"/>
          <w:sz w:val="24"/>
          <w:szCs w:val="24"/>
          <w:highlight w:val="white"/>
        </w:rPr>
        <w:t>baik</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untuk</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pihaknya</w:t>
      </w:r>
      <w:proofErr w:type="spellEnd"/>
      <w:r>
        <w:rPr>
          <w:rFonts w:ascii="Times New Roman" w:eastAsia="Times New Roman" w:hAnsi="Times New Roman" w:cs="Times New Roman"/>
          <w:sz w:val="24"/>
          <w:szCs w:val="24"/>
          <w:highlight w:val="white"/>
          <w:vertAlign w:val="superscript"/>
        </w:rPr>
        <w:footnoteReference w:id="12"/>
      </w:r>
      <w:r>
        <w:rPr>
          <w:rFonts w:ascii="Times New Roman" w:eastAsia="Times New Roman" w:hAnsi="Times New Roman" w:cs="Times New Roman"/>
          <w:sz w:val="24"/>
          <w:szCs w:val="24"/>
          <w:highlight w:val="white"/>
        </w:rPr>
        <w:t>.</w:t>
      </w:r>
    </w:p>
    <w:p w14:paraId="00000042" w14:textId="77777777" w:rsidR="00E97409" w:rsidRDefault="00E97409" w:rsidP="00690802">
      <w:pPr>
        <w:spacing w:after="0" w:line="240" w:lineRule="auto"/>
        <w:jc w:val="both"/>
        <w:rPr>
          <w:rFonts w:ascii="Times New Roman" w:eastAsia="Times New Roman" w:hAnsi="Times New Roman" w:cs="Times New Roman"/>
          <w:sz w:val="24"/>
          <w:szCs w:val="24"/>
          <w:highlight w:val="white"/>
        </w:rPr>
      </w:pPr>
    </w:p>
    <w:p w14:paraId="00000043" w14:textId="77777777" w:rsidR="00E97409" w:rsidRDefault="007741DD" w:rsidP="00690802">
      <w:pPr>
        <w:spacing w:after="0" w:line="240" w:lineRule="auto"/>
        <w:ind w:firstLine="720"/>
        <w:jc w:val="both"/>
        <w:rPr>
          <w:rFonts w:ascii="Times New Roman" w:eastAsia="Times New Roman" w:hAnsi="Times New Roman" w:cs="Times New Roman"/>
          <w:sz w:val="24"/>
          <w:szCs w:val="24"/>
          <w:highlight w:val="white"/>
        </w:rPr>
      </w:pPr>
      <w:proofErr w:type="spellStart"/>
      <w:r>
        <w:rPr>
          <w:rFonts w:ascii="Times New Roman" w:eastAsia="Times New Roman" w:hAnsi="Times New Roman" w:cs="Times New Roman"/>
          <w:sz w:val="24"/>
          <w:szCs w:val="24"/>
          <w:highlight w:val="white"/>
        </w:rPr>
        <w:t>Seterusnya</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artikel</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ini</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membincangkan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beberapa</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isu</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berkaitan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pliding</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seperti</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isu</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melibatkan</w:t>
      </w:r>
      <w:proofErr w:type="spellEnd"/>
      <w:r>
        <w:rPr>
          <w:rFonts w:ascii="Times New Roman" w:eastAsia="Times New Roman" w:hAnsi="Times New Roman" w:cs="Times New Roman"/>
          <w:sz w:val="24"/>
          <w:szCs w:val="24"/>
          <w:highlight w:val="white"/>
        </w:rPr>
        <w:t xml:space="preserve"> masa yang </w:t>
      </w:r>
      <w:proofErr w:type="spellStart"/>
      <w:r>
        <w:rPr>
          <w:rFonts w:ascii="Times New Roman" w:eastAsia="Times New Roman" w:hAnsi="Times New Roman" w:cs="Times New Roman"/>
          <w:sz w:val="24"/>
          <w:szCs w:val="24"/>
          <w:highlight w:val="white"/>
        </w:rPr>
        <w:t>ditetapkan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bagi</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penutupan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pliding</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perkara</w:t>
      </w:r>
      <w:proofErr w:type="spellEnd"/>
      <w:r>
        <w:rPr>
          <w:rFonts w:ascii="Times New Roman" w:eastAsia="Times New Roman" w:hAnsi="Times New Roman" w:cs="Times New Roman"/>
          <w:sz w:val="24"/>
          <w:szCs w:val="24"/>
          <w:highlight w:val="white"/>
        </w:rPr>
        <w:t xml:space="preserve"> yang </w:t>
      </w:r>
      <w:proofErr w:type="spellStart"/>
      <w:r>
        <w:rPr>
          <w:rFonts w:ascii="Times New Roman" w:eastAsia="Times New Roman" w:hAnsi="Times New Roman" w:cs="Times New Roman"/>
          <w:sz w:val="24"/>
          <w:szCs w:val="24"/>
          <w:highlight w:val="white"/>
        </w:rPr>
        <w:t>perlu</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dirayu</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dengan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khusus</w:t>
      </w:r>
      <w:proofErr w:type="spellEnd"/>
      <w:r>
        <w:rPr>
          <w:rFonts w:ascii="Times New Roman" w:eastAsia="Times New Roman" w:hAnsi="Times New Roman" w:cs="Times New Roman"/>
          <w:sz w:val="24"/>
          <w:szCs w:val="24"/>
          <w:highlight w:val="white"/>
        </w:rPr>
        <w:t xml:space="preserve"> dan </w:t>
      </w:r>
      <w:proofErr w:type="spellStart"/>
      <w:r>
        <w:rPr>
          <w:rFonts w:ascii="Times New Roman" w:eastAsia="Times New Roman" w:hAnsi="Times New Roman" w:cs="Times New Roman"/>
          <w:sz w:val="24"/>
          <w:szCs w:val="24"/>
          <w:highlight w:val="white"/>
        </w:rPr>
        <w:t>pembatalan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pliding</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serta</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pengendorsan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atas</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alasan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penyalahgunaan</w:t>
      </w:r>
      <w:proofErr w:type="spellEnd"/>
      <w:r>
        <w:rPr>
          <w:rFonts w:ascii="Times New Roman" w:eastAsia="Times New Roman" w:hAnsi="Times New Roman" w:cs="Times New Roman"/>
          <w:sz w:val="24"/>
          <w:szCs w:val="24"/>
          <w:highlight w:val="white"/>
        </w:rPr>
        <w:t xml:space="preserve"> proses. </w:t>
      </w:r>
      <w:proofErr w:type="spellStart"/>
      <w:r>
        <w:rPr>
          <w:rFonts w:ascii="Times New Roman" w:eastAsia="Times New Roman" w:hAnsi="Times New Roman" w:cs="Times New Roman"/>
          <w:sz w:val="24"/>
          <w:szCs w:val="24"/>
          <w:highlight w:val="white"/>
        </w:rPr>
        <w:t>Seterusnya</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perbandingan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akan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dilakukan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antara</w:t>
      </w:r>
      <w:proofErr w:type="spellEnd"/>
      <w:r>
        <w:rPr>
          <w:rFonts w:ascii="Times New Roman" w:eastAsia="Times New Roman" w:hAnsi="Times New Roman" w:cs="Times New Roman"/>
          <w:sz w:val="24"/>
          <w:szCs w:val="24"/>
          <w:highlight w:val="white"/>
        </w:rPr>
        <w:t xml:space="preserve"> Malaysia dan United Kingdom.</w:t>
      </w:r>
    </w:p>
    <w:p w14:paraId="00000044" w14:textId="77777777" w:rsidR="00E97409" w:rsidRDefault="00E97409" w:rsidP="00690802">
      <w:pPr>
        <w:spacing w:after="0" w:line="240" w:lineRule="auto"/>
        <w:ind w:firstLine="720"/>
        <w:jc w:val="both"/>
        <w:rPr>
          <w:rFonts w:ascii="Times New Roman" w:eastAsia="Times New Roman" w:hAnsi="Times New Roman" w:cs="Times New Roman"/>
          <w:sz w:val="24"/>
          <w:szCs w:val="24"/>
          <w:highlight w:val="white"/>
        </w:rPr>
      </w:pPr>
    </w:p>
    <w:p w14:paraId="00000045" w14:textId="77777777" w:rsidR="00E97409" w:rsidRDefault="007741DD" w:rsidP="00690802">
      <w:pPr>
        <w:spacing w:after="0" w:line="240" w:lineRule="auto"/>
        <w:jc w:val="center"/>
        <w:rPr>
          <w:rFonts w:ascii="Times New Roman" w:eastAsia="Times New Roman" w:hAnsi="Times New Roman" w:cs="Times New Roman"/>
          <w:b/>
          <w:sz w:val="24"/>
          <w:szCs w:val="24"/>
          <w:highlight w:val="white"/>
        </w:rPr>
      </w:pPr>
      <w:proofErr w:type="spellStart"/>
      <w:r>
        <w:rPr>
          <w:rFonts w:ascii="Times New Roman" w:eastAsia="Times New Roman" w:hAnsi="Times New Roman" w:cs="Times New Roman"/>
          <w:b/>
          <w:sz w:val="24"/>
          <w:szCs w:val="24"/>
          <w:highlight w:val="white"/>
        </w:rPr>
        <w:t>Isu</w:t>
      </w:r>
      <w:proofErr w:type="spellEnd"/>
      <w:r>
        <w:rPr>
          <w:rFonts w:ascii="Times New Roman" w:eastAsia="Times New Roman" w:hAnsi="Times New Roman" w:cs="Times New Roman"/>
          <w:b/>
          <w:sz w:val="24"/>
          <w:szCs w:val="24"/>
          <w:highlight w:val="white"/>
        </w:rPr>
        <w:t xml:space="preserve"> </w:t>
      </w:r>
      <w:proofErr w:type="spellStart"/>
      <w:r>
        <w:rPr>
          <w:rFonts w:ascii="Times New Roman" w:eastAsia="Times New Roman" w:hAnsi="Times New Roman" w:cs="Times New Roman"/>
          <w:b/>
          <w:sz w:val="24"/>
          <w:szCs w:val="24"/>
          <w:highlight w:val="white"/>
        </w:rPr>
        <w:t>Berkaitan</w:t>
      </w:r>
      <w:proofErr w:type="spellEnd"/>
      <w:r>
        <w:rPr>
          <w:rFonts w:ascii="Times New Roman" w:eastAsia="Times New Roman" w:hAnsi="Times New Roman" w:cs="Times New Roman"/>
          <w:b/>
          <w:sz w:val="24"/>
          <w:szCs w:val="24"/>
          <w:highlight w:val="white"/>
        </w:rPr>
        <w:t xml:space="preserve"> </w:t>
      </w:r>
      <w:proofErr w:type="spellStart"/>
      <w:r>
        <w:rPr>
          <w:rFonts w:ascii="Times New Roman" w:eastAsia="Times New Roman" w:hAnsi="Times New Roman" w:cs="Times New Roman"/>
          <w:b/>
          <w:sz w:val="24"/>
          <w:szCs w:val="24"/>
          <w:highlight w:val="white"/>
        </w:rPr>
        <w:t>Pliding</w:t>
      </w:r>
      <w:proofErr w:type="spellEnd"/>
      <w:r>
        <w:rPr>
          <w:rFonts w:ascii="Times New Roman" w:eastAsia="Times New Roman" w:hAnsi="Times New Roman" w:cs="Times New Roman"/>
          <w:b/>
          <w:sz w:val="24"/>
          <w:szCs w:val="24"/>
          <w:highlight w:val="white"/>
        </w:rPr>
        <w:t xml:space="preserve"> </w:t>
      </w:r>
      <w:proofErr w:type="spellStart"/>
      <w:r>
        <w:rPr>
          <w:rFonts w:ascii="Times New Roman" w:eastAsia="Times New Roman" w:hAnsi="Times New Roman" w:cs="Times New Roman"/>
          <w:b/>
          <w:sz w:val="24"/>
          <w:szCs w:val="24"/>
          <w:highlight w:val="white"/>
        </w:rPr>
        <w:t>Seperti</w:t>
      </w:r>
      <w:proofErr w:type="spellEnd"/>
      <w:r>
        <w:rPr>
          <w:rFonts w:ascii="Times New Roman" w:eastAsia="Times New Roman" w:hAnsi="Times New Roman" w:cs="Times New Roman"/>
          <w:b/>
          <w:sz w:val="24"/>
          <w:szCs w:val="24"/>
          <w:highlight w:val="white"/>
        </w:rPr>
        <w:t xml:space="preserve"> yang </w:t>
      </w:r>
      <w:proofErr w:type="spellStart"/>
      <w:r>
        <w:rPr>
          <w:rFonts w:ascii="Times New Roman" w:eastAsia="Times New Roman" w:hAnsi="Times New Roman" w:cs="Times New Roman"/>
          <w:b/>
          <w:sz w:val="24"/>
          <w:szCs w:val="24"/>
          <w:highlight w:val="white"/>
        </w:rPr>
        <w:t>Dilihat</w:t>
      </w:r>
      <w:proofErr w:type="spellEnd"/>
      <w:r>
        <w:rPr>
          <w:rFonts w:ascii="Times New Roman" w:eastAsia="Times New Roman" w:hAnsi="Times New Roman" w:cs="Times New Roman"/>
          <w:b/>
          <w:sz w:val="24"/>
          <w:szCs w:val="24"/>
          <w:highlight w:val="white"/>
        </w:rPr>
        <w:t xml:space="preserve"> di Malaysia dan United Kingdom</w:t>
      </w:r>
    </w:p>
    <w:p w14:paraId="00000046" w14:textId="77777777" w:rsidR="00E97409" w:rsidRDefault="00E97409" w:rsidP="00690802">
      <w:pPr>
        <w:spacing w:after="0" w:line="240" w:lineRule="auto"/>
        <w:jc w:val="center"/>
        <w:rPr>
          <w:rFonts w:ascii="Times New Roman" w:eastAsia="Times New Roman" w:hAnsi="Times New Roman" w:cs="Times New Roman"/>
          <w:b/>
          <w:sz w:val="24"/>
          <w:szCs w:val="24"/>
          <w:highlight w:val="white"/>
        </w:rPr>
      </w:pPr>
    </w:p>
    <w:p w14:paraId="00000047" w14:textId="77777777" w:rsidR="00E97409" w:rsidRDefault="007741DD" w:rsidP="00690802">
      <w:pPr>
        <w:spacing w:after="0" w:line="240" w:lineRule="auto"/>
        <w:jc w:val="center"/>
        <w:rPr>
          <w:rFonts w:ascii="Times New Roman" w:eastAsia="Times New Roman" w:hAnsi="Times New Roman" w:cs="Times New Roman"/>
          <w:b/>
          <w:sz w:val="24"/>
          <w:szCs w:val="24"/>
          <w:highlight w:val="white"/>
        </w:rPr>
      </w:pPr>
      <w:proofErr w:type="spellStart"/>
      <w:r>
        <w:rPr>
          <w:rFonts w:ascii="Times New Roman" w:eastAsia="Times New Roman" w:hAnsi="Times New Roman" w:cs="Times New Roman"/>
          <w:b/>
          <w:sz w:val="24"/>
          <w:szCs w:val="24"/>
          <w:highlight w:val="white"/>
        </w:rPr>
        <w:t>Isu</w:t>
      </w:r>
      <w:proofErr w:type="spellEnd"/>
      <w:r>
        <w:rPr>
          <w:rFonts w:ascii="Times New Roman" w:eastAsia="Times New Roman" w:hAnsi="Times New Roman" w:cs="Times New Roman"/>
          <w:b/>
          <w:sz w:val="24"/>
          <w:szCs w:val="24"/>
          <w:highlight w:val="white"/>
        </w:rPr>
        <w:t xml:space="preserve"> 1: </w:t>
      </w:r>
      <w:proofErr w:type="spellStart"/>
      <w:r>
        <w:rPr>
          <w:rFonts w:ascii="Times New Roman" w:eastAsia="Times New Roman" w:hAnsi="Times New Roman" w:cs="Times New Roman"/>
          <w:b/>
          <w:sz w:val="24"/>
          <w:szCs w:val="24"/>
          <w:highlight w:val="white"/>
        </w:rPr>
        <w:t>Melebihi</w:t>
      </w:r>
      <w:proofErr w:type="spellEnd"/>
      <w:r>
        <w:rPr>
          <w:rFonts w:ascii="Times New Roman" w:eastAsia="Times New Roman" w:hAnsi="Times New Roman" w:cs="Times New Roman"/>
          <w:b/>
          <w:sz w:val="24"/>
          <w:szCs w:val="24"/>
          <w:highlight w:val="white"/>
        </w:rPr>
        <w:t xml:space="preserve"> Masa yang </w:t>
      </w:r>
      <w:proofErr w:type="spellStart"/>
      <w:r>
        <w:rPr>
          <w:rFonts w:ascii="Times New Roman" w:eastAsia="Times New Roman" w:hAnsi="Times New Roman" w:cs="Times New Roman"/>
          <w:b/>
          <w:sz w:val="24"/>
          <w:szCs w:val="24"/>
          <w:highlight w:val="white"/>
        </w:rPr>
        <w:t>Ditetapkan</w:t>
      </w:r>
      <w:proofErr w:type="spellEnd"/>
      <w:r>
        <w:rPr>
          <w:rFonts w:ascii="Times New Roman" w:eastAsia="Times New Roman" w:hAnsi="Times New Roman" w:cs="Times New Roman"/>
          <w:b/>
          <w:sz w:val="24"/>
          <w:szCs w:val="24"/>
          <w:highlight w:val="white"/>
        </w:rPr>
        <w:t xml:space="preserve"> </w:t>
      </w:r>
      <w:proofErr w:type="spellStart"/>
      <w:r>
        <w:rPr>
          <w:rFonts w:ascii="Times New Roman" w:eastAsia="Times New Roman" w:hAnsi="Times New Roman" w:cs="Times New Roman"/>
          <w:b/>
          <w:sz w:val="24"/>
          <w:szCs w:val="24"/>
          <w:highlight w:val="white"/>
        </w:rPr>
        <w:t>bagi</w:t>
      </w:r>
      <w:proofErr w:type="spellEnd"/>
      <w:r>
        <w:rPr>
          <w:rFonts w:ascii="Times New Roman" w:eastAsia="Times New Roman" w:hAnsi="Times New Roman" w:cs="Times New Roman"/>
          <w:b/>
          <w:sz w:val="24"/>
          <w:szCs w:val="24"/>
          <w:highlight w:val="white"/>
        </w:rPr>
        <w:t xml:space="preserve"> </w:t>
      </w:r>
      <w:proofErr w:type="spellStart"/>
      <w:r>
        <w:rPr>
          <w:rFonts w:ascii="Times New Roman" w:eastAsia="Times New Roman" w:hAnsi="Times New Roman" w:cs="Times New Roman"/>
          <w:b/>
          <w:sz w:val="24"/>
          <w:szCs w:val="24"/>
          <w:highlight w:val="white"/>
        </w:rPr>
        <w:t>Pliding</w:t>
      </w:r>
      <w:proofErr w:type="spellEnd"/>
    </w:p>
    <w:p w14:paraId="00000048" w14:textId="77777777" w:rsidR="00E97409" w:rsidRDefault="00E97409" w:rsidP="00690802">
      <w:pPr>
        <w:spacing w:after="0" w:line="240" w:lineRule="auto"/>
        <w:jc w:val="center"/>
        <w:rPr>
          <w:rFonts w:ascii="Times New Roman" w:eastAsia="Times New Roman" w:hAnsi="Times New Roman" w:cs="Times New Roman"/>
          <w:b/>
          <w:sz w:val="24"/>
          <w:szCs w:val="24"/>
          <w:highlight w:val="white"/>
        </w:rPr>
      </w:pPr>
    </w:p>
    <w:p w14:paraId="00000049" w14:textId="77777777" w:rsidR="00E97409" w:rsidRDefault="007741DD" w:rsidP="00690802">
      <w:pPr>
        <w:spacing w:after="0" w:line="240" w:lineRule="auto"/>
        <w:jc w:val="center"/>
        <w:rPr>
          <w:rFonts w:ascii="Times New Roman" w:eastAsia="Times New Roman" w:hAnsi="Times New Roman" w:cs="Times New Roman"/>
          <w:b/>
          <w:highlight w:val="white"/>
        </w:rPr>
      </w:pPr>
      <w:r>
        <w:rPr>
          <w:rFonts w:ascii="Times New Roman" w:eastAsia="Times New Roman" w:hAnsi="Times New Roman" w:cs="Times New Roman"/>
          <w:b/>
          <w:highlight w:val="white"/>
        </w:rPr>
        <w:t xml:space="preserve">Masa yang </w:t>
      </w:r>
      <w:proofErr w:type="spellStart"/>
      <w:r>
        <w:rPr>
          <w:rFonts w:ascii="Times New Roman" w:eastAsia="Times New Roman" w:hAnsi="Times New Roman" w:cs="Times New Roman"/>
          <w:b/>
          <w:highlight w:val="white"/>
        </w:rPr>
        <w:t>ditetapkan</w:t>
      </w:r>
      <w:proofErr w:type="spellEnd"/>
      <w:r>
        <w:rPr>
          <w:rFonts w:ascii="Times New Roman" w:eastAsia="Times New Roman" w:hAnsi="Times New Roman" w:cs="Times New Roman"/>
          <w:b/>
          <w:highlight w:val="white"/>
        </w:rPr>
        <w:t xml:space="preserve"> </w:t>
      </w:r>
      <w:proofErr w:type="spellStart"/>
      <w:r>
        <w:rPr>
          <w:rFonts w:ascii="Times New Roman" w:eastAsia="Times New Roman" w:hAnsi="Times New Roman" w:cs="Times New Roman"/>
          <w:b/>
          <w:highlight w:val="white"/>
        </w:rPr>
        <w:t>bagi</w:t>
      </w:r>
      <w:proofErr w:type="spellEnd"/>
      <w:r>
        <w:rPr>
          <w:rFonts w:ascii="Times New Roman" w:eastAsia="Times New Roman" w:hAnsi="Times New Roman" w:cs="Times New Roman"/>
          <w:b/>
          <w:highlight w:val="white"/>
        </w:rPr>
        <w:t xml:space="preserve"> </w:t>
      </w:r>
      <w:proofErr w:type="spellStart"/>
      <w:r>
        <w:rPr>
          <w:rFonts w:ascii="Times New Roman" w:eastAsia="Times New Roman" w:hAnsi="Times New Roman" w:cs="Times New Roman"/>
          <w:b/>
          <w:highlight w:val="white"/>
        </w:rPr>
        <w:t>penutupan</w:t>
      </w:r>
      <w:proofErr w:type="spellEnd"/>
      <w:r>
        <w:rPr>
          <w:rFonts w:ascii="Times New Roman" w:eastAsia="Times New Roman" w:hAnsi="Times New Roman" w:cs="Times New Roman"/>
          <w:b/>
          <w:highlight w:val="white"/>
        </w:rPr>
        <w:t xml:space="preserve"> </w:t>
      </w:r>
      <w:proofErr w:type="spellStart"/>
      <w:r>
        <w:rPr>
          <w:rFonts w:ascii="Times New Roman" w:eastAsia="Times New Roman" w:hAnsi="Times New Roman" w:cs="Times New Roman"/>
          <w:b/>
          <w:highlight w:val="white"/>
        </w:rPr>
        <w:t>pliding</w:t>
      </w:r>
      <w:proofErr w:type="spellEnd"/>
      <w:r>
        <w:rPr>
          <w:rFonts w:ascii="Times New Roman" w:eastAsia="Times New Roman" w:hAnsi="Times New Roman" w:cs="Times New Roman"/>
          <w:b/>
          <w:highlight w:val="white"/>
        </w:rPr>
        <w:t xml:space="preserve"> di Malaysia</w:t>
      </w:r>
    </w:p>
    <w:p w14:paraId="0000004A" w14:textId="77777777" w:rsidR="00E97409" w:rsidRDefault="00E97409" w:rsidP="00690802">
      <w:pPr>
        <w:spacing w:after="0" w:line="240" w:lineRule="auto"/>
        <w:jc w:val="both"/>
        <w:rPr>
          <w:rFonts w:ascii="Times New Roman" w:eastAsia="Times New Roman" w:hAnsi="Times New Roman" w:cs="Times New Roman"/>
          <w:b/>
          <w:sz w:val="24"/>
          <w:szCs w:val="24"/>
          <w:highlight w:val="white"/>
        </w:rPr>
      </w:pPr>
    </w:p>
    <w:p w14:paraId="0000004B" w14:textId="77777777" w:rsidR="00E97409" w:rsidRDefault="007741DD" w:rsidP="00690802">
      <w:pPr>
        <w:spacing w:after="0" w:line="240" w:lineRule="auto"/>
        <w:ind w:firstLine="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Masa yang </w:t>
      </w:r>
      <w:proofErr w:type="spellStart"/>
      <w:r>
        <w:rPr>
          <w:rFonts w:ascii="Times New Roman" w:eastAsia="Times New Roman" w:hAnsi="Times New Roman" w:cs="Times New Roman"/>
          <w:sz w:val="24"/>
          <w:szCs w:val="24"/>
          <w:highlight w:val="white"/>
        </w:rPr>
        <w:t>ditetapkan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bagi</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penutupan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pliding</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boleh</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dilihat</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dalam</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Aturan</w:t>
      </w:r>
      <w:proofErr w:type="spellEnd"/>
      <w:r>
        <w:rPr>
          <w:rFonts w:ascii="Times New Roman" w:eastAsia="Times New Roman" w:hAnsi="Times New Roman" w:cs="Times New Roman"/>
          <w:sz w:val="24"/>
          <w:szCs w:val="24"/>
          <w:highlight w:val="white"/>
        </w:rPr>
        <w:t xml:space="preserve"> 18 </w:t>
      </w:r>
      <w:proofErr w:type="spellStart"/>
      <w:r>
        <w:rPr>
          <w:rFonts w:ascii="Times New Roman" w:eastAsia="Times New Roman" w:hAnsi="Times New Roman" w:cs="Times New Roman"/>
          <w:sz w:val="24"/>
          <w:szCs w:val="24"/>
          <w:highlight w:val="white"/>
        </w:rPr>
        <w:t>Kaedah</w:t>
      </w:r>
      <w:proofErr w:type="spellEnd"/>
      <w:r>
        <w:rPr>
          <w:rFonts w:ascii="Times New Roman" w:eastAsia="Times New Roman" w:hAnsi="Times New Roman" w:cs="Times New Roman"/>
          <w:sz w:val="24"/>
          <w:szCs w:val="24"/>
          <w:highlight w:val="white"/>
        </w:rPr>
        <w:t xml:space="preserve"> 20 </w:t>
      </w:r>
      <w:proofErr w:type="spellStart"/>
      <w:r>
        <w:rPr>
          <w:rFonts w:ascii="Times New Roman" w:eastAsia="Times New Roman" w:hAnsi="Times New Roman" w:cs="Times New Roman"/>
          <w:sz w:val="24"/>
          <w:szCs w:val="24"/>
          <w:highlight w:val="white"/>
        </w:rPr>
        <w:t>Kaedah-Kaedah</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Mahkamah</w:t>
      </w:r>
      <w:proofErr w:type="spellEnd"/>
      <w:r>
        <w:rPr>
          <w:rFonts w:ascii="Times New Roman" w:eastAsia="Times New Roman" w:hAnsi="Times New Roman" w:cs="Times New Roman"/>
          <w:sz w:val="24"/>
          <w:szCs w:val="24"/>
          <w:highlight w:val="white"/>
        </w:rPr>
        <w:t xml:space="preserve"> 2012 (‘KKM’):</w:t>
      </w:r>
    </w:p>
    <w:p w14:paraId="0000004C" w14:textId="77777777" w:rsidR="00E97409" w:rsidRDefault="00E97409" w:rsidP="00690802">
      <w:pPr>
        <w:spacing w:after="0" w:line="240" w:lineRule="auto"/>
        <w:ind w:left="720"/>
        <w:jc w:val="both"/>
        <w:rPr>
          <w:rFonts w:ascii="Times New Roman" w:eastAsia="Times New Roman" w:hAnsi="Times New Roman" w:cs="Times New Roman"/>
          <w:sz w:val="24"/>
          <w:szCs w:val="24"/>
          <w:highlight w:val="white"/>
        </w:rPr>
      </w:pPr>
    </w:p>
    <w:p w14:paraId="0000004D" w14:textId="77777777" w:rsidR="00E97409" w:rsidRDefault="007741DD" w:rsidP="00690802">
      <w:pPr>
        <w:spacing w:after="0" w:line="240" w:lineRule="auto"/>
        <w:ind w:left="720"/>
        <w:jc w:val="both"/>
        <w:rPr>
          <w:rFonts w:ascii="Times New Roman" w:eastAsia="Times New Roman" w:hAnsi="Times New Roman" w:cs="Times New Roman"/>
          <w:i/>
          <w:sz w:val="20"/>
          <w:szCs w:val="20"/>
          <w:highlight w:val="white"/>
        </w:rPr>
      </w:pPr>
      <w:r>
        <w:rPr>
          <w:rFonts w:ascii="Times New Roman" w:eastAsia="Times New Roman" w:hAnsi="Times New Roman" w:cs="Times New Roman"/>
          <w:i/>
          <w:sz w:val="20"/>
          <w:szCs w:val="20"/>
          <w:highlight w:val="white"/>
        </w:rPr>
        <w:t>“</w:t>
      </w:r>
      <w:proofErr w:type="spellStart"/>
      <w:r>
        <w:rPr>
          <w:rFonts w:ascii="Times New Roman" w:eastAsia="Times New Roman" w:hAnsi="Times New Roman" w:cs="Times New Roman"/>
          <w:i/>
          <w:sz w:val="20"/>
          <w:szCs w:val="20"/>
          <w:highlight w:val="white"/>
        </w:rPr>
        <w:t>Pliding</w:t>
      </w:r>
      <w:proofErr w:type="spellEnd"/>
      <w:r>
        <w:rPr>
          <w:rFonts w:ascii="Times New Roman" w:eastAsia="Times New Roman" w:hAnsi="Times New Roman" w:cs="Times New Roman"/>
          <w:i/>
          <w:sz w:val="20"/>
          <w:szCs w:val="20"/>
          <w:highlight w:val="white"/>
        </w:rPr>
        <w:t xml:space="preserve"> </w:t>
      </w:r>
      <w:proofErr w:type="spellStart"/>
      <w:r>
        <w:rPr>
          <w:rFonts w:ascii="Times New Roman" w:eastAsia="Times New Roman" w:hAnsi="Times New Roman" w:cs="Times New Roman"/>
          <w:i/>
          <w:sz w:val="20"/>
          <w:szCs w:val="20"/>
          <w:highlight w:val="white"/>
        </w:rPr>
        <w:t>dalam</w:t>
      </w:r>
      <w:proofErr w:type="spellEnd"/>
      <w:r>
        <w:rPr>
          <w:rFonts w:ascii="Times New Roman" w:eastAsia="Times New Roman" w:hAnsi="Times New Roman" w:cs="Times New Roman"/>
          <w:i/>
          <w:sz w:val="20"/>
          <w:szCs w:val="20"/>
          <w:highlight w:val="white"/>
        </w:rPr>
        <w:t xml:space="preserve"> </w:t>
      </w:r>
      <w:proofErr w:type="spellStart"/>
      <w:r>
        <w:rPr>
          <w:rFonts w:ascii="Times New Roman" w:eastAsia="Times New Roman" w:hAnsi="Times New Roman" w:cs="Times New Roman"/>
          <w:i/>
          <w:sz w:val="20"/>
          <w:szCs w:val="20"/>
          <w:highlight w:val="white"/>
        </w:rPr>
        <w:t>suatu</w:t>
      </w:r>
      <w:proofErr w:type="spellEnd"/>
      <w:r>
        <w:rPr>
          <w:rFonts w:ascii="Times New Roman" w:eastAsia="Times New Roman" w:hAnsi="Times New Roman" w:cs="Times New Roman"/>
          <w:i/>
          <w:sz w:val="20"/>
          <w:szCs w:val="20"/>
          <w:highlight w:val="white"/>
        </w:rPr>
        <w:t xml:space="preserve"> </w:t>
      </w:r>
      <w:proofErr w:type="spellStart"/>
      <w:r>
        <w:rPr>
          <w:rFonts w:ascii="Times New Roman" w:eastAsia="Times New Roman" w:hAnsi="Times New Roman" w:cs="Times New Roman"/>
          <w:i/>
          <w:sz w:val="20"/>
          <w:szCs w:val="20"/>
          <w:highlight w:val="white"/>
        </w:rPr>
        <w:t>tindakan</w:t>
      </w:r>
      <w:proofErr w:type="spellEnd"/>
      <w:r>
        <w:rPr>
          <w:rFonts w:ascii="Times New Roman" w:eastAsia="Times New Roman" w:hAnsi="Times New Roman" w:cs="Times New Roman"/>
          <w:i/>
          <w:sz w:val="20"/>
          <w:szCs w:val="20"/>
          <w:highlight w:val="white"/>
        </w:rPr>
        <w:t xml:space="preserve"> </w:t>
      </w:r>
      <w:proofErr w:type="spellStart"/>
      <w:r>
        <w:rPr>
          <w:rFonts w:ascii="Times New Roman" w:eastAsia="Times New Roman" w:hAnsi="Times New Roman" w:cs="Times New Roman"/>
          <w:i/>
          <w:sz w:val="20"/>
          <w:szCs w:val="20"/>
          <w:highlight w:val="white"/>
        </w:rPr>
        <w:t>adalah</w:t>
      </w:r>
      <w:proofErr w:type="spellEnd"/>
      <w:r>
        <w:rPr>
          <w:rFonts w:ascii="Times New Roman" w:eastAsia="Times New Roman" w:hAnsi="Times New Roman" w:cs="Times New Roman"/>
          <w:i/>
          <w:sz w:val="20"/>
          <w:szCs w:val="20"/>
          <w:highlight w:val="white"/>
        </w:rPr>
        <w:t xml:space="preserve"> </w:t>
      </w:r>
      <w:proofErr w:type="spellStart"/>
      <w:r>
        <w:rPr>
          <w:rFonts w:ascii="Times New Roman" w:eastAsia="Times New Roman" w:hAnsi="Times New Roman" w:cs="Times New Roman"/>
          <w:i/>
          <w:sz w:val="20"/>
          <w:szCs w:val="20"/>
          <w:highlight w:val="white"/>
        </w:rPr>
        <w:t>disifatkan</w:t>
      </w:r>
      <w:proofErr w:type="spellEnd"/>
      <w:r>
        <w:rPr>
          <w:rFonts w:ascii="Times New Roman" w:eastAsia="Times New Roman" w:hAnsi="Times New Roman" w:cs="Times New Roman"/>
          <w:i/>
          <w:sz w:val="20"/>
          <w:szCs w:val="20"/>
          <w:highlight w:val="white"/>
        </w:rPr>
        <w:t xml:space="preserve"> </w:t>
      </w:r>
      <w:proofErr w:type="spellStart"/>
      <w:r>
        <w:rPr>
          <w:rFonts w:ascii="Times New Roman" w:eastAsia="Times New Roman" w:hAnsi="Times New Roman" w:cs="Times New Roman"/>
          <w:i/>
          <w:sz w:val="20"/>
          <w:szCs w:val="20"/>
          <w:highlight w:val="white"/>
        </w:rPr>
        <w:t>tertutup</w:t>
      </w:r>
      <w:proofErr w:type="spellEnd"/>
      <w:r>
        <w:rPr>
          <w:rFonts w:ascii="Times New Roman" w:eastAsia="Times New Roman" w:hAnsi="Times New Roman" w:cs="Times New Roman"/>
          <w:i/>
          <w:sz w:val="20"/>
          <w:szCs w:val="20"/>
          <w:highlight w:val="white"/>
        </w:rPr>
        <w:t xml:space="preserve">- </w:t>
      </w:r>
    </w:p>
    <w:p w14:paraId="0000004E" w14:textId="77777777" w:rsidR="00E97409" w:rsidRDefault="007741DD" w:rsidP="00690802">
      <w:pPr>
        <w:numPr>
          <w:ilvl w:val="0"/>
          <w:numId w:val="8"/>
        </w:numPr>
        <w:spacing w:after="0" w:line="240" w:lineRule="auto"/>
        <w:jc w:val="both"/>
        <w:rPr>
          <w:rFonts w:ascii="Times New Roman" w:eastAsia="Times New Roman" w:hAnsi="Times New Roman" w:cs="Times New Roman"/>
          <w:i/>
          <w:sz w:val="20"/>
          <w:szCs w:val="20"/>
          <w:highlight w:val="white"/>
        </w:rPr>
      </w:pPr>
      <w:r>
        <w:rPr>
          <w:rFonts w:ascii="Times New Roman" w:eastAsia="Times New Roman" w:hAnsi="Times New Roman" w:cs="Times New Roman"/>
          <w:i/>
          <w:sz w:val="20"/>
          <w:szCs w:val="20"/>
          <w:highlight w:val="white"/>
        </w:rPr>
        <w:t xml:space="preserve">pada </w:t>
      </w:r>
      <w:proofErr w:type="spellStart"/>
      <w:r>
        <w:rPr>
          <w:rFonts w:ascii="Times New Roman" w:eastAsia="Times New Roman" w:hAnsi="Times New Roman" w:cs="Times New Roman"/>
          <w:i/>
          <w:sz w:val="20"/>
          <w:szCs w:val="20"/>
          <w:highlight w:val="white"/>
        </w:rPr>
        <w:t>tamatnya</w:t>
      </w:r>
      <w:proofErr w:type="spellEnd"/>
      <w:r>
        <w:rPr>
          <w:rFonts w:ascii="Times New Roman" w:eastAsia="Times New Roman" w:hAnsi="Times New Roman" w:cs="Times New Roman"/>
          <w:i/>
          <w:sz w:val="20"/>
          <w:szCs w:val="20"/>
          <w:highlight w:val="white"/>
        </w:rPr>
        <w:t xml:space="preserve"> </w:t>
      </w:r>
      <w:proofErr w:type="spellStart"/>
      <w:r>
        <w:rPr>
          <w:rFonts w:ascii="Times New Roman" w:eastAsia="Times New Roman" w:hAnsi="Times New Roman" w:cs="Times New Roman"/>
          <w:i/>
          <w:sz w:val="20"/>
          <w:szCs w:val="20"/>
          <w:highlight w:val="white"/>
        </w:rPr>
        <w:t>empat</w:t>
      </w:r>
      <w:proofErr w:type="spellEnd"/>
      <w:r>
        <w:rPr>
          <w:rFonts w:ascii="Times New Roman" w:eastAsia="Times New Roman" w:hAnsi="Times New Roman" w:cs="Times New Roman"/>
          <w:i/>
          <w:sz w:val="20"/>
          <w:szCs w:val="20"/>
          <w:highlight w:val="white"/>
        </w:rPr>
        <w:t xml:space="preserve"> </w:t>
      </w:r>
      <w:proofErr w:type="spellStart"/>
      <w:r>
        <w:rPr>
          <w:rFonts w:ascii="Times New Roman" w:eastAsia="Times New Roman" w:hAnsi="Times New Roman" w:cs="Times New Roman"/>
          <w:i/>
          <w:sz w:val="20"/>
          <w:szCs w:val="20"/>
          <w:highlight w:val="white"/>
        </w:rPr>
        <w:t>belas</w:t>
      </w:r>
      <w:proofErr w:type="spellEnd"/>
      <w:r>
        <w:rPr>
          <w:rFonts w:ascii="Times New Roman" w:eastAsia="Times New Roman" w:hAnsi="Times New Roman" w:cs="Times New Roman"/>
          <w:i/>
          <w:sz w:val="20"/>
          <w:szCs w:val="20"/>
          <w:highlight w:val="white"/>
        </w:rPr>
        <w:t xml:space="preserve"> </w:t>
      </w:r>
      <w:proofErr w:type="spellStart"/>
      <w:r>
        <w:rPr>
          <w:rFonts w:ascii="Times New Roman" w:eastAsia="Times New Roman" w:hAnsi="Times New Roman" w:cs="Times New Roman"/>
          <w:i/>
          <w:sz w:val="20"/>
          <w:szCs w:val="20"/>
          <w:highlight w:val="white"/>
        </w:rPr>
        <w:t>hari</w:t>
      </w:r>
      <w:proofErr w:type="spellEnd"/>
      <w:r>
        <w:rPr>
          <w:rFonts w:ascii="Times New Roman" w:eastAsia="Times New Roman" w:hAnsi="Times New Roman" w:cs="Times New Roman"/>
          <w:i/>
          <w:sz w:val="20"/>
          <w:szCs w:val="20"/>
          <w:highlight w:val="white"/>
        </w:rPr>
        <w:t xml:space="preserve"> </w:t>
      </w:r>
      <w:proofErr w:type="spellStart"/>
      <w:r>
        <w:rPr>
          <w:rFonts w:ascii="Times New Roman" w:eastAsia="Times New Roman" w:hAnsi="Times New Roman" w:cs="Times New Roman"/>
          <w:i/>
          <w:sz w:val="20"/>
          <w:szCs w:val="20"/>
          <w:highlight w:val="white"/>
        </w:rPr>
        <w:t>selepas</w:t>
      </w:r>
      <w:proofErr w:type="spellEnd"/>
      <w:r>
        <w:rPr>
          <w:rFonts w:ascii="Times New Roman" w:eastAsia="Times New Roman" w:hAnsi="Times New Roman" w:cs="Times New Roman"/>
          <w:i/>
          <w:sz w:val="20"/>
          <w:szCs w:val="20"/>
          <w:highlight w:val="white"/>
        </w:rPr>
        <w:t xml:space="preserve"> </w:t>
      </w:r>
      <w:proofErr w:type="spellStart"/>
      <w:r>
        <w:rPr>
          <w:rFonts w:ascii="Times New Roman" w:eastAsia="Times New Roman" w:hAnsi="Times New Roman" w:cs="Times New Roman"/>
          <w:i/>
          <w:sz w:val="20"/>
          <w:szCs w:val="20"/>
          <w:highlight w:val="white"/>
        </w:rPr>
        <w:t>penyampaian</w:t>
      </w:r>
      <w:proofErr w:type="spellEnd"/>
      <w:r>
        <w:rPr>
          <w:rFonts w:ascii="Times New Roman" w:eastAsia="Times New Roman" w:hAnsi="Times New Roman" w:cs="Times New Roman"/>
          <w:i/>
          <w:sz w:val="20"/>
          <w:szCs w:val="20"/>
          <w:highlight w:val="white"/>
        </w:rPr>
        <w:t xml:space="preserve"> </w:t>
      </w:r>
      <w:proofErr w:type="spellStart"/>
      <w:r>
        <w:rPr>
          <w:rFonts w:ascii="Times New Roman" w:eastAsia="Times New Roman" w:hAnsi="Times New Roman" w:cs="Times New Roman"/>
          <w:i/>
          <w:sz w:val="20"/>
          <w:szCs w:val="20"/>
          <w:highlight w:val="white"/>
        </w:rPr>
        <w:t>jawapan</w:t>
      </w:r>
      <w:proofErr w:type="spellEnd"/>
      <w:r>
        <w:rPr>
          <w:rFonts w:ascii="Times New Roman" w:eastAsia="Times New Roman" w:hAnsi="Times New Roman" w:cs="Times New Roman"/>
          <w:i/>
          <w:sz w:val="20"/>
          <w:szCs w:val="20"/>
          <w:highlight w:val="white"/>
        </w:rPr>
        <w:t xml:space="preserve"> </w:t>
      </w:r>
      <w:proofErr w:type="spellStart"/>
      <w:r>
        <w:rPr>
          <w:rFonts w:ascii="Times New Roman" w:eastAsia="Times New Roman" w:hAnsi="Times New Roman" w:cs="Times New Roman"/>
          <w:i/>
          <w:sz w:val="20"/>
          <w:szCs w:val="20"/>
          <w:highlight w:val="white"/>
        </w:rPr>
        <w:t>atau</w:t>
      </w:r>
      <w:proofErr w:type="spellEnd"/>
      <w:r>
        <w:rPr>
          <w:rFonts w:ascii="Times New Roman" w:eastAsia="Times New Roman" w:hAnsi="Times New Roman" w:cs="Times New Roman"/>
          <w:i/>
          <w:sz w:val="20"/>
          <w:szCs w:val="20"/>
          <w:highlight w:val="white"/>
        </w:rPr>
        <w:t xml:space="preserve">, </w:t>
      </w:r>
      <w:proofErr w:type="spellStart"/>
      <w:r>
        <w:rPr>
          <w:rFonts w:ascii="Times New Roman" w:eastAsia="Times New Roman" w:hAnsi="Times New Roman" w:cs="Times New Roman"/>
          <w:i/>
          <w:sz w:val="20"/>
          <w:szCs w:val="20"/>
          <w:highlight w:val="white"/>
        </w:rPr>
        <w:t>sekiranya</w:t>
      </w:r>
      <w:proofErr w:type="spellEnd"/>
      <w:r>
        <w:rPr>
          <w:rFonts w:ascii="Times New Roman" w:eastAsia="Times New Roman" w:hAnsi="Times New Roman" w:cs="Times New Roman"/>
          <w:i/>
          <w:sz w:val="20"/>
          <w:szCs w:val="20"/>
          <w:highlight w:val="white"/>
        </w:rPr>
        <w:t xml:space="preserve"> </w:t>
      </w:r>
      <w:proofErr w:type="spellStart"/>
      <w:r>
        <w:rPr>
          <w:rFonts w:ascii="Times New Roman" w:eastAsia="Times New Roman" w:hAnsi="Times New Roman" w:cs="Times New Roman"/>
          <w:i/>
          <w:sz w:val="20"/>
          <w:szCs w:val="20"/>
          <w:highlight w:val="white"/>
        </w:rPr>
        <w:t>tidak</w:t>
      </w:r>
      <w:proofErr w:type="spellEnd"/>
      <w:r>
        <w:rPr>
          <w:rFonts w:ascii="Times New Roman" w:eastAsia="Times New Roman" w:hAnsi="Times New Roman" w:cs="Times New Roman"/>
          <w:i/>
          <w:sz w:val="20"/>
          <w:szCs w:val="20"/>
          <w:highlight w:val="white"/>
        </w:rPr>
        <w:t xml:space="preserve"> </w:t>
      </w:r>
      <w:proofErr w:type="spellStart"/>
      <w:r>
        <w:rPr>
          <w:rFonts w:ascii="Times New Roman" w:eastAsia="Times New Roman" w:hAnsi="Times New Roman" w:cs="Times New Roman"/>
          <w:i/>
          <w:sz w:val="20"/>
          <w:szCs w:val="20"/>
          <w:highlight w:val="white"/>
        </w:rPr>
        <w:t>ada</w:t>
      </w:r>
      <w:proofErr w:type="spellEnd"/>
      <w:r>
        <w:rPr>
          <w:rFonts w:ascii="Times New Roman" w:eastAsia="Times New Roman" w:hAnsi="Times New Roman" w:cs="Times New Roman"/>
          <w:i/>
          <w:sz w:val="20"/>
          <w:szCs w:val="20"/>
          <w:highlight w:val="white"/>
        </w:rPr>
        <w:t xml:space="preserve"> </w:t>
      </w:r>
      <w:proofErr w:type="spellStart"/>
      <w:r>
        <w:rPr>
          <w:rFonts w:ascii="Times New Roman" w:eastAsia="Times New Roman" w:hAnsi="Times New Roman" w:cs="Times New Roman"/>
          <w:i/>
          <w:sz w:val="20"/>
          <w:szCs w:val="20"/>
          <w:highlight w:val="white"/>
        </w:rPr>
        <w:t>jawapan</w:t>
      </w:r>
      <w:proofErr w:type="spellEnd"/>
      <w:r>
        <w:rPr>
          <w:rFonts w:ascii="Times New Roman" w:eastAsia="Times New Roman" w:hAnsi="Times New Roman" w:cs="Times New Roman"/>
          <w:i/>
          <w:sz w:val="20"/>
          <w:szCs w:val="20"/>
          <w:highlight w:val="white"/>
        </w:rPr>
        <w:t xml:space="preserve"> </w:t>
      </w:r>
      <w:proofErr w:type="spellStart"/>
      <w:r>
        <w:rPr>
          <w:rFonts w:ascii="Times New Roman" w:eastAsia="Times New Roman" w:hAnsi="Times New Roman" w:cs="Times New Roman"/>
          <w:i/>
          <w:sz w:val="20"/>
          <w:szCs w:val="20"/>
          <w:highlight w:val="white"/>
        </w:rPr>
        <w:t>tetapi</w:t>
      </w:r>
      <w:proofErr w:type="spellEnd"/>
      <w:r>
        <w:rPr>
          <w:rFonts w:ascii="Times New Roman" w:eastAsia="Times New Roman" w:hAnsi="Times New Roman" w:cs="Times New Roman"/>
          <w:i/>
          <w:sz w:val="20"/>
          <w:szCs w:val="20"/>
          <w:highlight w:val="white"/>
        </w:rPr>
        <w:t xml:space="preserve"> </w:t>
      </w:r>
      <w:proofErr w:type="spellStart"/>
      <w:r>
        <w:rPr>
          <w:rFonts w:ascii="Times New Roman" w:eastAsia="Times New Roman" w:hAnsi="Times New Roman" w:cs="Times New Roman"/>
          <w:i/>
          <w:sz w:val="20"/>
          <w:szCs w:val="20"/>
          <w:highlight w:val="white"/>
        </w:rPr>
        <w:t>hanya</w:t>
      </w:r>
      <w:proofErr w:type="spellEnd"/>
      <w:r>
        <w:rPr>
          <w:rFonts w:ascii="Times New Roman" w:eastAsia="Times New Roman" w:hAnsi="Times New Roman" w:cs="Times New Roman"/>
          <w:i/>
          <w:sz w:val="20"/>
          <w:szCs w:val="20"/>
          <w:highlight w:val="white"/>
        </w:rPr>
        <w:t xml:space="preserve"> </w:t>
      </w:r>
      <w:proofErr w:type="spellStart"/>
      <w:r>
        <w:rPr>
          <w:rFonts w:ascii="Times New Roman" w:eastAsia="Times New Roman" w:hAnsi="Times New Roman" w:cs="Times New Roman"/>
          <w:i/>
          <w:sz w:val="20"/>
          <w:szCs w:val="20"/>
          <w:highlight w:val="white"/>
        </w:rPr>
        <w:t>pembelaan</w:t>
      </w:r>
      <w:proofErr w:type="spellEnd"/>
      <w:r>
        <w:rPr>
          <w:rFonts w:ascii="Times New Roman" w:eastAsia="Times New Roman" w:hAnsi="Times New Roman" w:cs="Times New Roman"/>
          <w:i/>
          <w:sz w:val="20"/>
          <w:szCs w:val="20"/>
          <w:highlight w:val="white"/>
        </w:rPr>
        <w:t xml:space="preserve"> </w:t>
      </w:r>
      <w:proofErr w:type="spellStart"/>
      <w:r>
        <w:rPr>
          <w:rFonts w:ascii="Times New Roman" w:eastAsia="Times New Roman" w:hAnsi="Times New Roman" w:cs="Times New Roman"/>
          <w:i/>
          <w:sz w:val="20"/>
          <w:szCs w:val="20"/>
          <w:highlight w:val="white"/>
        </w:rPr>
        <w:t>kepada</w:t>
      </w:r>
      <w:proofErr w:type="spellEnd"/>
      <w:r>
        <w:rPr>
          <w:rFonts w:ascii="Times New Roman" w:eastAsia="Times New Roman" w:hAnsi="Times New Roman" w:cs="Times New Roman"/>
          <w:i/>
          <w:sz w:val="20"/>
          <w:szCs w:val="20"/>
          <w:highlight w:val="white"/>
        </w:rPr>
        <w:t xml:space="preserve"> </w:t>
      </w:r>
      <w:proofErr w:type="spellStart"/>
      <w:r>
        <w:rPr>
          <w:rFonts w:ascii="Times New Roman" w:eastAsia="Times New Roman" w:hAnsi="Times New Roman" w:cs="Times New Roman"/>
          <w:i/>
          <w:sz w:val="20"/>
          <w:szCs w:val="20"/>
          <w:highlight w:val="white"/>
        </w:rPr>
        <w:t>suatu</w:t>
      </w:r>
      <w:proofErr w:type="spellEnd"/>
      <w:r>
        <w:rPr>
          <w:rFonts w:ascii="Times New Roman" w:eastAsia="Times New Roman" w:hAnsi="Times New Roman" w:cs="Times New Roman"/>
          <w:i/>
          <w:sz w:val="20"/>
          <w:szCs w:val="20"/>
          <w:highlight w:val="white"/>
        </w:rPr>
        <w:t xml:space="preserve"> </w:t>
      </w:r>
      <w:proofErr w:type="spellStart"/>
      <w:r>
        <w:rPr>
          <w:rFonts w:ascii="Times New Roman" w:eastAsia="Times New Roman" w:hAnsi="Times New Roman" w:cs="Times New Roman"/>
          <w:i/>
          <w:sz w:val="20"/>
          <w:szCs w:val="20"/>
          <w:highlight w:val="white"/>
        </w:rPr>
        <w:t>tuntutan</w:t>
      </w:r>
      <w:proofErr w:type="spellEnd"/>
      <w:r>
        <w:rPr>
          <w:rFonts w:ascii="Times New Roman" w:eastAsia="Times New Roman" w:hAnsi="Times New Roman" w:cs="Times New Roman"/>
          <w:i/>
          <w:sz w:val="20"/>
          <w:szCs w:val="20"/>
          <w:highlight w:val="white"/>
        </w:rPr>
        <w:t xml:space="preserve"> </w:t>
      </w:r>
      <w:proofErr w:type="spellStart"/>
      <w:r>
        <w:rPr>
          <w:rFonts w:ascii="Times New Roman" w:eastAsia="Times New Roman" w:hAnsi="Times New Roman" w:cs="Times New Roman"/>
          <w:i/>
          <w:sz w:val="20"/>
          <w:szCs w:val="20"/>
          <w:highlight w:val="white"/>
        </w:rPr>
        <w:t>balas</w:t>
      </w:r>
      <w:proofErr w:type="spellEnd"/>
      <w:r>
        <w:rPr>
          <w:rFonts w:ascii="Times New Roman" w:eastAsia="Times New Roman" w:hAnsi="Times New Roman" w:cs="Times New Roman"/>
          <w:i/>
          <w:sz w:val="20"/>
          <w:szCs w:val="20"/>
          <w:highlight w:val="white"/>
        </w:rPr>
        <w:t xml:space="preserve">, </w:t>
      </w:r>
      <w:proofErr w:type="spellStart"/>
      <w:r>
        <w:rPr>
          <w:rFonts w:ascii="Times New Roman" w:eastAsia="Times New Roman" w:hAnsi="Times New Roman" w:cs="Times New Roman"/>
          <w:i/>
          <w:sz w:val="20"/>
          <w:szCs w:val="20"/>
          <w:highlight w:val="white"/>
        </w:rPr>
        <w:t>selepas</w:t>
      </w:r>
      <w:proofErr w:type="spellEnd"/>
      <w:r>
        <w:rPr>
          <w:rFonts w:ascii="Times New Roman" w:eastAsia="Times New Roman" w:hAnsi="Times New Roman" w:cs="Times New Roman"/>
          <w:i/>
          <w:sz w:val="20"/>
          <w:szCs w:val="20"/>
          <w:highlight w:val="white"/>
        </w:rPr>
        <w:t xml:space="preserve"> </w:t>
      </w:r>
      <w:proofErr w:type="spellStart"/>
      <w:r>
        <w:rPr>
          <w:rFonts w:ascii="Times New Roman" w:eastAsia="Times New Roman" w:hAnsi="Times New Roman" w:cs="Times New Roman"/>
          <w:i/>
          <w:sz w:val="20"/>
          <w:szCs w:val="20"/>
          <w:highlight w:val="white"/>
        </w:rPr>
        <w:t>penyampaian</w:t>
      </w:r>
      <w:proofErr w:type="spellEnd"/>
      <w:r>
        <w:rPr>
          <w:rFonts w:ascii="Times New Roman" w:eastAsia="Times New Roman" w:hAnsi="Times New Roman" w:cs="Times New Roman"/>
          <w:i/>
          <w:sz w:val="20"/>
          <w:szCs w:val="20"/>
          <w:highlight w:val="white"/>
        </w:rPr>
        <w:t xml:space="preserve"> </w:t>
      </w:r>
      <w:proofErr w:type="spellStart"/>
      <w:r>
        <w:rPr>
          <w:rFonts w:ascii="Times New Roman" w:eastAsia="Times New Roman" w:hAnsi="Times New Roman" w:cs="Times New Roman"/>
          <w:i/>
          <w:sz w:val="20"/>
          <w:szCs w:val="20"/>
          <w:highlight w:val="white"/>
        </w:rPr>
        <w:t>pembelaan</w:t>
      </w:r>
      <w:proofErr w:type="spellEnd"/>
      <w:r>
        <w:rPr>
          <w:rFonts w:ascii="Times New Roman" w:eastAsia="Times New Roman" w:hAnsi="Times New Roman" w:cs="Times New Roman"/>
          <w:i/>
          <w:sz w:val="20"/>
          <w:szCs w:val="20"/>
          <w:highlight w:val="white"/>
        </w:rPr>
        <w:t xml:space="preserve"> </w:t>
      </w:r>
      <w:proofErr w:type="spellStart"/>
      <w:r>
        <w:rPr>
          <w:rFonts w:ascii="Times New Roman" w:eastAsia="Times New Roman" w:hAnsi="Times New Roman" w:cs="Times New Roman"/>
          <w:i/>
          <w:sz w:val="20"/>
          <w:szCs w:val="20"/>
          <w:highlight w:val="white"/>
        </w:rPr>
        <w:t>kepada</w:t>
      </w:r>
      <w:proofErr w:type="spellEnd"/>
      <w:r>
        <w:rPr>
          <w:rFonts w:ascii="Times New Roman" w:eastAsia="Times New Roman" w:hAnsi="Times New Roman" w:cs="Times New Roman"/>
          <w:i/>
          <w:sz w:val="20"/>
          <w:szCs w:val="20"/>
          <w:highlight w:val="white"/>
        </w:rPr>
        <w:t xml:space="preserve"> </w:t>
      </w:r>
      <w:proofErr w:type="spellStart"/>
      <w:r>
        <w:rPr>
          <w:rFonts w:ascii="Times New Roman" w:eastAsia="Times New Roman" w:hAnsi="Times New Roman" w:cs="Times New Roman"/>
          <w:i/>
          <w:sz w:val="20"/>
          <w:szCs w:val="20"/>
          <w:highlight w:val="white"/>
        </w:rPr>
        <w:t>tuntutan</w:t>
      </w:r>
      <w:proofErr w:type="spellEnd"/>
      <w:r>
        <w:rPr>
          <w:rFonts w:ascii="Times New Roman" w:eastAsia="Times New Roman" w:hAnsi="Times New Roman" w:cs="Times New Roman"/>
          <w:i/>
          <w:sz w:val="20"/>
          <w:szCs w:val="20"/>
          <w:highlight w:val="white"/>
        </w:rPr>
        <w:t xml:space="preserve"> </w:t>
      </w:r>
      <w:proofErr w:type="spellStart"/>
      <w:r>
        <w:rPr>
          <w:rFonts w:ascii="Times New Roman" w:eastAsia="Times New Roman" w:hAnsi="Times New Roman" w:cs="Times New Roman"/>
          <w:i/>
          <w:sz w:val="20"/>
          <w:szCs w:val="20"/>
          <w:highlight w:val="white"/>
        </w:rPr>
        <w:t>balas</w:t>
      </w:r>
      <w:proofErr w:type="spellEnd"/>
      <w:r>
        <w:rPr>
          <w:rFonts w:ascii="Times New Roman" w:eastAsia="Times New Roman" w:hAnsi="Times New Roman" w:cs="Times New Roman"/>
          <w:i/>
          <w:sz w:val="20"/>
          <w:szCs w:val="20"/>
          <w:highlight w:val="white"/>
        </w:rPr>
        <w:t xml:space="preserve"> </w:t>
      </w:r>
      <w:proofErr w:type="spellStart"/>
      <w:r>
        <w:rPr>
          <w:rFonts w:ascii="Times New Roman" w:eastAsia="Times New Roman" w:hAnsi="Times New Roman" w:cs="Times New Roman"/>
          <w:i/>
          <w:sz w:val="20"/>
          <w:szCs w:val="20"/>
          <w:highlight w:val="white"/>
        </w:rPr>
        <w:t>itu</w:t>
      </w:r>
      <w:proofErr w:type="spellEnd"/>
      <w:r>
        <w:rPr>
          <w:rFonts w:ascii="Times New Roman" w:eastAsia="Times New Roman" w:hAnsi="Times New Roman" w:cs="Times New Roman"/>
          <w:i/>
          <w:sz w:val="20"/>
          <w:szCs w:val="20"/>
          <w:highlight w:val="white"/>
        </w:rPr>
        <w:t xml:space="preserve">; </w:t>
      </w:r>
      <w:proofErr w:type="spellStart"/>
      <w:r>
        <w:rPr>
          <w:rFonts w:ascii="Times New Roman" w:eastAsia="Times New Roman" w:hAnsi="Times New Roman" w:cs="Times New Roman"/>
          <w:i/>
          <w:sz w:val="20"/>
          <w:szCs w:val="20"/>
          <w:highlight w:val="white"/>
        </w:rPr>
        <w:t>atau</w:t>
      </w:r>
      <w:proofErr w:type="spellEnd"/>
    </w:p>
    <w:p w14:paraId="0000004F" w14:textId="77777777" w:rsidR="00E97409" w:rsidRDefault="00E97409" w:rsidP="00690802">
      <w:pPr>
        <w:spacing w:after="0" w:line="240" w:lineRule="auto"/>
        <w:jc w:val="both"/>
        <w:rPr>
          <w:rFonts w:ascii="Times New Roman" w:eastAsia="Times New Roman" w:hAnsi="Times New Roman" w:cs="Times New Roman"/>
          <w:i/>
          <w:sz w:val="20"/>
          <w:szCs w:val="20"/>
          <w:highlight w:val="white"/>
        </w:rPr>
      </w:pPr>
    </w:p>
    <w:p w14:paraId="00000050" w14:textId="77777777" w:rsidR="00E97409" w:rsidRDefault="007741DD" w:rsidP="00690802">
      <w:pPr>
        <w:numPr>
          <w:ilvl w:val="0"/>
          <w:numId w:val="8"/>
        </w:numPr>
        <w:spacing w:after="0" w:line="240" w:lineRule="auto"/>
        <w:jc w:val="both"/>
        <w:rPr>
          <w:rFonts w:ascii="Times New Roman" w:eastAsia="Times New Roman" w:hAnsi="Times New Roman" w:cs="Times New Roman"/>
          <w:i/>
          <w:sz w:val="20"/>
          <w:szCs w:val="20"/>
          <w:highlight w:val="white"/>
        </w:rPr>
      </w:pPr>
      <w:proofErr w:type="spellStart"/>
      <w:r>
        <w:rPr>
          <w:rFonts w:ascii="Times New Roman" w:eastAsia="Times New Roman" w:hAnsi="Times New Roman" w:cs="Times New Roman"/>
          <w:i/>
          <w:sz w:val="20"/>
          <w:szCs w:val="20"/>
          <w:highlight w:val="white"/>
        </w:rPr>
        <w:t>sekiranya</w:t>
      </w:r>
      <w:proofErr w:type="spellEnd"/>
      <w:r>
        <w:rPr>
          <w:rFonts w:ascii="Times New Roman" w:eastAsia="Times New Roman" w:hAnsi="Times New Roman" w:cs="Times New Roman"/>
          <w:i/>
          <w:sz w:val="20"/>
          <w:szCs w:val="20"/>
          <w:highlight w:val="white"/>
        </w:rPr>
        <w:t xml:space="preserve"> </w:t>
      </w:r>
      <w:proofErr w:type="spellStart"/>
      <w:r>
        <w:rPr>
          <w:rFonts w:ascii="Times New Roman" w:eastAsia="Times New Roman" w:hAnsi="Times New Roman" w:cs="Times New Roman"/>
          <w:i/>
          <w:sz w:val="20"/>
          <w:szCs w:val="20"/>
          <w:highlight w:val="white"/>
        </w:rPr>
        <w:t>jawapan</w:t>
      </w:r>
      <w:proofErr w:type="spellEnd"/>
      <w:r>
        <w:rPr>
          <w:rFonts w:ascii="Times New Roman" w:eastAsia="Times New Roman" w:hAnsi="Times New Roman" w:cs="Times New Roman"/>
          <w:i/>
          <w:sz w:val="20"/>
          <w:szCs w:val="20"/>
          <w:highlight w:val="white"/>
        </w:rPr>
        <w:t xml:space="preserve"> dan </w:t>
      </w:r>
      <w:proofErr w:type="spellStart"/>
      <w:r>
        <w:rPr>
          <w:rFonts w:ascii="Times New Roman" w:eastAsia="Times New Roman" w:hAnsi="Times New Roman" w:cs="Times New Roman"/>
          <w:i/>
          <w:sz w:val="20"/>
          <w:szCs w:val="20"/>
          <w:highlight w:val="white"/>
        </w:rPr>
        <w:t>pembelaan</w:t>
      </w:r>
      <w:proofErr w:type="spellEnd"/>
      <w:r>
        <w:rPr>
          <w:rFonts w:ascii="Times New Roman" w:eastAsia="Times New Roman" w:hAnsi="Times New Roman" w:cs="Times New Roman"/>
          <w:i/>
          <w:sz w:val="20"/>
          <w:szCs w:val="20"/>
          <w:highlight w:val="white"/>
        </w:rPr>
        <w:t xml:space="preserve"> </w:t>
      </w:r>
      <w:proofErr w:type="spellStart"/>
      <w:r>
        <w:rPr>
          <w:rFonts w:ascii="Times New Roman" w:eastAsia="Times New Roman" w:hAnsi="Times New Roman" w:cs="Times New Roman"/>
          <w:i/>
          <w:sz w:val="20"/>
          <w:szCs w:val="20"/>
          <w:highlight w:val="white"/>
        </w:rPr>
        <w:t>kepada</w:t>
      </w:r>
      <w:proofErr w:type="spellEnd"/>
      <w:r>
        <w:rPr>
          <w:rFonts w:ascii="Times New Roman" w:eastAsia="Times New Roman" w:hAnsi="Times New Roman" w:cs="Times New Roman"/>
          <w:i/>
          <w:sz w:val="20"/>
          <w:szCs w:val="20"/>
          <w:highlight w:val="white"/>
        </w:rPr>
        <w:t xml:space="preserve"> </w:t>
      </w:r>
      <w:proofErr w:type="spellStart"/>
      <w:r>
        <w:rPr>
          <w:rFonts w:ascii="Times New Roman" w:eastAsia="Times New Roman" w:hAnsi="Times New Roman" w:cs="Times New Roman"/>
          <w:i/>
          <w:sz w:val="20"/>
          <w:szCs w:val="20"/>
          <w:highlight w:val="white"/>
        </w:rPr>
        <w:t>tuntutan</w:t>
      </w:r>
      <w:proofErr w:type="spellEnd"/>
      <w:r>
        <w:rPr>
          <w:rFonts w:ascii="Times New Roman" w:eastAsia="Times New Roman" w:hAnsi="Times New Roman" w:cs="Times New Roman"/>
          <w:i/>
          <w:sz w:val="20"/>
          <w:szCs w:val="20"/>
          <w:highlight w:val="white"/>
        </w:rPr>
        <w:t xml:space="preserve"> </w:t>
      </w:r>
      <w:proofErr w:type="spellStart"/>
      <w:r>
        <w:rPr>
          <w:rFonts w:ascii="Times New Roman" w:eastAsia="Times New Roman" w:hAnsi="Times New Roman" w:cs="Times New Roman"/>
          <w:i/>
          <w:sz w:val="20"/>
          <w:szCs w:val="20"/>
          <w:highlight w:val="white"/>
        </w:rPr>
        <w:t>balas</w:t>
      </w:r>
      <w:proofErr w:type="spellEnd"/>
      <w:r>
        <w:rPr>
          <w:rFonts w:ascii="Times New Roman" w:eastAsia="Times New Roman" w:hAnsi="Times New Roman" w:cs="Times New Roman"/>
          <w:i/>
          <w:sz w:val="20"/>
          <w:szCs w:val="20"/>
          <w:highlight w:val="white"/>
        </w:rPr>
        <w:t xml:space="preserve"> </w:t>
      </w:r>
      <w:proofErr w:type="spellStart"/>
      <w:r>
        <w:rPr>
          <w:rFonts w:ascii="Times New Roman" w:eastAsia="Times New Roman" w:hAnsi="Times New Roman" w:cs="Times New Roman"/>
          <w:i/>
          <w:sz w:val="20"/>
          <w:szCs w:val="20"/>
          <w:highlight w:val="white"/>
        </w:rPr>
        <w:t>itu</w:t>
      </w:r>
      <w:proofErr w:type="spellEnd"/>
      <w:r>
        <w:rPr>
          <w:rFonts w:ascii="Times New Roman" w:eastAsia="Times New Roman" w:hAnsi="Times New Roman" w:cs="Times New Roman"/>
          <w:i/>
          <w:sz w:val="20"/>
          <w:szCs w:val="20"/>
          <w:highlight w:val="white"/>
        </w:rPr>
        <w:t xml:space="preserve"> </w:t>
      </w:r>
      <w:proofErr w:type="spellStart"/>
      <w:r>
        <w:rPr>
          <w:rFonts w:ascii="Times New Roman" w:eastAsia="Times New Roman" w:hAnsi="Times New Roman" w:cs="Times New Roman"/>
          <w:i/>
          <w:sz w:val="20"/>
          <w:szCs w:val="20"/>
          <w:highlight w:val="white"/>
        </w:rPr>
        <w:t>tidak</w:t>
      </w:r>
      <w:proofErr w:type="spellEnd"/>
      <w:r>
        <w:rPr>
          <w:rFonts w:ascii="Times New Roman" w:eastAsia="Times New Roman" w:hAnsi="Times New Roman" w:cs="Times New Roman"/>
          <w:i/>
          <w:sz w:val="20"/>
          <w:szCs w:val="20"/>
          <w:highlight w:val="white"/>
        </w:rPr>
        <w:t xml:space="preserve"> </w:t>
      </w:r>
      <w:proofErr w:type="spellStart"/>
      <w:r>
        <w:rPr>
          <w:rFonts w:ascii="Times New Roman" w:eastAsia="Times New Roman" w:hAnsi="Times New Roman" w:cs="Times New Roman"/>
          <w:i/>
          <w:sz w:val="20"/>
          <w:szCs w:val="20"/>
          <w:highlight w:val="white"/>
        </w:rPr>
        <w:t>disampaikan</w:t>
      </w:r>
      <w:proofErr w:type="spellEnd"/>
      <w:r>
        <w:rPr>
          <w:rFonts w:ascii="Times New Roman" w:eastAsia="Times New Roman" w:hAnsi="Times New Roman" w:cs="Times New Roman"/>
          <w:i/>
          <w:sz w:val="20"/>
          <w:szCs w:val="20"/>
          <w:highlight w:val="white"/>
        </w:rPr>
        <w:t xml:space="preserve">, </w:t>
      </w:r>
      <w:proofErr w:type="spellStart"/>
      <w:r>
        <w:rPr>
          <w:rFonts w:ascii="Times New Roman" w:eastAsia="Times New Roman" w:hAnsi="Times New Roman" w:cs="Times New Roman"/>
          <w:i/>
          <w:sz w:val="20"/>
          <w:szCs w:val="20"/>
          <w:highlight w:val="white"/>
        </w:rPr>
        <w:t>apabila</w:t>
      </w:r>
      <w:proofErr w:type="spellEnd"/>
      <w:r>
        <w:rPr>
          <w:rFonts w:ascii="Times New Roman" w:eastAsia="Times New Roman" w:hAnsi="Times New Roman" w:cs="Times New Roman"/>
          <w:i/>
          <w:sz w:val="20"/>
          <w:szCs w:val="20"/>
          <w:highlight w:val="white"/>
        </w:rPr>
        <w:t xml:space="preserve"> </w:t>
      </w:r>
      <w:proofErr w:type="spellStart"/>
      <w:r>
        <w:rPr>
          <w:rFonts w:ascii="Times New Roman" w:eastAsia="Times New Roman" w:hAnsi="Times New Roman" w:cs="Times New Roman"/>
          <w:i/>
          <w:sz w:val="20"/>
          <w:szCs w:val="20"/>
          <w:highlight w:val="white"/>
        </w:rPr>
        <w:t>tamatnya</w:t>
      </w:r>
      <w:proofErr w:type="spellEnd"/>
      <w:r>
        <w:rPr>
          <w:rFonts w:ascii="Times New Roman" w:eastAsia="Times New Roman" w:hAnsi="Times New Roman" w:cs="Times New Roman"/>
          <w:i/>
          <w:sz w:val="20"/>
          <w:szCs w:val="20"/>
          <w:highlight w:val="white"/>
        </w:rPr>
        <w:t xml:space="preserve"> </w:t>
      </w:r>
      <w:proofErr w:type="spellStart"/>
      <w:r>
        <w:rPr>
          <w:rFonts w:ascii="Times New Roman" w:eastAsia="Times New Roman" w:hAnsi="Times New Roman" w:cs="Times New Roman"/>
          <w:i/>
          <w:sz w:val="20"/>
          <w:szCs w:val="20"/>
          <w:highlight w:val="white"/>
        </w:rPr>
        <w:t>empat</w:t>
      </w:r>
      <w:proofErr w:type="spellEnd"/>
      <w:r>
        <w:rPr>
          <w:rFonts w:ascii="Times New Roman" w:eastAsia="Times New Roman" w:hAnsi="Times New Roman" w:cs="Times New Roman"/>
          <w:i/>
          <w:sz w:val="20"/>
          <w:szCs w:val="20"/>
          <w:highlight w:val="white"/>
        </w:rPr>
        <w:t xml:space="preserve"> </w:t>
      </w:r>
      <w:proofErr w:type="spellStart"/>
      <w:r>
        <w:rPr>
          <w:rFonts w:ascii="Times New Roman" w:eastAsia="Times New Roman" w:hAnsi="Times New Roman" w:cs="Times New Roman"/>
          <w:i/>
          <w:sz w:val="20"/>
          <w:szCs w:val="20"/>
          <w:highlight w:val="white"/>
        </w:rPr>
        <w:t>belas</w:t>
      </w:r>
      <w:proofErr w:type="spellEnd"/>
      <w:r>
        <w:rPr>
          <w:rFonts w:ascii="Times New Roman" w:eastAsia="Times New Roman" w:hAnsi="Times New Roman" w:cs="Times New Roman"/>
          <w:i/>
          <w:sz w:val="20"/>
          <w:szCs w:val="20"/>
          <w:highlight w:val="white"/>
        </w:rPr>
        <w:t xml:space="preserve"> </w:t>
      </w:r>
      <w:proofErr w:type="spellStart"/>
      <w:r>
        <w:rPr>
          <w:rFonts w:ascii="Times New Roman" w:eastAsia="Times New Roman" w:hAnsi="Times New Roman" w:cs="Times New Roman"/>
          <w:i/>
          <w:sz w:val="20"/>
          <w:szCs w:val="20"/>
          <w:highlight w:val="white"/>
        </w:rPr>
        <w:t>hari</w:t>
      </w:r>
      <w:proofErr w:type="spellEnd"/>
      <w:r>
        <w:rPr>
          <w:rFonts w:ascii="Times New Roman" w:eastAsia="Times New Roman" w:hAnsi="Times New Roman" w:cs="Times New Roman"/>
          <w:i/>
          <w:sz w:val="20"/>
          <w:szCs w:val="20"/>
          <w:highlight w:val="white"/>
        </w:rPr>
        <w:t xml:space="preserve"> </w:t>
      </w:r>
      <w:proofErr w:type="spellStart"/>
      <w:r>
        <w:rPr>
          <w:rFonts w:ascii="Times New Roman" w:eastAsia="Times New Roman" w:hAnsi="Times New Roman" w:cs="Times New Roman"/>
          <w:i/>
          <w:sz w:val="20"/>
          <w:szCs w:val="20"/>
          <w:highlight w:val="white"/>
        </w:rPr>
        <w:t>selepas</w:t>
      </w:r>
      <w:proofErr w:type="spellEnd"/>
      <w:r>
        <w:rPr>
          <w:rFonts w:ascii="Times New Roman" w:eastAsia="Times New Roman" w:hAnsi="Times New Roman" w:cs="Times New Roman"/>
          <w:i/>
          <w:sz w:val="20"/>
          <w:szCs w:val="20"/>
          <w:highlight w:val="white"/>
        </w:rPr>
        <w:t xml:space="preserve"> </w:t>
      </w:r>
      <w:proofErr w:type="spellStart"/>
      <w:r>
        <w:rPr>
          <w:rFonts w:ascii="Times New Roman" w:eastAsia="Times New Roman" w:hAnsi="Times New Roman" w:cs="Times New Roman"/>
          <w:i/>
          <w:sz w:val="20"/>
          <w:szCs w:val="20"/>
          <w:highlight w:val="white"/>
        </w:rPr>
        <w:t>penyampaian</w:t>
      </w:r>
      <w:proofErr w:type="spellEnd"/>
      <w:r>
        <w:rPr>
          <w:rFonts w:ascii="Times New Roman" w:eastAsia="Times New Roman" w:hAnsi="Times New Roman" w:cs="Times New Roman"/>
          <w:i/>
          <w:sz w:val="20"/>
          <w:szCs w:val="20"/>
          <w:highlight w:val="white"/>
        </w:rPr>
        <w:t xml:space="preserve"> </w:t>
      </w:r>
      <w:proofErr w:type="spellStart"/>
      <w:r>
        <w:rPr>
          <w:rFonts w:ascii="Times New Roman" w:eastAsia="Times New Roman" w:hAnsi="Times New Roman" w:cs="Times New Roman"/>
          <w:i/>
          <w:sz w:val="20"/>
          <w:szCs w:val="20"/>
          <w:highlight w:val="white"/>
        </w:rPr>
        <w:t>pembelaan</w:t>
      </w:r>
      <w:proofErr w:type="spellEnd"/>
      <w:r>
        <w:rPr>
          <w:rFonts w:ascii="Times New Roman" w:eastAsia="Times New Roman" w:hAnsi="Times New Roman" w:cs="Times New Roman"/>
          <w:i/>
          <w:sz w:val="20"/>
          <w:szCs w:val="20"/>
          <w:highlight w:val="white"/>
        </w:rPr>
        <w:t xml:space="preserve"> </w:t>
      </w:r>
      <w:proofErr w:type="spellStart"/>
      <w:r>
        <w:rPr>
          <w:rFonts w:ascii="Times New Roman" w:eastAsia="Times New Roman" w:hAnsi="Times New Roman" w:cs="Times New Roman"/>
          <w:i/>
          <w:sz w:val="20"/>
          <w:szCs w:val="20"/>
          <w:highlight w:val="white"/>
        </w:rPr>
        <w:t>itu</w:t>
      </w:r>
      <w:proofErr w:type="spellEnd"/>
      <w:r>
        <w:rPr>
          <w:rFonts w:ascii="Times New Roman" w:eastAsia="Times New Roman" w:hAnsi="Times New Roman" w:cs="Times New Roman"/>
          <w:i/>
          <w:sz w:val="20"/>
          <w:szCs w:val="20"/>
          <w:highlight w:val="white"/>
        </w:rPr>
        <w:t>.</w:t>
      </w:r>
    </w:p>
    <w:p w14:paraId="00000051" w14:textId="77777777" w:rsidR="00E97409" w:rsidRDefault="00E97409" w:rsidP="00690802">
      <w:pPr>
        <w:spacing w:after="0" w:line="240" w:lineRule="auto"/>
        <w:jc w:val="both"/>
        <w:rPr>
          <w:rFonts w:ascii="Times New Roman" w:eastAsia="Times New Roman" w:hAnsi="Times New Roman" w:cs="Times New Roman"/>
          <w:i/>
          <w:sz w:val="20"/>
          <w:szCs w:val="20"/>
          <w:highlight w:val="white"/>
        </w:rPr>
      </w:pPr>
    </w:p>
    <w:p w14:paraId="00000052" w14:textId="77777777" w:rsidR="00E97409" w:rsidRDefault="007741DD" w:rsidP="00690802">
      <w:pPr>
        <w:spacing w:after="0" w:line="240" w:lineRule="auto"/>
        <w:jc w:val="both"/>
        <w:rPr>
          <w:rFonts w:ascii="Times New Roman" w:eastAsia="Times New Roman" w:hAnsi="Times New Roman" w:cs="Times New Roman"/>
          <w:i/>
          <w:sz w:val="20"/>
          <w:szCs w:val="20"/>
          <w:highlight w:val="white"/>
        </w:rPr>
      </w:pPr>
      <w:r>
        <w:rPr>
          <w:rFonts w:ascii="Times New Roman" w:eastAsia="Times New Roman" w:hAnsi="Times New Roman" w:cs="Times New Roman"/>
          <w:i/>
          <w:sz w:val="20"/>
          <w:szCs w:val="20"/>
          <w:highlight w:val="white"/>
        </w:rPr>
        <w:tab/>
        <w:t>(2)</w:t>
      </w:r>
      <w:r>
        <w:rPr>
          <w:rFonts w:ascii="Times New Roman" w:eastAsia="Times New Roman" w:hAnsi="Times New Roman" w:cs="Times New Roman"/>
          <w:i/>
          <w:sz w:val="20"/>
          <w:szCs w:val="20"/>
          <w:highlight w:val="white"/>
        </w:rPr>
        <w:tab/>
      </w:r>
      <w:proofErr w:type="spellStart"/>
      <w:r>
        <w:rPr>
          <w:rFonts w:ascii="Times New Roman" w:eastAsia="Times New Roman" w:hAnsi="Times New Roman" w:cs="Times New Roman"/>
          <w:i/>
          <w:sz w:val="20"/>
          <w:szCs w:val="20"/>
          <w:highlight w:val="white"/>
        </w:rPr>
        <w:t>Pliding</w:t>
      </w:r>
      <w:proofErr w:type="spellEnd"/>
      <w:r>
        <w:rPr>
          <w:rFonts w:ascii="Times New Roman" w:eastAsia="Times New Roman" w:hAnsi="Times New Roman" w:cs="Times New Roman"/>
          <w:i/>
          <w:sz w:val="20"/>
          <w:szCs w:val="20"/>
          <w:highlight w:val="white"/>
        </w:rPr>
        <w:t xml:space="preserve"> </w:t>
      </w:r>
      <w:proofErr w:type="spellStart"/>
      <w:r>
        <w:rPr>
          <w:rFonts w:ascii="Times New Roman" w:eastAsia="Times New Roman" w:hAnsi="Times New Roman" w:cs="Times New Roman"/>
          <w:i/>
          <w:sz w:val="20"/>
          <w:szCs w:val="20"/>
          <w:highlight w:val="white"/>
        </w:rPr>
        <w:t>dalam</w:t>
      </w:r>
      <w:proofErr w:type="spellEnd"/>
      <w:r>
        <w:rPr>
          <w:rFonts w:ascii="Times New Roman" w:eastAsia="Times New Roman" w:hAnsi="Times New Roman" w:cs="Times New Roman"/>
          <w:i/>
          <w:sz w:val="20"/>
          <w:szCs w:val="20"/>
          <w:highlight w:val="white"/>
        </w:rPr>
        <w:t xml:space="preserve"> </w:t>
      </w:r>
      <w:proofErr w:type="spellStart"/>
      <w:r>
        <w:rPr>
          <w:rFonts w:ascii="Times New Roman" w:eastAsia="Times New Roman" w:hAnsi="Times New Roman" w:cs="Times New Roman"/>
          <w:i/>
          <w:sz w:val="20"/>
          <w:szCs w:val="20"/>
          <w:highlight w:val="white"/>
        </w:rPr>
        <w:t>suatu</w:t>
      </w:r>
      <w:proofErr w:type="spellEnd"/>
      <w:r>
        <w:rPr>
          <w:rFonts w:ascii="Times New Roman" w:eastAsia="Times New Roman" w:hAnsi="Times New Roman" w:cs="Times New Roman"/>
          <w:i/>
          <w:sz w:val="20"/>
          <w:szCs w:val="20"/>
          <w:highlight w:val="white"/>
        </w:rPr>
        <w:t xml:space="preserve"> </w:t>
      </w:r>
      <w:proofErr w:type="spellStart"/>
      <w:r>
        <w:rPr>
          <w:rFonts w:ascii="Times New Roman" w:eastAsia="Times New Roman" w:hAnsi="Times New Roman" w:cs="Times New Roman"/>
          <w:i/>
          <w:sz w:val="20"/>
          <w:szCs w:val="20"/>
          <w:highlight w:val="white"/>
        </w:rPr>
        <w:t>tindakan</w:t>
      </w:r>
      <w:proofErr w:type="spellEnd"/>
      <w:r>
        <w:rPr>
          <w:rFonts w:ascii="Times New Roman" w:eastAsia="Times New Roman" w:hAnsi="Times New Roman" w:cs="Times New Roman"/>
          <w:i/>
          <w:sz w:val="20"/>
          <w:szCs w:val="20"/>
          <w:highlight w:val="white"/>
        </w:rPr>
        <w:t xml:space="preserve"> </w:t>
      </w:r>
      <w:proofErr w:type="spellStart"/>
      <w:r>
        <w:rPr>
          <w:rFonts w:ascii="Times New Roman" w:eastAsia="Times New Roman" w:hAnsi="Times New Roman" w:cs="Times New Roman"/>
          <w:i/>
          <w:sz w:val="20"/>
          <w:szCs w:val="20"/>
          <w:highlight w:val="white"/>
        </w:rPr>
        <w:t>disifatkan</w:t>
      </w:r>
      <w:proofErr w:type="spellEnd"/>
      <w:r>
        <w:rPr>
          <w:rFonts w:ascii="Times New Roman" w:eastAsia="Times New Roman" w:hAnsi="Times New Roman" w:cs="Times New Roman"/>
          <w:i/>
          <w:sz w:val="20"/>
          <w:szCs w:val="20"/>
          <w:highlight w:val="white"/>
        </w:rPr>
        <w:t xml:space="preserve"> </w:t>
      </w:r>
      <w:proofErr w:type="spellStart"/>
      <w:r>
        <w:rPr>
          <w:rFonts w:ascii="Times New Roman" w:eastAsia="Times New Roman" w:hAnsi="Times New Roman" w:cs="Times New Roman"/>
          <w:i/>
          <w:sz w:val="20"/>
          <w:szCs w:val="20"/>
          <w:highlight w:val="white"/>
        </w:rPr>
        <w:t>tertutup</w:t>
      </w:r>
      <w:proofErr w:type="spellEnd"/>
      <w:r>
        <w:rPr>
          <w:rFonts w:ascii="Times New Roman" w:eastAsia="Times New Roman" w:hAnsi="Times New Roman" w:cs="Times New Roman"/>
          <w:i/>
          <w:sz w:val="20"/>
          <w:szCs w:val="20"/>
          <w:highlight w:val="white"/>
        </w:rPr>
        <w:t xml:space="preserve"> pada masa yang </w:t>
      </w:r>
    </w:p>
    <w:p w14:paraId="00000054" w14:textId="2F4B2760" w:rsidR="00E97409" w:rsidRDefault="007741DD" w:rsidP="00690802">
      <w:pPr>
        <w:spacing w:after="0" w:line="240" w:lineRule="auto"/>
        <w:ind w:left="1440"/>
        <w:jc w:val="both"/>
        <w:rPr>
          <w:rFonts w:ascii="Times New Roman" w:eastAsia="Times New Roman" w:hAnsi="Times New Roman" w:cs="Times New Roman"/>
          <w:i/>
          <w:sz w:val="20"/>
          <w:szCs w:val="20"/>
          <w:highlight w:val="white"/>
        </w:rPr>
      </w:pPr>
      <w:proofErr w:type="spellStart"/>
      <w:r>
        <w:rPr>
          <w:rFonts w:ascii="Times New Roman" w:eastAsia="Times New Roman" w:hAnsi="Times New Roman" w:cs="Times New Roman"/>
          <w:i/>
          <w:sz w:val="20"/>
          <w:szCs w:val="20"/>
          <w:highlight w:val="white"/>
        </w:rPr>
        <w:t>diperuntukkan</w:t>
      </w:r>
      <w:proofErr w:type="spellEnd"/>
      <w:r>
        <w:rPr>
          <w:rFonts w:ascii="Times New Roman" w:eastAsia="Times New Roman" w:hAnsi="Times New Roman" w:cs="Times New Roman"/>
          <w:i/>
          <w:sz w:val="20"/>
          <w:szCs w:val="20"/>
          <w:highlight w:val="white"/>
        </w:rPr>
        <w:t xml:space="preserve"> oleh </w:t>
      </w:r>
      <w:proofErr w:type="spellStart"/>
      <w:r>
        <w:rPr>
          <w:rFonts w:ascii="Times New Roman" w:eastAsia="Times New Roman" w:hAnsi="Times New Roman" w:cs="Times New Roman"/>
          <w:i/>
          <w:sz w:val="20"/>
          <w:szCs w:val="20"/>
          <w:highlight w:val="white"/>
        </w:rPr>
        <w:t>perenggan</w:t>
      </w:r>
      <w:proofErr w:type="spellEnd"/>
      <w:r>
        <w:rPr>
          <w:rFonts w:ascii="Times New Roman" w:eastAsia="Times New Roman" w:hAnsi="Times New Roman" w:cs="Times New Roman"/>
          <w:i/>
          <w:sz w:val="20"/>
          <w:szCs w:val="20"/>
          <w:highlight w:val="white"/>
        </w:rPr>
        <w:t xml:space="preserve"> (1) </w:t>
      </w:r>
      <w:proofErr w:type="spellStart"/>
      <w:r>
        <w:rPr>
          <w:rFonts w:ascii="Times New Roman" w:eastAsia="Times New Roman" w:hAnsi="Times New Roman" w:cs="Times New Roman"/>
          <w:i/>
          <w:sz w:val="20"/>
          <w:szCs w:val="20"/>
          <w:highlight w:val="white"/>
        </w:rPr>
        <w:t>walaupun</w:t>
      </w:r>
      <w:proofErr w:type="spellEnd"/>
      <w:r>
        <w:rPr>
          <w:rFonts w:ascii="Times New Roman" w:eastAsia="Times New Roman" w:hAnsi="Times New Roman" w:cs="Times New Roman"/>
          <w:i/>
          <w:sz w:val="20"/>
          <w:szCs w:val="20"/>
          <w:highlight w:val="white"/>
        </w:rPr>
        <w:t xml:space="preserve"> </w:t>
      </w:r>
      <w:proofErr w:type="spellStart"/>
      <w:r>
        <w:rPr>
          <w:rFonts w:ascii="Times New Roman" w:eastAsia="Times New Roman" w:hAnsi="Times New Roman" w:cs="Times New Roman"/>
          <w:i/>
          <w:sz w:val="20"/>
          <w:szCs w:val="20"/>
          <w:highlight w:val="white"/>
        </w:rPr>
        <w:t>apa-apa</w:t>
      </w:r>
      <w:proofErr w:type="spellEnd"/>
      <w:r>
        <w:rPr>
          <w:rFonts w:ascii="Times New Roman" w:eastAsia="Times New Roman" w:hAnsi="Times New Roman" w:cs="Times New Roman"/>
          <w:i/>
          <w:sz w:val="20"/>
          <w:szCs w:val="20"/>
          <w:highlight w:val="white"/>
        </w:rPr>
        <w:t xml:space="preserve"> </w:t>
      </w:r>
      <w:proofErr w:type="spellStart"/>
      <w:r>
        <w:rPr>
          <w:rFonts w:ascii="Times New Roman" w:eastAsia="Times New Roman" w:hAnsi="Times New Roman" w:cs="Times New Roman"/>
          <w:i/>
          <w:sz w:val="20"/>
          <w:szCs w:val="20"/>
          <w:highlight w:val="white"/>
        </w:rPr>
        <w:t>permintaan</w:t>
      </w:r>
      <w:proofErr w:type="spellEnd"/>
      <w:r>
        <w:rPr>
          <w:rFonts w:ascii="Times New Roman" w:eastAsia="Times New Roman" w:hAnsi="Times New Roman" w:cs="Times New Roman"/>
          <w:i/>
          <w:sz w:val="20"/>
          <w:szCs w:val="20"/>
          <w:highlight w:val="white"/>
        </w:rPr>
        <w:t xml:space="preserve"> </w:t>
      </w:r>
      <w:proofErr w:type="spellStart"/>
      <w:r>
        <w:rPr>
          <w:rFonts w:ascii="Times New Roman" w:eastAsia="Times New Roman" w:hAnsi="Times New Roman" w:cs="Times New Roman"/>
          <w:i/>
          <w:sz w:val="20"/>
          <w:szCs w:val="20"/>
          <w:highlight w:val="white"/>
        </w:rPr>
        <w:t>atau</w:t>
      </w:r>
      <w:proofErr w:type="spellEnd"/>
      <w:r>
        <w:rPr>
          <w:rFonts w:ascii="Times New Roman" w:eastAsia="Times New Roman" w:hAnsi="Times New Roman" w:cs="Times New Roman"/>
          <w:i/>
          <w:sz w:val="20"/>
          <w:szCs w:val="20"/>
          <w:highlight w:val="white"/>
        </w:rPr>
        <w:t xml:space="preserve"> </w:t>
      </w:r>
      <w:proofErr w:type="spellStart"/>
      <w:r>
        <w:rPr>
          <w:rFonts w:ascii="Times New Roman" w:eastAsia="Times New Roman" w:hAnsi="Times New Roman" w:cs="Times New Roman"/>
          <w:i/>
          <w:sz w:val="20"/>
          <w:szCs w:val="20"/>
          <w:highlight w:val="white"/>
        </w:rPr>
        <w:t>perintah</w:t>
      </w:r>
      <w:proofErr w:type="spellEnd"/>
      <w:r>
        <w:rPr>
          <w:rFonts w:ascii="Times New Roman" w:eastAsia="Times New Roman" w:hAnsi="Times New Roman" w:cs="Times New Roman"/>
          <w:i/>
          <w:sz w:val="20"/>
          <w:szCs w:val="20"/>
          <w:highlight w:val="white"/>
        </w:rPr>
        <w:t xml:space="preserve"> </w:t>
      </w:r>
      <w:proofErr w:type="spellStart"/>
      <w:r>
        <w:rPr>
          <w:rFonts w:ascii="Times New Roman" w:eastAsia="Times New Roman" w:hAnsi="Times New Roman" w:cs="Times New Roman"/>
          <w:i/>
          <w:sz w:val="20"/>
          <w:szCs w:val="20"/>
          <w:highlight w:val="white"/>
        </w:rPr>
        <w:t>mendapatkan</w:t>
      </w:r>
      <w:proofErr w:type="spellEnd"/>
      <w:r>
        <w:rPr>
          <w:rFonts w:ascii="Times New Roman" w:eastAsia="Times New Roman" w:hAnsi="Times New Roman" w:cs="Times New Roman"/>
          <w:i/>
          <w:sz w:val="20"/>
          <w:szCs w:val="20"/>
          <w:highlight w:val="white"/>
        </w:rPr>
        <w:t xml:space="preserve"> </w:t>
      </w:r>
      <w:proofErr w:type="spellStart"/>
      <w:r>
        <w:rPr>
          <w:rFonts w:ascii="Times New Roman" w:eastAsia="Times New Roman" w:hAnsi="Times New Roman" w:cs="Times New Roman"/>
          <w:i/>
          <w:sz w:val="20"/>
          <w:szCs w:val="20"/>
          <w:highlight w:val="white"/>
        </w:rPr>
        <w:t>butiran</w:t>
      </w:r>
      <w:proofErr w:type="spellEnd"/>
      <w:r>
        <w:rPr>
          <w:rFonts w:ascii="Times New Roman" w:eastAsia="Times New Roman" w:hAnsi="Times New Roman" w:cs="Times New Roman"/>
          <w:i/>
          <w:sz w:val="20"/>
          <w:szCs w:val="20"/>
          <w:highlight w:val="white"/>
        </w:rPr>
        <w:t xml:space="preserve"> </w:t>
      </w:r>
      <w:proofErr w:type="spellStart"/>
      <w:r>
        <w:rPr>
          <w:rFonts w:ascii="Times New Roman" w:eastAsia="Times New Roman" w:hAnsi="Times New Roman" w:cs="Times New Roman"/>
          <w:i/>
          <w:sz w:val="20"/>
          <w:szCs w:val="20"/>
          <w:highlight w:val="white"/>
        </w:rPr>
        <w:t>telah</w:t>
      </w:r>
      <w:proofErr w:type="spellEnd"/>
      <w:r>
        <w:rPr>
          <w:rFonts w:ascii="Times New Roman" w:eastAsia="Times New Roman" w:hAnsi="Times New Roman" w:cs="Times New Roman"/>
          <w:i/>
          <w:sz w:val="20"/>
          <w:szCs w:val="20"/>
          <w:highlight w:val="white"/>
        </w:rPr>
        <w:t xml:space="preserve"> </w:t>
      </w:r>
      <w:proofErr w:type="spellStart"/>
      <w:r>
        <w:rPr>
          <w:rFonts w:ascii="Times New Roman" w:eastAsia="Times New Roman" w:hAnsi="Times New Roman" w:cs="Times New Roman"/>
          <w:i/>
          <w:sz w:val="20"/>
          <w:szCs w:val="20"/>
          <w:highlight w:val="white"/>
        </w:rPr>
        <w:t>dibuat</w:t>
      </w:r>
      <w:proofErr w:type="spellEnd"/>
      <w:r>
        <w:rPr>
          <w:rFonts w:ascii="Times New Roman" w:eastAsia="Times New Roman" w:hAnsi="Times New Roman" w:cs="Times New Roman"/>
          <w:i/>
          <w:sz w:val="20"/>
          <w:szCs w:val="20"/>
          <w:highlight w:val="white"/>
        </w:rPr>
        <w:t xml:space="preserve"> </w:t>
      </w:r>
      <w:proofErr w:type="spellStart"/>
      <w:r>
        <w:rPr>
          <w:rFonts w:ascii="Times New Roman" w:eastAsia="Times New Roman" w:hAnsi="Times New Roman" w:cs="Times New Roman"/>
          <w:i/>
          <w:sz w:val="20"/>
          <w:szCs w:val="20"/>
          <w:highlight w:val="white"/>
        </w:rPr>
        <w:t>tetapi</w:t>
      </w:r>
      <w:proofErr w:type="spellEnd"/>
      <w:r>
        <w:rPr>
          <w:rFonts w:ascii="Times New Roman" w:eastAsia="Times New Roman" w:hAnsi="Times New Roman" w:cs="Times New Roman"/>
          <w:i/>
          <w:sz w:val="20"/>
          <w:szCs w:val="20"/>
          <w:highlight w:val="white"/>
        </w:rPr>
        <w:t xml:space="preserve"> </w:t>
      </w:r>
      <w:proofErr w:type="spellStart"/>
      <w:r>
        <w:rPr>
          <w:rFonts w:ascii="Times New Roman" w:eastAsia="Times New Roman" w:hAnsi="Times New Roman" w:cs="Times New Roman"/>
          <w:i/>
          <w:sz w:val="20"/>
          <w:szCs w:val="20"/>
          <w:highlight w:val="white"/>
        </w:rPr>
        <w:t>belum</w:t>
      </w:r>
      <w:proofErr w:type="spellEnd"/>
      <w:r>
        <w:rPr>
          <w:rFonts w:ascii="Times New Roman" w:eastAsia="Times New Roman" w:hAnsi="Times New Roman" w:cs="Times New Roman"/>
          <w:i/>
          <w:sz w:val="20"/>
          <w:szCs w:val="20"/>
          <w:highlight w:val="white"/>
        </w:rPr>
        <w:t xml:space="preserve"> </w:t>
      </w:r>
      <w:proofErr w:type="spellStart"/>
      <w:r>
        <w:rPr>
          <w:rFonts w:ascii="Times New Roman" w:eastAsia="Times New Roman" w:hAnsi="Times New Roman" w:cs="Times New Roman"/>
          <w:i/>
          <w:sz w:val="20"/>
          <w:szCs w:val="20"/>
          <w:highlight w:val="white"/>
        </w:rPr>
        <w:t>dipatuhi</w:t>
      </w:r>
      <w:proofErr w:type="spellEnd"/>
      <w:r>
        <w:rPr>
          <w:rFonts w:ascii="Times New Roman" w:eastAsia="Times New Roman" w:hAnsi="Times New Roman" w:cs="Times New Roman"/>
          <w:i/>
          <w:sz w:val="20"/>
          <w:szCs w:val="20"/>
          <w:highlight w:val="white"/>
        </w:rPr>
        <w:t xml:space="preserve"> pada masa </w:t>
      </w:r>
      <w:proofErr w:type="spellStart"/>
      <w:r>
        <w:rPr>
          <w:rFonts w:ascii="Times New Roman" w:eastAsia="Times New Roman" w:hAnsi="Times New Roman" w:cs="Times New Roman"/>
          <w:i/>
          <w:sz w:val="20"/>
          <w:szCs w:val="20"/>
          <w:highlight w:val="white"/>
        </w:rPr>
        <w:t>itu</w:t>
      </w:r>
      <w:proofErr w:type="spellEnd"/>
      <w:r>
        <w:rPr>
          <w:rFonts w:ascii="Times New Roman" w:eastAsia="Times New Roman" w:hAnsi="Times New Roman" w:cs="Times New Roman"/>
          <w:i/>
          <w:sz w:val="20"/>
          <w:szCs w:val="20"/>
          <w:highlight w:val="white"/>
        </w:rPr>
        <w:t>.”</w:t>
      </w:r>
      <w:r>
        <w:rPr>
          <w:rFonts w:ascii="Times New Roman" w:eastAsia="Times New Roman" w:hAnsi="Times New Roman" w:cs="Times New Roman"/>
          <w:i/>
          <w:sz w:val="20"/>
          <w:szCs w:val="20"/>
          <w:highlight w:val="white"/>
          <w:vertAlign w:val="superscript"/>
        </w:rPr>
        <w:footnoteReference w:id="13"/>
      </w:r>
    </w:p>
    <w:p w14:paraId="00000055" w14:textId="77777777" w:rsidR="00E97409" w:rsidRDefault="007741DD" w:rsidP="00690802">
      <w:pPr>
        <w:spacing w:after="0" w:line="240" w:lineRule="auto"/>
        <w:ind w:firstLine="720"/>
        <w:jc w:val="both"/>
        <w:rPr>
          <w:rFonts w:ascii="Times New Roman" w:eastAsia="Times New Roman" w:hAnsi="Times New Roman" w:cs="Times New Roman"/>
          <w:sz w:val="24"/>
          <w:szCs w:val="24"/>
          <w:highlight w:val="white"/>
        </w:rPr>
      </w:pPr>
      <w:proofErr w:type="spellStart"/>
      <w:r>
        <w:rPr>
          <w:rFonts w:ascii="Times New Roman" w:eastAsia="Times New Roman" w:hAnsi="Times New Roman" w:cs="Times New Roman"/>
          <w:sz w:val="24"/>
          <w:szCs w:val="24"/>
          <w:highlight w:val="white"/>
        </w:rPr>
        <w:lastRenderedPageBreak/>
        <w:t>Sekiranya</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selepas</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empat</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belas</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hari</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masih</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lagi</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tiada</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balas</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dari</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pihak</w:t>
      </w:r>
      <w:proofErr w:type="spellEnd"/>
      <w:r>
        <w:rPr>
          <w:rFonts w:ascii="Times New Roman" w:eastAsia="Times New Roman" w:hAnsi="Times New Roman" w:cs="Times New Roman"/>
          <w:sz w:val="24"/>
          <w:szCs w:val="24"/>
          <w:highlight w:val="white"/>
        </w:rPr>
        <w:t xml:space="preserve"> yang </w:t>
      </w:r>
      <w:proofErr w:type="spellStart"/>
      <w:r>
        <w:rPr>
          <w:rFonts w:ascii="Times New Roman" w:eastAsia="Times New Roman" w:hAnsi="Times New Roman" w:cs="Times New Roman"/>
          <w:sz w:val="24"/>
          <w:szCs w:val="24"/>
          <w:highlight w:val="white"/>
        </w:rPr>
        <w:t>terlibat</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maka</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pliding</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akan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dianggap</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ditutup</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Namun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begitu</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tempoh</w:t>
      </w:r>
      <w:proofErr w:type="spellEnd"/>
      <w:r>
        <w:rPr>
          <w:rFonts w:ascii="Times New Roman" w:eastAsia="Times New Roman" w:hAnsi="Times New Roman" w:cs="Times New Roman"/>
          <w:sz w:val="24"/>
          <w:szCs w:val="24"/>
          <w:highlight w:val="white"/>
        </w:rPr>
        <w:t xml:space="preserve"> masa </w:t>
      </w:r>
      <w:proofErr w:type="spellStart"/>
      <w:r>
        <w:rPr>
          <w:rFonts w:ascii="Times New Roman" w:eastAsia="Times New Roman" w:hAnsi="Times New Roman" w:cs="Times New Roman"/>
          <w:sz w:val="24"/>
          <w:szCs w:val="24"/>
          <w:highlight w:val="white"/>
        </w:rPr>
        <w:t>tersebut</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masih</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lagi</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boleh</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dipanjangkan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dengan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kebenaran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pihak</w:t>
      </w:r>
      <w:proofErr w:type="spellEnd"/>
      <w:r>
        <w:rPr>
          <w:rFonts w:ascii="Times New Roman" w:eastAsia="Times New Roman" w:hAnsi="Times New Roman" w:cs="Times New Roman"/>
          <w:sz w:val="24"/>
          <w:szCs w:val="24"/>
          <w:highlight w:val="white"/>
        </w:rPr>
        <w:t xml:space="preserve"> yang </w:t>
      </w:r>
      <w:proofErr w:type="spellStart"/>
      <w:r>
        <w:rPr>
          <w:rFonts w:ascii="Times New Roman" w:eastAsia="Times New Roman" w:hAnsi="Times New Roman" w:cs="Times New Roman"/>
          <w:sz w:val="24"/>
          <w:szCs w:val="24"/>
          <w:highlight w:val="white"/>
        </w:rPr>
        <w:t>terlibat</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dalam</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tindakan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sivil</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tersebut</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asalkan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ia</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dalam</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bentuk</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bertulis</w:t>
      </w:r>
      <w:proofErr w:type="spellEnd"/>
      <w:r>
        <w:rPr>
          <w:rFonts w:ascii="Times New Roman" w:eastAsia="Times New Roman" w:hAnsi="Times New Roman" w:cs="Times New Roman"/>
          <w:sz w:val="24"/>
          <w:szCs w:val="24"/>
          <w:highlight w:val="white"/>
        </w:rPr>
        <w:t xml:space="preserve"> dan </w:t>
      </w:r>
      <w:proofErr w:type="spellStart"/>
      <w:r>
        <w:rPr>
          <w:rFonts w:ascii="Times New Roman" w:eastAsia="Times New Roman" w:hAnsi="Times New Roman" w:cs="Times New Roman"/>
          <w:sz w:val="24"/>
          <w:szCs w:val="24"/>
          <w:highlight w:val="white"/>
        </w:rPr>
        <w:t>perkara</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tersebut</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dimohon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kepada</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mahkamah</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untuk</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memanjangkan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tempoh</w:t>
      </w:r>
      <w:proofErr w:type="spellEnd"/>
      <w:r>
        <w:rPr>
          <w:rFonts w:ascii="Times New Roman" w:eastAsia="Times New Roman" w:hAnsi="Times New Roman" w:cs="Times New Roman"/>
          <w:sz w:val="24"/>
          <w:szCs w:val="24"/>
          <w:highlight w:val="white"/>
        </w:rPr>
        <w:t xml:space="preserve"> masa </w:t>
      </w:r>
      <w:proofErr w:type="spellStart"/>
      <w:r>
        <w:rPr>
          <w:rFonts w:ascii="Times New Roman" w:eastAsia="Times New Roman" w:hAnsi="Times New Roman" w:cs="Times New Roman"/>
          <w:sz w:val="24"/>
          <w:szCs w:val="24"/>
          <w:highlight w:val="white"/>
        </w:rPr>
        <w:t>tersebut</w:t>
      </w:r>
      <w:proofErr w:type="spellEnd"/>
      <w:r>
        <w:rPr>
          <w:rFonts w:ascii="Times New Roman" w:eastAsia="Times New Roman" w:hAnsi="Times New Roman" w:cs="Times New Roman"/>
          <w:sz w:val="24"/>
          <w:szCs w:val="24"/>
          <w:highlight w:val="white"/>
          <w:vertAlign w:val="superscript"/>
        </w:rPr>
        <w:footnoteReference w:id="14"/>
      </w:r>
      <w:r>
        <w:rPr>
          <w:rFonts w:ascii="Times New Roman" w:eastAsia="Times New Roman" w:hAnsi="Times New Roman" w:cs="Times New Roman"/>
          <w:sz w:val="24"/>
          <w:szCs w:val="24"/>
          <w:highlight w:val="white"/>
        </w:rPr>
        <w:t xml:space="preserve">. </w:t>
      </w:r>
    </w:p>
    <w:p w14:paraId="00000056" w14:textId="77777777" w:rsidR="00E97409" w:rsidRDefault="00E97409" w:rsidP="00690802">
      <w:pPr>
        <w:spacing w:after="0" w:line="240" w:lineRule="auto"/>
        <w:jc w:val="both"/>
        <w:rPr>
          <w:rFonts w:ascii="Times New Roman" w:eastAsia="Times New Roman" w:hAnsi="Times New Roman" w:cs="Times New Roman"/>
          <w:sz w:val="24"/>
          <w:szCs w:val="24"/>
          <w:highlight w:val="white"/>
        </w:rPr>
      </w:pPr>
    </w:p>
    <w:p w14:paraId="00000057" w14:textId="77777777" w:rsidR="00E97409" w:rsidRDefault="007741DD" w:rsidP="00690802">
      <w:pPr>
        <w:spacing w:after="0" w:line="240" w:lineRule="auto"/>
        <w:ind w:firstLine="720"/>
        <w:jc w:val="both"/>
        <w:rPr>
          <w:rFonts w:ascii="Times New Roman" w:eastAsia="Times New Roman" w:hAnsi="Times New Roman" w:cs="Times New Roman"/>
          <w:sz w:val="24"/>
          <w:szCs w:val="24"/>
          <w:highlight w:val="white"/>
        </w:rPr>
      </w:pPr>
      <w:proofErr w:type="spellStart"/>
      <w:r>
        <w:rPr>
          <w:rFonts w:ascii="Times New Roman" w:eastAsia="Times New Roman" w:hAnsi="Times New Roman" w:cs="Times New Roman"/>
          <w:sz w:val="24"/>
          <w:szCs w:val="24"/>
          <w:highlight w:val="white"/>
        </w:rPr>
        <w:t>Walaupun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terdapat</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kelonggaran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tempoh</w:t>
      </w:r>
      <w:proofErr w:type="spellEnd"/>
      <w:r>
        <w:rPr>
          <w:rFonts w:ascii="Times New Roman" w:eastAsia="Times New Roman" w:hAnsi="Times New Roman" w:cs="Times New Roman"/>
          <w:sz w:val="24"/>
          <w:szCs w:val="24"/>
          <w:highlight w:val="white"/>
        </w:rPr>
        <w:t xml:space="preserve"> masa yang </w:t>
      </w:r>
      <w:proofErr w:type="spellStart"/>
      <w:r>
        <w:rPr>
          <w:rFonts w:ascii="Times New Roman" w:eastAsia="Times New Roman" w:hAnsi="Times New Roman" w:cs="Times New Roman"/>
          <w:sz w:val="24"/>
          <w:szCs w:val="24"/>
          <w:highlight w:val="white"/>
        </w:rPr>
        <w:t>ditetapkan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dalam</w:t>
      </w:r>
      <w:proofErr w:type="spellEnd"/>
      <w:r>
        <w:rPr>
          <w:rFonts w:ascii="Times New Roman" w:eastAsia="Times New Roman" w:hAnsi="Times New Roman" w:cs="Times New Roman"/>
          <w:sz w:val="24"/>
          <w:szCs w:val="24"/>
          <w:highlight w:val="white"/>
        </w:rPr>
        <w:t xml:space="preserve"> KKM 2012 </w:t>
      </w:r>
      <w:proofErr w:type="spellStart"/>
      <w:r>
        <w:rPr>
          <w:rFonts w:ascii="Times New Roman" w:eastAsia="Times New Roman" w:hAnsi="Times New Roman" w:cs="Times New Roman"/>
          <w:sz w:val="24"/>
          <w:szCs w:val="24"/>
          <w:highlight w:val="white"/>
        </w:rPr>
        <w:t>masih</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perlu</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dipatuhi</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apabila</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dirujuk</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kepada</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kes</w:t>
      </w:r>
      <w:proofErr w:type="spellEnd"/>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b/>
          <w:i/>
          <w:sz w:val="24"/>
          <w:szCs w:val="24"/>
          <w:highlight w:val="white"/>
        </w:rPr>
        <w:t>Yew Yin Lai v Teo Meng Hai &amp; Anor</w:t>
      </w:r>
      <w:r>
        <w:rPr>
          <w:rFonts w:ascii="Times New Roman" w:eastAsia="Times New Roman" w:hAnsi="Times New Roman" w:cs="Times New Roman"/>
          <w:b/>
          <w:i/>
          <w:sz w:val="24"/>
          <w:szCs w:val="24"/>
          <w:highlight w:val="white"/>
          <w:vertAlign w:val="superscript"/>
        </w:rPr>
        <w:footnoteReference w:id="15"/>
      </w:r>
      <w:r>
        <w:rPr>
          <w:rFonts w:ascii="Times New Roman" w:eastAsia="Times New Roman" w:hAnsi="Times New Roman" w:cs="Times New Roman"/>
          <w:b/>
          <w:i/>
          <w:sz w:val="24"/>
          <w:szCs w:val="24"/>
          <w:highlight w:val="white"/>
        </w:rPr>
        <w:t xml:space="preserve"> </w:t>
      </w:r>
      <w:r>
        <w:rPr>
          <w:rFonts w:ascii="Times New Roman" w:eastAsia="Times New Roman" w:hAnsi="Times New Roman" w:cs="Times New Roman"/>
          <w:sz w:val="24"/>
          <w:szCs w:val="24"/>
          <w:highlight w:val="white"/>
        </w:rPr>
        <w:t xml:space="preserve">di mana </w:t>
      </w:r>
      <w:proofErr w:type="spellStart"/>
      <w:r>
        <w:rPr>
          <w:rFonts w:ascii="Times New Roman" w:eastAsia="Times New Roman" w:hAnsi="Times New Roman" w:cs="Times New Roman"/>
          <w:sz w:val="24"/>
          <w:szCs w:val="24"/>
          <w:highlight w:val="white"/>
        </w:rPr>
        <w:t>telah</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diputuskan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bahawa</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untuk</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memohon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penambahan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tempoh</w:t>
      </w:r>
      <w:proofErr w:type="spellEnd"/>
      <w:r>
        <w:rPr>
          <w:rFonts w:ascii="Times New Roman" w:eastAsia="Times New Roman" w:hAnsi="Times New Roman" w:cs="Times New Roman"/>
          <w:sz w:val="24"/>
          <w:szCs w:val="24"/>
          <w:highlight w:val="white"/>
        </w:rPr>
        <w:t xml:space="preserve"> masa, </w:t>
      </w:r>
      <w:proofErr w:type="spellStart"/>
      <w:r>
        <w:rPr>
          <w:rFonts w:ascii="Times New Roman" w:eastAsia="Times New Roman" w:hAnsi="Times New Roman" w:cs="Times New Roman"/>
          <w:sz w:val="24"/>
          <w:szCs w:val="24"/>
          <w:highlight w:val="white"/>
        </w:rPr>
        <w:t>pihak</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tersebut</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perlu</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mempunyai</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sebab</w:t>
      </w:r>
      <w:proofErr w:type="spellEnd"/>
      <w:r>
        <w:rPr>
          <w:rFonts w:ascii="Times New Roman" w:eastAsia="Times New Roman" w:hAnsi="Times New Roman" w:cs="Times New Roman"/>
          <w:sz w:val="24"/>
          <w:szCs w:val="24"/>
          <w:highlight w:val="white"/>
        </w:rPr>
        <w:t xml:space="preserve"> yang </w:t>
      </w:r>
      <w:proofErr w:type="spellStart"/>
      <w:r>
        <w:rPr>
          <w:rFonts w:ascii="Times New Roman" w:eastAsia="Times New Roman" w:hAnsi="Times New Roman" w:cs="Times New Roman"/>
          <w:sz w:val="24"/>
          <w:szCs w:val="24"/>
          <w:highlight w:val="white"/>
        </w:rPr>
        <w:t>kukuh</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serta</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penjelasan</w:t>
      </w:r>
      <w:proofErr w:type="spellEnd"/>
      <w:r>
        <w:rPr>
          <w:rFonts w:ascii="Times New Roman" w:eastAsia="Times New Roman" w:hAnsi="Times New Roman" w:cs="Times New Roman"/>
          <w:sz w:val="24"/>
          <w:szCs w:val="24"/>
          <w:highlight w:val="white"/>
        </w:rPr>
        <w:t xml:space="preserve"> yang </w:t>
      </w:r>
      <w:proofErr w:type="spellStart"/>
      <w:r>
        <w:rPr>
          <w:rFonts w:ascii="Times New Roman" w:eastAsia="Times New Roman" w:hAnsi="Times New Roman" w:cs="Times New Roman"/>
          <w:sz w:val="24"/>
          <w:szCs w:val="24"/>
          <w:highlight w:val="white"/>
        </w:rPr>
        <w:t>menyokong</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pemfailan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permohonan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tersebut</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selepas</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tutupnya</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pliding</w:t>
      </w:r>
      <w:proofErr w:type="spellEnd"/>
      <w:r>
        <w:rPr>
          <w:rFonts w:ascii="Times New Roman" w:eastAsia="Times New Roman" w:hAnsi="Times New Roman" w:cs="Times New Roman"/>
          <w:sz w:val="24"/>
          <w:szCs w:val="24"/>
          <w:highlight w:val="white"/>
          <w:vertAlign w:val="superscript"/>
        </w:rPr>
        <w:footnoteReference w:id="16"/>
      </w:r>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Sekiranya</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tiada</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penjelasan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diberikan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maka</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permohonan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bagi</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penambahan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tempoh</w:t>
      </w:r>
      <w:proofErr w:type="spellEnd"/>
      <w:r>
        <w:rPr>
          <w:rFonts w:ascii="Times New Roman" w:eastAsia="Times New Roman" w:hAnsi="Times New Roman" w:cs="Times New Roman"/>
          <w:sz w:val="24"/>
          <w:szCs w:val="24"/>
          <w:highlight w:val="white"/>
        </w:rPr>
        <w:t xml:space="preserve"> masa </w:t>
      </w:r>
      <w:proofErr w:type="spellStart"/>
      <w:r>
        <w:rPr>
          <w:rFonts w:ascii="Times New Roman" w:eastAsia="Times New Roman" w:hAnsi="Times New Roman" w:cs="Times New Roman"/>
          <w:sz w:val="24"/>
          <w:szCs w:val="24"/>
          <w:highlight w:val="white"/>
        </w:rPr>
        <w:t>akan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ditolak</w:t>
      </w:r>
      <w:proofErr w:type="spellEnd"/>
      <w:r>
        <w:rPr>
          <w:rFonts w:ascii="Times New Roman" w:eastAsia="Times New Roman" w:hAnsi="Times New Roman" w:cs="Times New Roman"/>
          <w:sz w:val="24"/>
          <w:szCs w:val="24"/>
          <w:highlight w:val="white"/>
        </w:rPr>
        <w:t xml:space="preserve"> oleh </w:t>
      </w:r>
      <w:proofErr w:type="spellStart"/>
      <w:r>
        <w:rPr>
          <w:rFonts w:ascii="Times New Roman" w:eastAsia="Times New Roman" w:hAnsi="Times New Roman" w:cs="Times New Roman"/>
          <w:sz w:val="24"/>
          <w:szCs w:val="24"/>
          <w:highlight w:val="white"/>
        </w:rPr>
        <w:t>Mahkamah</w:t>
      </w:r>
      <w:proofErr w:type="spellEnd"/>
      <w:r>
        <w:rPr>
          <w:rFonts w:ascii="Times New Roman" w:eastAsia="Times New Roman" w:hAnsi="Times New Roman" w:cs="Times New Roman"/>
          <w:sz w:val="24"/>
          <w:szCs w:val="24"/>
          <w:highlight w:val="white"/>
        </w:rPr>
        <w:t xml:space="preserve">. </w:t>
      </w:r>
    </w:p>
    <w:p w14:paraId="00000058" w14:textId="77777777" w:rsidR="00E97409" w:rsidRDefault="00E97409" w:rsidP="00690802">
      <w:pPr>
        <w:spacing w:after="0" w:line="240" w:lineRule="auto"/>
        <w:jc w:val="both"/>
        <w:rPr>
          <w:rFonts w:ascii="Times New Roman" w:eastAsia="Times New Roman" w:hAnsi="Times New Roman" w:cs="Times New Roman"/>
          <w:sz w:val="24"/>
          <w:szCs w:val="24"/>
          <w:highlight w:val="white"/>
        </w:rPr>
      </w:pPr>
    </w:p>
    <w:p w14:paraId="00000059" w14:textId="77777777" w:rsidR="00E97409" w:rsidRDefault="007741DD" w:rsidP="00690802">
      <w:pPr>
        <w:spacing w:after="0" w:line="240" w:lineRule="auto"/>
        <w:ind w:firstLine="720"/>
        <w:jc w:val="both"/>
        <w:rPr>
          <w:rFonts w:ascii="Times New Roman" w:eastAsia="Times New Roman" w:hAnsi="Times New Roman" w:cs="Times New Roman"/>
          <w:sz w:val="24"/>
          <w:szCs w:val="24"/>
          <w:highlight w:val="white"/>
        </w:rPr>
      </w:pPr>
      <w:proofErr w:type="spellStart"/>
      <w:r>
        <w:rPr>
          <w:rFonts w:ascii="Times New Roman" w:eastAsia="Times New Roman" w:hAnsi="Times New Roman" w:cs="Times New Roman"/>
          <w:sz w:val="24"/>
          <w:szCs w:val="24"/>
          <w:highlight w:val="white"/>
        </w:rPr>
        <w:t>Prosedur</w:t>
      </w:r>
      <w:proofErr w:type="spellEnd"/>
      <w:r>
        <w:rPr>
          <w:rFonts w:ascii="Times New Roman" w:eastAsia="Times New Roman" w:hAnsi="Times New Roman" w:cs="Times New Roman"/>
          <w:sz w:val="24"/>
          <w:szCs w:val="24"/>
          <w:highlight w:val="white"/>
        </w:rPr>
        <w:t xml:space="preserve"> yang </w:t>
      </w:r>
      <w:proofErr w:type="spellStart"/>
      <w:r>
        <w:rPr>
          <w:rFonts w:ascii="Times New Roman" w:eastAsia="Times New Roman" w:hAnsi="Times New Roman" w:cs="Times New Roman"/>
          <w:sz w:val="24"/>
          <w:szCs w:val="24"/>
          <w:highlight w:val="white"/>
        </w:rPr>
        <w:t>perlu</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diikuti</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bagi</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permohonan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tersebut</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perlu</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dibuat</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dengan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notis</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permohonan</w:t>
      </w:r>
      <w:proofErr w:type="spellEnd"/>
      <w:r>
        <w:rPr>
          <w:rFonts w:ascii="Times New Roman" w:eastAsia="Times New Roman" w:hAnsi="Times New Roman" w:cs="Times New Roman"/>
          <w:sz w:val="24"/>
          <w:szCs w:val="24"/>
          <w:highlight w:val="white"/>
        </w:rPr>
        <w:t xml:space="preserve"> yang </w:t>
      </w:r>
      <w:proofErr w:type="spellStart"/>
      <w:r>
        <w:rPr>
          <w:rFonts w:ascii="Times New Roman" w:eastAsia="Times New Roman" w:hAnsi="Times New Roman" w:cs="Times New Roman"/>
          <w:sz w:val="24"/>
          <w:szCs w:val="24"/>
          <w:highlight w:val="white"/>
        </w:rPr>
        <w:t>disokong</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dengan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afidavit</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sokongan</w:t>
      </w:r>
      <w:proofErr w:type="spellEnd"/>
      <w:r>
        <w:rPr>
          <w:rFonts w:ascii="Times New Roman" w:eastAsia="Times New Roman" w:hAnsi="Times New Roman" w:cs="Times New Roman"/>
          <w:sz w:val="24"/>
          <w:szCs w:val="24"/>
          <w:highlight w:val="white"/>
        </w:rPr>
        <w:t xml:space="preserve"> yang </w:t>
      </w:r>
      <w:proofErr w:type="spellStart"/>
      <w:r>
        <w:rPr>
          <w:rFonts w:ascii="Times New Roman" w:eastAsia="Times New Roman" w:hAnsi="Times New Roman" w:cs="Times New Roman"/>
          <w:sz w:val="24"/>
          <w:szCs w:val="24"/>
          <w:highlight w:val="white"/>
        </w:rPr>
        <w:t>menjelaskan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sebab</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mengapa</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perlu</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dibuka</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semula</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pliding</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tersebut</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Didapati</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dari</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segi</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praktikal</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permohonan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ini</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sering</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dilakukan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secara</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lisan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kepada</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Mahkamah</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tanpa</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perlu</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memfailkan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permohonan</w:t>
      </w:r>
      <w:proofErr w:type="spellEnd"/>
      <w:r>
        <w:rPr>
          <w:rFonts w:ascii="Times New Roman" w:eastAsia="Times New Roman" w:hAnsi="Times New Roman" w:cs="Times New Roman"/>
          <w:sz w:val="24"/>
          <w:szCs w:val="24"/>
          <w:highlight w:val="white"/>
        </w:rPr>
        <w:t xml:space="preserve"> yang formal </w:t>
      </w:r>
      <w:proofErr w:type="spellStart"/>
      <w:r>
        <w:rPr>
          <w:rFonts w:ascii="Times New Roman" w:eastAsia="Times New Roman" w:hAnsi="Times New Roman" w:cs="Times New Roman"/>
          <w:sz w:val="24"/>
          <w:szCs w:val="24"/>
          <w:highlight w:val="white"/>
        </w:rPr>
        <w:t>bagi</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menjimatkan</w:t>
      </w:r>
      <w:proofErr w:type="spellEnd"/>
      <w:r>
        <w:rPr>
          <w:rFonts w:ascii="Times New Roman" w:eastAsia="Times New Roman" w:hAnsi="Times New Roman" w:cs="Times New Roman"/>
          <w:sz w:val="24"/>
          <w:szCs w:val="24"/>
          <w:highlight w:val="white"/>
        </w:rPr>
        <w:t xml:space="preserve"> masa</w:t>
      </w:r>
      <w:r>
        <w:rPr>
          <w:rFonts w:ascii="Times New Roman" w:eastAsia="Times New Roman" w:hAnsi="Times New Roman" w:cs="Times New Roman"/>
          <w:sz w:val="24"/>
          <w:szCs w:val="24"/>
          <w:highlight w:val="white"/>
          <w:vertAlign w:val="superscript"/>
        </w:rPr>
        <w:footnoteReference w:id="17"/>
      </w:r>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Terdapat</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pandangan</w:t>
      </w:r>
      <w:proofErr w:type="spellEnd"/>
      <w:r>
        <w:rPr>
          <w:rFonts w:ascii="Times New Roman" w:eastAsia="Times New Roman" w:hAnsi="Times New Roman" w:cs="Times New Roman"/>
          <w:sz w:val="24"/>
          <w:szCs w:val="24"/>
          <w:highlight w:val="white"/>
        </w:rPr>
        <w:t xml:space="preserve"> yang </w:t>
      </w:r>
      <w:proofErr w:type="spellStart"/>
      <w:r>
        <w:rPr>
          <w:rFonts w:ascii="Times New Roman" w:eastAsia="Times New Roman" w:hAnsi="Times New Roman" w:cs="Times New Roman"/>
          <w:sz w:val="24"/>
          <w:szCs w:val="24"/>
          <w:highlight w:val="white"/>
        </w:rPr>
        <w:t>menyatakan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bahawa</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penyampaian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secara</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lisan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ini</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tidak</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mengikut</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apa</w:t>
      </w:r>
      <w:proofErr w:type="spellEnd"/>
      <w:r>
        <w:rPr>
          <w:rFonts w:ascii="Times New Roman" w:eastAsia="Times New Roman" w:hAnsi="Times New Roman" w:cs="Times New Roman"/>
          <w:sz w:val="24"/>
          <w:szCs w:val="24"/>
          <w:highlight w:val="white"/>
        </w:rPr>
        <w:t xml:space="preserve"> yang </w:t>
      </w:r>
      <w:proofErr w:type="spellStart"/>
      <w:r>
        <w:rPr>
          <w:rFonts w:ascii="Times New Roman" w:eastAsia="Times New Roman" w:hAnsi="Times New Roman" w:cs="Times New Roman"/>
          <w:sz w:val="24"/>
          <w:szCs w:val="24"/>
          <w:highlight w:val="white"/>
        </w:rPr>
        <w:t>telah</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ditulis</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dalam</w:t>
      </w:r>
      <w:proofErr w:type="spellEnd"/>
      <w:r>
        <w:rPr>
          <w:rFonts w:ascii="Times New Roman" w:eastAsia="Times New Roman" w:hAnsi="Times New Roman" w:cs="Times New Roman"/>
          <w:sz w:val="24"/>
          <w:szCs w:val="24"/>
          <w:highlight w:val="white"/>
        </w:rPr>
        <w:t xml:space="preserve"> KKM. </w:t>
      </w:r>
    </w:p>
    <w:p w14:paraId="0000005A" w14:textId="77777777" w:rsidR="00E97409" w:rsidRDefault="00E97409" w:rsidP="00690802">
      <w:pPr>
        <w:spacing w:after="0" w:line="240" w:lineRule="auto"/>
        <w:jc w:val="both"/>
        <w:rPr>
          <w:rFonts w:ascii="Times New Roman" w:eastAsia="Times New Roman" w:hAnsi="Times New Roman" w:cs="Times New Roman"/>
          <w:sz w:val="24"/>
          <w:szCs w:val="24"/>
          <w:highlight w:val="white"/>
        </w:rPr>
      </w:pPr>
    </w:p>
    <w:p w14:paraId="0000005B" w14:textId="77777777" w:rsidR="00E97409" w:rsidRDefault="007741DD" w:rsidP="00690802">
      <w:pPr>
        <w:spacing w:after="0" w:line="240" w:lineRule="auto"/>
        <w:ind w:firstLine="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Hal </w:t>
      </w:r>
      <w:proofErr w:type="spellStart"/>
      <w:r>
        <w:rPr>
          <w:rFonts w:ascii="Times New Roman" w:eastAsia="Times New Roman" w:hAnsi="Times New Roman" w:cs="Times New Roman"/>
          <w:sz w:val="24"/>
          <w:szCs w:val="24"/>
          <w:highlight w:val="white"/>
        </w:rPr>
        <w:t>ini</w:t>
      </w:r>
      <w:proofErr w:type="spellEnd"/>
      <w:r>
        <w:rPr>
          <w:rFonts w:ascii="Times New Roman" w:eastAsia="Times New Roman" w:hAnsi="Times New Roman" w:cs="Times New Roman"/>
          <w:sz w:val="24"/>
          <w:szCs w:val="24"/>
          <w:highlight w:val="white"/>
        </w:rPr>
        <w:t xml:space="preserve"> kerana, </w:t>
      </w:r>
      <w:proofErr w:type="spellStart"/>
      <w:r>
        <w:rPr>
          <w:rFonts w:ascii="Times New Roman" w:eastAsia="Times New Roman" w:hAnsi="Times New Roman" w:cs="Times New Roman"/>
          <w:sz w:val="24"/>
          <w:szCs w:val="24"/>
          <w:highlight w:val="white"/>
        </w:rPr>
        <w:t>Aturan</w:t>
      </w:r>
      <w:proofErr w:type="spellEnd"/>
      <w:r>
        <w:rPr>
          <w:rFonts w:ascii="Times New Roman" w:eastAsia="Times New Roman" w:hAnsi="Times New Roman" w:cs="Times New Roman"/>
          <w:sz w:val="24"/>
          <w:szCs w:val="24"/>
          <w:highlight w:val="white"/>
        </w:rPr>
        <w:t xml:space="preserve"> 18 </w:t>
      </w:r>
      <w:proofErr w:type="spellStart"/>
      <w:r>
        <w:rPr>
          <w:rFonts w:ascii="Times New Roman" w:eastAsia="Times New Roman" w:hAnsi="Times New Roman" w:cs="Times New Roman"/>
          <w:sz w:val="24"/>
          <w:szCs w:val="24"/>
          <w:highlight w:val="white"/>
        </w:rPr>
        <w:t>Kaedah</w:t>
      </w:r>
      <w:proofErr w:type="spellEnd"/>
      <w:r>
        <w:rPr>
          <w:rFonts w:ascii="Times New Roman" w:eastAsia="Times New Roman" w:hAnsi="Times New Roman" w:cs="Times New Roman"/>
          <w:sz w:val="24"/>
          <w:szCs w:val="24"/>
          <w:highlight w:val="white"/>
        </w:rPr>
        <w:t xml:space="preserve"> 20 KKM </w:t>
      </w:r>
      <w:proofErr w:type="spellStart"/>
      <w:r>
        <w:rPr>
          <w:rFonts w:ascii="Times New Roman" w:eastAsia="Times New Roman" w:hAnsi="Times New Roman" w:cs="Times New Roman"/>
          <w:sz w:val="24"/>
          <w:szCs w:val="24"/>
          <w:highlight w:val="white"/>
        </w:rPr>
        <w:t>adalah</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bertujuan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untuk</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mempercepatkan</w:t>
      </w:r>
      <w:proofErr w:type="spellEnd"/>
      <w:r>
        <w:rPr>
          <w:rFonts w:ascii="Times New Roman" w:eastAsia="Times New Roman" w:hAnsi="Times New Roman" w:cs="Times New Roman"/>
          <w:sz w:val="24"/>
          <w:szCs w:val="24"/>
          <w:highlight w:val="white"/>
        </w:rPr>
        <w:t xml:space="preserve"> proses </w:t>
      </w:r>
      <w:proofErr w:type="spellStart"/>
      <w:r>
        <w:rPr>
          <w:rFonts w:ascii="Times New Roman" w:eastAsia="Times New Roman" w:hAnsi="Times New Roman" w:cs="Times New Roman"/>
          <w:sz w:val="24"/>
          <w:szCs w:val="24"/>
          <w:highlight w:val="white"/>
        </w:rPr>
        <w:t>litigasi</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Sekiranya</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ia</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dilakukan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secara</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lisan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ini</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akan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memberi</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ruang</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untuk</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pihak-pihak</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dalam</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tindakan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sivil</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untuk</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membuat</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permohonan</w:t>
      </w:r>
      <w:proofErr w:type="spellEnd"/>
      <w:r>
        <w:rPr>
          <w:rFonts w:ascii="Times New Roman" w:eastAsia="Times New Roman" w:hAnsi="Times New Roman" w:cs="Times New Roman"/>
          <w:sz w:val="24"/>
          <w:szCs w:val="24"/>
          <w:highlight w:val="white"/>
        </w:rPr>
        <w:t xml:space="preserve"> dan </w:t>
      </w:r>
      <w:proofErr w:type="spellStart"/>
      <w:r>
        <w:rPr>
          <w:rFonts w:ascii="Times New Roman" w:eastAsia="Times New Roman" w:hAnsi="Times New Roman" w:cs="Times New Roman"/>
          <w:sz w:val="24"/>
          <w:szCs w:val="24"/>
          <w:highlight w:val="white"/>
        </w:rPr>
        <w:t>seterusnya</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melewatkan</w:t>
      </w:r>
      <w:proofErr w:type="spellEnd"/>
      <w:r>
        <w:rPr>
          <w:rFonts w:ascii="Times New Roman" w:eastAsia="Times New Roman" w:hAnsi="Times New Roman" w:cs="Times New Roman"/>
          <w:sz w:val="24"/>
          <w:szCs w:val="24"/>
          <w:highlight w:val="white"/>
        </w:rPr>
        <w:t xml:space="preserve"> proses </w:t>
      </w:r>
      <w:proofErr w:type="spellStart"/>
      <w:r>
        <w:rPr>
          <w:rFonts w:ascii="Times New Roman" w:eastAsia="Times New Roman" w:hAnsi="Times New Roman" w:cs="Times New Roman"/>
          <w:sz w:val="24"/>
          <w:szCs w:val="24"/>
          <w:highlight w:val="white"/>
        </w:rPr>
        <w:t>litigasi</w:t>
      </w:r>
      <w:proofErr w:type="spellEnd"/>
      <w:r>
        <w:rPr>
          <w:rFonts w:ascii="Times New Roman" w:eastAsia="Times New Roman" w:hAnsi="Times New Roman" w:cs="Times New Roman"/>
          <w:sz w:val="24"/>
          <w:szCs w:val="24"/>
          <w:highlight w:val="white"/>
          <w:vertAlign w:val="superscript"/>
        </w:rPr>
        <w:footnoteReference w:id="18"/>
      </w:r>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Menurut</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kes</w:t>
      </w:r>
      <w:proofErr w:type="spellEnd"/>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b/>
          <w:i/>
          <w:sz w:val="24"/>
          <w:szCs w:val="24"/>
          <w:highlight w:val="white"/>
        </w:rPr>
        <w:t xml:space="preserve">Ratnam </w:t>
      </w:r>
      <w:proofErr w:type="spellStart"/>
      <w:r>
        <w:rPr>
          <w:rFonts w:ascii="Times New Roman" w:eastAsia="Times New Roman" w:hAnsi="Times New Roman" w:cs="Times New Roman"/>
          <w:b/>
          <w:i/>
          <w:sz w:val="24"/>
          <w:szCs w:val="24"/>
          <w:highlight w:val="white"/>
        </w:rPr>
        <w:t>lwn</w:t>
      </w:r>
      <w:proofErr w:type="spellEnd"/>
      <w:r>
        <w:rPr>
          <w:rFonts w:ascii="Times New Roman" w:eastAsia="Times New Roman" w:hAnsi="Times New Roman" w:cs="Times New Roman"/>
          <w:b/>
          <w:i/>
          <w:sz w:val="24"/>
          <w:szCs w:val="24"/>
          <w:highlight w:val="white"/>
        </w:rPr>
        <w:t xml:space="preserve"> </w:t>
      </w:r>
      <w:proofErr w:type="spellStart"/>
      <w:r>
        <w:rPr>
          <w:rFonts w:ascii="Times New Roman" w:eastAsia="Times New Roman" w:hAnsi="Times New Roman" w:cs="Times New Roman"/>
          <w:b/>
          <w:i/>
          <w:sz w:val="24"/>
          <w:szCs w:val="24"/>
          <w:highlight w:val="white"/>
        </w:rPr>
        <w:t>Cumarasamy</w:t>
      </w:r>
      <w:proofErr w:type="spellEnd"/>
      <w:r>
        <w:rPr>
          <w:rFonts w:ascii="Times New Roman" w:eastAsia="Times New Roman" w:hAnsi="Times New Roman" w:cs="Times New Roman"/>
          <w:b/>
          <w:i/>
          <w:sz w:val="24"/>
          <w:szCs w:val="24"/>
          <w:highlight w:val="white"/>
        </w:rPr>
        <w:t xml:space="preserve"> &amp; Anor</w:t>
      </w:r>
      <w:r>
        <w:rPr>
          <w:rFonts w:ascii="Times New Roman" w:eastAsia="Times New Roman" w:hAnsi="Times New Roman" w:cs="Times New Roman"/>
          <w:b/>
          <w:i/>
          <w:sz w:val="24"/>
          <w:szCs w:val="24"/>
          <w:highlight w:val="white"/>
          <w:vertAlign w:val="superscript"/>
        </w:rPr>
        <w:footnoteReference w:id="19"/>
      </w:r>
      <w:r>
        <w:rPr>
          <w:rFonts w:ascii="Times New Roman" w:eastAsia="Times New Roman" w:hAnsi="Times New Roman" w:cs="Times New Roman"/>
          <w:b/>
          <w:i/>
          <w:sz w:val="24"/>
          <w:szCs w:val="24"/>
          <w:highlight w:val="white"/>
        </w:rPr>
        <w:t>,</w:t>
      </w:r>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telah</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dinyatakan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bahawa</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tujuan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tempoh</w:t>
      </w:r>
      <w:proofErr w:type="spellEnd"/>
      <w:r>
        <w:rPr>
          <w:rFonts w:ascii="Times New Roman" w:eastAsia="Times New Roman" w:hAnsi="Times New Roman" w:cs="Times New Roman"/>
          <w:sz w:val="24"/>
          <w:szCs w:val="24"/>
          <w:highlight w:val="white"/>
        </w:rPr>
        <w:t xml:space="preserve"> masa </w:t>
      </w:r>
      <w:proofErr w:type="spellStart"/>
      <w:r>
        <w:rPr>
          <w:rFonts w:ascii="Times New Roman" w:eastAsia="Times New Roman" w:hAnsi="Times New Roman" w:cs="Times New Roman"/>
          <w:sz w:val="24"/>
          <w:szCs w:val="24"/>
          <w:highlight w:val="white"/>
        </w:rPr>
        <w:t>tersebut</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ditetapkan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adalah</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supaya</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terdapat</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jadual</w:t>
      </w:r>
      <w:proofErr w:type="spellEnd"/>
      <w:r>
        <w:rPr>
          <w:rFonts w:ascii="Times New Roman" w:eastAsia="Times New Roman" w:hAnsi="Times New Roman" w:cs="Times New Roman"/>
          <w:sz w:val="24"/>
          <w:szCs w:val="24"/>
          <w:highlight w:val="white"/>
        </w:rPr>
        <w:t xml:space="preserve"> masa </w:t>
      </w:r>
      <w:proofErr w:type="spellStart"/>
      <w:r>
        <w:rPr>
          <w:rFonts w:ascii="Times New Roman" w:eastAsia="Times New Roman" w:hAnsi="Times New Roman" w:cs="Times New Roman"/>
          <w:sz w:val="24"/>
          <w:szCs w:val="24"/>
          <w:highlight w:val="white"/>
        </w:rPr>
        <w:t>untuk</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tujuan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litigasi</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Selain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itu</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dalam</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kes</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b/>
          <w:i/>
          <w:sz w:val="24"/>
          <w:szCs w:val="24"/>
          <w:highlight w:val="white"/>
        </w:rPr>
        <w:t>Presiden</w:t>
      </w:r>
      <w:proofErr w:type="spellEnd"/>
      <w:r>
        <w:rPr>
          <w:rFonts w:ascii="Times New Roman" w:eastAsia="Times New Roman" w:hAnsi="Times New Roman" w:cs="Times New Roman"/>
          <w:b/>
          <w:i/>
          <w:sz w:val="24"/>
          <w:szCs w:val="24"/>
          <w:highlight w:val="white"/>
        </w:rPr>
        <w:t xml:space="preserve"> </w:t>
      </w:r>
      <w:proofErr w:type="spellStart"/>
      <w:r>
        <w:rPr>
          <w:rFonts w:ascii="Times New Roman" w:eastAsia="Times New Roman" w:hAnsi="Times New Roman" w:cs="Times New Roman"/>
          <w:b/>
          <w:i/>
          <w:sz w:val="24"/>
          <w:szCs w:val="24"/>
          <w:highlight w:val="white"/>
        </w:rPr>
        <w:t>Persatuan</w:t>
      </w:r>
      <w:proofErr w:type="spellEnd"/>
      <w:r>
        <w:rPr>
          <w:rFonts w:ascii="Times New Roman" w:eastAsia="Times New Roman" w:hAnsi="Times New Roman" w:cs="Times New Roman"/>
          <w:b/>
          <w:i/>
          <w:sz w:val="24"/>
          <w:szCs w:val="24"/>
          <w:highlight w:val="white"/>
        </w:rPr>
        <w:t xml:space="preserve"> Lung Yen </w:t>
      </w:r>
      <w:proofErr w:type="spellStart"/>
      <w:r>
        <w:rPr>
          <w:rFonts w:ascii="Times New Roman" w:eastAsia="Times New Roman" w:hAnsi="Times New Roman" w:cs="Times New Roman"/>
          <w:b/>
          <w:i/>
          <w:sz w:val="24"/>
          <w:szCs w:val="24"/>
          <w:highlight w:val="white"/>
        </w:rPr>
        <w:t>Manjung</w:t>
      </w:r>
      <w:proofErr w:type="spellEnd"/>
      <w:r>
        <w:rPr>
          <w:rFonts w:ascii="Times New Roman" w:eastAsia="Times New Roman" w:hAnsi="Times New Roman" w:cs="Times New Roman"/>
          <w:b/>
          <w:i/>
          <w:sz w:val="24"/>
          <w:szCs w:val="24"/>
          <w:highlight w:val="white"/>
        </w:rPr>
        <w:t xml:space="preserve"> Perak v K&amp;L Family </w:t>
      </w:r>
      <w:proofErr w:type="spellStart"/>
      <w:r>
        <w:rPr>
          <w:rFonts w:ascii="Times New Roman" w:eastAsia="Times New Roman" w:hAnsi="Times New Roman" w:cs="Times New Roman"/>
          <w:b/>
          <w:i/>
          <w:sz w:val="24"/>
          <w:szCs w:val="24"/>
          <w:highlight w:val="white"/>
        </w:rPr>
        <w:t>Sdn</w:t>
      </w:r>
      <w:proofErr w:type="spellEnd"/>
      <w:r>
        <w:rPr>
          <w:rFonts w:ascii="Times New Roman" w:eastAsia="Times New Roman" w:hAnsi="Times New Roman" w:cs="Times New Roman"/>
          <w:b/>
          <w:i/>
          <w:sz w:val="24"/>
          <w:szCs w:val="24"/>
          <w:highlight w:val="white"/>
        </w:rPr>
        <w:t xml:space="preserve"> </w:t>
      </w:r>
      <w:proofErr w:type="spellStart"/>
      <w:r>
        <w:rPr>
          <w:rFonts w:ascii="Times New Roman" w:eastAsia="Times New Roman" w:hAnsi="Times New Roman" w:cs="Times New Roman"/>
          <w:b/>
          <w:i/>
          <w:sz w:val="24"/>
          <w:szCs w:val="24"/>
          <w:highlight w:val="white"/>
        </w:rPr>
        <w:t>Bhd</w:t>
      </w:r>
      <w:proofErr w:type="spellEnd"/>
      <w:r>
        <w:rPr>
          <w:rFonts w:ascii="Times New Roman" w:eastAsia="Times New Roman" w:hAnsi="Times New Roman" w:cs="Times New Roman"/>
          <w:sz w:val="24"/>
          <w:szCs w:val="24"/>
          <w:highlight w:val="white"/>
          <w:vertAlign w:val="superscript"/>
        </w:rPr>
        <w:footnoteReference w:id="20"/>
      </w:r>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Mahkamah</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telah</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memutuskan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bahawa</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permohonan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tersebut</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telah</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difailkan</w:t>
      </w:r>
      <w:proofErr w:type="spellEnd"/>
      <w:r>
        <w:rPr>
          <w:rFonts w:ascii="Times New Roman" w:eastAsia="Times New Roman" w:hAnsi="Times New Roman" w:cs="Times New Roman"/>
          <w:sz w:val="24"/>
          <w:szCs w:val="24"/>
          <w:highlight w:val="white"/>
        </w:rPr>
        <w:t xml:space="preserve"> pada </w:t>
      </w:r>
      <w:proofErr w:type="spellStart"/>
      <w:r>
        <w:rPr>
          <w:rFonts w:ascii="Times New Roman" w:eastAsia="Times New Roman" w:hAnsi="Times New Roman" w:cs="Times New Roman"/>
          <w:sz w:val="24"/>
          <w:szCs w:val="24"/>
          <w:highlight w:val="white"/>
        </w:rPr>
        <w:t>tahap</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awal</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prosiding</w:t>
      </w:r>
      <w:proofErr w:type="spellEnd"/>
      <w:r>
        <w:rPr>
          <w:rFonts w:ascii="Times New Roman" w:eastAsia="Times New Roman" w:hAnsi="Times New Roman" w:cs="Times New Roman"/>
          <w:sz w:val="24"/>
          <w:szCs w:val="24"/>
          <w:highlight w:val="white"/>
        </w:rPr>
        <w:t xml:space="preserve"> dan </w:t>
      </w:r>
      <w:proofErr w:type="spellStart"/>
      <w:r>
        <w:rPr>
          <w:rFonts w:ascii="Times New Roman" w:eastAsia="Times New Roman" w:hAnsi="Times New Roman" w:cs="Times New Roman"/>
          <w:sz w:val="24"/>
          <w:szCs w:val="24"/>
          <w:highlight w:val="white"/>
        </w:rPr>
        <w:t>telah</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diserahkan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kepada</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pihak</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lawan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sebelum</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pliding</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telah</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ditutup</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dengan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merujuk</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kepada</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Aturan</w:t>
      </w:r>
      <w:proofErr w:type="spellEnd"/>
      <w:r>
        <w:rPr>
          <w:rFonts w:ascii="Times New Roman" w:eastAsia="Times New Roman" w:hAnsi="Times New Roman" w:cs="Times New Roman"/>
          <w:sz w:val="24"/>
          <w:szCs w:val="24"/>
          <w:highlight w:val="white"/>
        </w:rPr>
        <w:t xml:space="preserve"> 18 </w:t>
      </w:r>
      <w:proofErr w:type="spellStart"/>
      <w:r>
        <w:rPr>
          <w:rFonts w:ascii="Times New Roman" w:eastAsia="Times New Roman" w:hAnsi="Times New Roman" w:cs="Times New Roman"/>
          <w:sz w:val="24"/>
          <w:szCs w:val="24"/>
          <w:highlight w:val="white"/>
        </w:rPr>
        <w:t>Kaedah</w:t>
      </w:r>
      <w:proofErr w:type="spellEnd"/>
      <w:r>
        <w:rPr>
          <w:rFonts w:ascii="Times New Roman" w:eastAsia="Times New Roman" w:hAnsi="Times New Roman" w:cs="Times New Roman"/>
          <w:sz w:val="24"/>
          <w:szCs w:val="24"/>
          <w:highlight w:val="white"/>
        </w:rPr>
        <w:t xml:space="preserve"> 20 KKM.</w:t>
      </w:r>
    </w:p>
    <w:p w14:paraId="0000005C" w14:textId="77777777" w:rsidR="00E97409" w:rsidRDefault="00E97409" w:rsidP="00690802">
      <w:pPr>
        <w:spacing w:after="0" w:line="240" w:lineRule="auto"/>
        <w:jc w:val="both"/>
        <w:rPr>
          <w:rFonts w:ascii="Times New Roman" w:eastAsia="Times New Roman" w:hAnsi="Times New Roman" w:cs="Times New Roman"/>
          <w:sz w:val="24"/>
          <w:szCs w:val="24"/>
          <w:highlight w:val="white"/>
        </w:rPr>
      </w:pPr>
    </w:p>
    <w:p w14:paraId="0000005D" w14:textId="77777777" w:rsidR="00E97409" w:rsidRDefault="007741DD" w:rsidP="00690802">
      <w:pPr>
        <w:spacing w:after="0" w:line="240" w:lineRule="auto"/>
        <w:ind w:firstLine="720"/>
        <w:jc w:val="both"/>
        <w:rPr>
          <w:rFonts w:ascii="Times New Roman" w:eastAsia="Times New Roman" w:hAnsi="Times New Roman" w:cs="Times New Roman"/>
          <w:sz w:val="24"/>
          <w:szCs w:val="24"/>
          <w:highlight w:val="white"/>
        </w:rPr>
      </w:pPr>
      <w:proofErr w:type="spellStart"/>
      <w:r>
        <w:rPr>
          <w:rFonts w:ascii="Times New Roman" w:eastAsia="Times New Roman" w:hAnsi="Times New Roman" w:cs="Times New Roman"/>
          <w:sz w:val="24"/>
          <w:szCs w:val="24"/>
          <w:highlight w:val="white"/>
        </w:rPr>
        <w:lastRenderedPageBreak/>
        <w:t>Apabila</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tiada</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permohonan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bagi</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lanjutan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dipohon</w:t>
      </w:r>
      <w:proofErr w:type="spellEnd"/>
      <w:r>
        <w:rPr>
          <w:rFonts w:ascii="Times New Roman" w:eastAsia="Times New Roman" w:hAnsi="Times New Roman" w:cs="Times New Roman"/>
          <w:sz w:val="24"/>
          <w:szCs w:val="24"/>
          <w:highlight w:val="white"/>
        </w:rPr>
        <w:t xml:space="preserve"> di </w:t>
      </w:r>
      <w:proofErr w:type="spellStart"/>
      <w:r>
        <w:rPr>
          <w:rFonts w:ascii="Times New Roman" w:eastAsia="Times New Roman" w:hAnsi="Times New Roman" w:cs="Times New Roman"/>
          <w:sz w:val="24"/>
          <w:szCs w:val="24"/>
          <w:highlight w:val="white"/>
        </w:rPr>
        <w:t>Mahkamah</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maka</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penghakiman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interlokutori</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boleh</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dilaksanakan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Ini</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boleh</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dilihat</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dalam</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kes</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b/>
          <w:i/>
          <w:sz w:val="24"/>
          <w:szCs w:val="24"/>
          <w:highlight w:val="white"/>
        </w:rPr>
        <w:t>Sa’Amran</w:t>
      </w:r>
      <w:proofErr w:type="spellEnd"/>
      <w:r>
        <w:rPr>
          <w:rFonts w:ascii="Times New Roman" w:eastAsia="Times New Roman" w:hAnsi="Times New Roman" w:cs="Times New Roman"/>
          <w:b/>
          <w:i/>
          <w:sz w:val="24"/>
          <w:szCs w:val="24"/>
          <w:highlight w:val="white"/>
        </w:rPr>
        <w:t xml:space="preserve"> a/l </w:t>
      </w:r>
      <w:proofErr w:type="spellStart"/>
      <w:r>
        <w:rPr>
          <w:rFonts w:ascii="Times New Roman" w:eastAsia="Times New Roman" w:hAnsi="Times New Roman" w:cs="Times New Roman"/>
          <w:b/>
          <w:i/>
          <w:sz w:val="24"/>
          <w:szCs w:val="24"/>
          <w:highlight w:val="white"/>
        </w:rPr>
        <w:t>Atan</w:t>
      </w:r>
      <w:proofErr w:type="spellEnd"/>
      <w:r>
        <w:rPr>
          <w:rFonts w:ascii="Times New Roman" w:eastAsia="Times New Roman" w:hAnsi="Times New Roman" w:cs="Times New Roman"/>
          <w:b/>
          <w:i/>
          <w:sz w:val="24"/>
          <w:szCs w:val="24"/>
          <w:highlight w:val="white"/>
        </w:rPr>
        <w:t xml:space="preserve"> v </w:t>
      </w:r>
      <w:proofErr w:type="spellStart"/>
      <w:r>
        <w:rPr>
          <w:rFonts w:ascii="Times New Roman" w:eastAsia="Times New Roman" w:hAnsi="Times New Roman" w:cs="Times New Roman"/>
          <w:b/>
          <w:i/>
          <w:sz w:val="24"/>
          <w:szCs w:val="24"/>
          <w:highlight w:val="white"/>
        </w:rPr>
        <w:t>Fazlina</w:t>
      </w:r>
      <w:proofErr w:type="spellEnd"/>
      <w:r>
        <w:rPr>
          <w:rFonts w:ascii="Times New Roman" w:eastAsia="Times New Roman" w:hAnsi="Times New Roman" w:cs="Times New Roman"/>
          <w:b/>
          <w:i/>
          <w:sz w:val="24"/>
          <w:szCs w:val="24"/>
          <w:highlight w:val="white"/>
        </w:rPr>
        <w:t xml:space="preserve"> binti </w:t>
      </w:r>
      <w:proofErr w:type="spellStart"/>
      <w:r>
        <w:rPr>
          <w:rFonts w:ascii="Times New Roman" w:eastAsia="Times New Roman" w:hAnsi="Times New Roman" w:cs="Times New Roman"/>
          <w:b/>
          <w:i/>
          <w:sz w:val="24"/>
          <w:szCs w:val="24"/>
          <w:highlight w:val="white"/>
        </w:rPr>
        <w:t>Mihad</w:t>
      </w:r>
      <w:proofErr w:type="spellEnd"/>
      <w:r>
        <w:rPr>
          <w:rFonts w:ascii="Times New Roman" w:eastAsia="Times New Roman" w:hAnsi="Times New Roman" w:cs="Times New Roman"/>
          <w:b/>
          <w:i/>
          <w:sz w:val="24"/>
          <w:szCs w:val="24"/>
          <w:highlight w:val="white"/>
        </w:rPr>
        <w:t xml:space="preserve"> dan </w:t>
      </w:r>
      <w:proofErr w:type="spellStart"/>
      <w:r>
        <w:rPr>
          <w:rFonts w:ascii="Times New Roman" w:eastAsia="Times New Roman" w:hAnsi="Times New Roman" w:cs="Times New Roman"/>
          <w:b/>
          <w:i/>
          <w:sz w:val="24"/>
          <w:szCs w:val="24"/>
          <w:highlight w:val="white"/>
        </w:rPr>
        <w:t>satu</w:t>
      </w:r>
      <w:proofErr w:type="spellEnd"/>
      <w:r>
        <w:rPr>
          <w:rFonts w:ascii="Times New Roman" w:eastAsia="Times New Roman" w:hAnsi="Times New Roman" w:cs="Times New Roman"/>
          <w:b/>
          <w:i/>
          <w:sz w:val="24"/>
          <w:szCs w:val="24"/>
          <w:highlight w:val="white"/>
        </w:rPr>
        <w:t xml:space="preserve"> </w:t>
      </w:r>
      <w:proofErr w:type="spellStart"/>
      <w:r>
        <w:rPr>
          <w:rFonts w:ascii="Times New Roman" w:eastAsia="Times New Roman" w:hAnsi="Times New Roman" w:cs="Times New Roman"/>
          <w:b/>
          <w:i/>
          <w:sz w:val="24"/>
          <w:szCs w:val="24"/>
          <w:highlight w:val="white"/>
        </w:rPr>
        <w:t>lagi</w:t>
      </w:r>
      <w:proofErr w:type="spellEnd"/>
      <w:r>
        <w:rPr>
          <w:rFonts w:ascii="Times New Roman" w:eastAsia="Times New Roman" w:hAnsi="Times New Roman" w:cs="Times New Roman"/>
          <w:b/>
          <w:i/>
          <w:sz w:val="24"/>
          <w:szCs w:val="24"/>
          <w:highlight w:val="white"/>
          <w:vertAlign w:val="superscript"/>
        </w:rPr>
        <w:footnoteReference w:id="21"/>
      </w:r>
      <w:r>
        <w:rPr>
          <w:rFonts w:ascii="Times New Roman" w:eastAsia="Times New Roman" w:hAnsi="Times New Roman" w:cs="Times New Roman"/>
          <w:b/>
          <w:i/>
          <w:sz w:val="24"/>
          <w:szCs w:val="24"/>
          <w:highlight w:val="white"/>
        </w:rPr>
        <w:t xml:space="preserve"> </w:t>
      </w:r>
      <w:r>
        <w:rPr>
          <w:rFonts w:ascii="Times New Roman" w:eastAsia="Times New Roman" w:hAnsi="Times New Roman" w:cs="Times New Roman"/>
          <w:sz w:val="24"/>
          <w:szCs w:val="24"/>
          <w:highlight w:val="white"/>
        </w:rPr>
        <w:t xml:space="preserve">di mana </w:t>
      </w:r>
      <w:proofErr w:type="spellStart"/>
      <w:r>
        <w:rPr>
          <w:rFonts w:ascii="Times New Roman" w:eastAsia="Times New Roman" w:hAnsi="Times New Roman" w:cs="Times New Roman"/>
          <w:sz w:val="24"/>
          <w:szCs w:val="24"/>
          <w:highlight w:val="white"/>
        </w:rPr>
        <w:t>Responden-Responden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telah</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gagal</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untuk</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memfailkan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pembelaan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baru</w:t>
      </w:r>
      <w:proofErr w:type="spellEnd"/>
      <w:r>
        <w:rPr>
          <w:rFonts w:ascii="Times New Roman" w:eastAsia="Times New Roman" w:hAnsi="Times New Roman" w:cs="Times New Roman"/>
          <w:sz w:val="24"/>
          <w:szCs w:val="24"/>
          <w:highlight w:val="white"/>
        </w:rPr>
        <w:t xml:space="preserve"> dan </w:t>
      </w:r>
      <w:proofErr w:type="spellStart"/>
      <w:r>
        <w:rPr>
          <w:rFonts w:ascii="Times New Roman" w:eastAsia="Times New Roman" w:hAnsi="Times New Roman" w:cs="Times New Roman"/>
          <w:sz w:val="24"/>
          <w:szCs w:val="24"/>
          <w:highlight w:val="white"/>
        </w:rPr>
        <w:t>permohonan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bagi</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lanjutan</w:t>
      </w:r>
      <w:proofErr w:type="spellEnd"/>
      <w:r>
        <w:rPr>
          <w:rFonts w:ascii="Times New Roman" w:eastAsia="Times New Roman" w:hAnsi="Times New Roman" w:cs="Times New Roman"/>
          <w:sz w:val="24"/>
          <w:szCs w:val="24"/>
          <w:highlight w:val="white"/>
        </w:rPr>
        <w:t xml:space="preserve"> masa juga </w:t>
      </w:r>
      <w:proofErr w:type="spellStart"/>
      <w:r>
        <w:rPr>
          <w:rFonts w:ascii="Times New Roman" w:eastAsia="Times New Roman" w:hAnsi="Times New Roman" w:cs="Times New Roman"/>
          <w:sz w:val="24"/>
          <w:szCs w:val="24"/>
          <w:highlight w:val="white"/>
        </w:rPr>
        <w:t>tidak</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dipohon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Mahkamah</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memutuskan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bahawa</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ia</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merupakan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pelanggaran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Aturan</w:t>
      </w:r>
      <w:proofErr w:type="spellEnd"/>
      <w:r>
        <w:rPr>
          <w:rFonts w:ascii="Times New Roman" w:eastAsia="Times New Roman" w:hAnsi="Times New Roman" w:cs="Times New Roman"/>
          <w:sz w:val="24"/>
          <w:szCs w:val="24"/>
          <w:highlight w:val="white"/>
        </w:rPr>
        <w:t xml:space="preserve"> 18 </w:t>
      </w:r>
      <w:proofErr w:type="spellStart"/>
      <w:r>
        <w:rPr>
          <w:rFonts w:ascii="Times New Roman" w:eastAsia="Times New Roman" w:hAnsi="Times New Roman" w:cs="Times New Roman"/>
          <w:sz w:val="24"/>
          <w:szCs w:val="24"/>
          <w:highlight w:val="white"/>
        </w:rPr>
        <w:t>Kaedah</w:t>
      </w:r>
      <w:proofErr w:type="spellEnd"/>
      <w:r>
        <w:rPr>
          <w:rFonts w:ascii="Times New Roman" w:eastAsia="Times New Roman" w:hAnsi="Times New Roman" w:cs="Times New Roman"/>
          <w:sz w:val="24"/>
          <w:szCs w:val="24"/>
          <w:highlight w:val="white"/>
        </w:rPr>
        <w:t xml:space="preserve"> 20 KKM. </w:t>
      </w:r>
      <w:proofErr w:type="spellStart"/>
      <w:r>
        <w:rPr>
          <w:rFonts w:ascii="Times New Roman" w:eastAsia="Times New Roman" w:hAnsi="Times New Roman" w:cs="Times New Roman"/>
          <w:sz w:val="24"/>
          <w:szCs w:val="24"/>
          <w:highlight w:val="white"/>
        </w:rPr>
        <w:t>Lantaran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itu</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kegagalan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dalam</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memfailkan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pembelaan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selepas</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tamat</w:t>
      </w:r>
      <w:proofErr w:type="spellEnd"/>
      <w:r>
        <w:rPr>
          <w:rFonts w:ascii="Times New Roman" w:eastAsia="Times New Roman" w:hAnsi="Times New Roman" w:cs="Times New Roman"/>
          <w:sz w:val="24"/>
          <w:szCs w:val="24"/>
          <w:highlight w:val="white"/>
        </w:rPr>
        <w:t xml:space="preserve"> 14 </w:t>
      </w:r>
      <w:proofErr w:type="spellStart"/>
      <w:r>
        <w:rPr>
          <w:rFonts w:ascii="Times New Roman" w:eastAsia="Times New Roman" w:hAnsi="Times New Roman" w:cs="Times New Roman"/>
          <w:sz w:val="24"/>
          <w:szCs w:val="24"/>
          <w:highlight w:val="white"/>
        </w:rPr>
        <w:t>hari</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membolehkan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penghakiman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interlokutori</w:t>
      </w:r>
      <w:proofErr w:type="spellEnd"/>
      <w:r>
        <w:rPr>
          <w:rFonts w:ascii="Times New Roman" w:eastAsia="Times New Roman" w:hAnsi="Times New Roman" w:cs="Times New Roman"/>
          <w:sz w:val="24"/>
          <w:szCs w:val="24"/>
          <w:highlight w:val="white"/>
        </w:rPr>
        <w:t xml:space="preserve"> dan </w:t>
      </w:r>
      <w:proofErr w:type="spellStart"/>
      <w:r>
        <w:rPr>
          <w:rFonts w:ascii="Times New Roman" w:eastAsia="Times New Roman" w:hAnsi="Times New Roman" w:cs="Times New Roman"/>
          <w:sz w:val="24"/>
          <w:szCs w:val="24"/>
          <w:highlight w:val="white"/>
        </w:rPr>
        <w:t>gantirugi</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seperti</w:t>
      </w:r>
      <w:proofErr w:type="spellEnd"/>
      <w:r>
        <w:rPr>
          <w:rFonts w:ascii="Times New Roman" w:eastAsia="Times New Roman" w:hAnsi="Times New Roman" w:cs="Times New Roman"/>
          <w:sz w:val="24"/>
          <w:szCs w:val="24"/>
          <w:highlight w:val="white"/>
        </w:rPr>
        <w:t xml:space="preserve"> yang </w:t>
      </w:r>
      <w:proofErr w:type="spellStart"/>
      <w:r>
        <w:rPr>
          <w:rFonts w:ascii="Times New Roman" w:eastAsia="Times New Roman" w:hAnsi="Times New Roman" w:cs="Times New Roman"/>
          <w:sz w:val="24"/>
          <w:szCs w:val="24"/>
          <w:highlight w:val="white"/>
        </w:rPr>
        <w:t>telah</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diperuntukan</w:t>
      </w:r>
      <w:proofErr w:type="spellEnd"/>
      <w:r>
        <w:rPr>
          <w:rFonts w:ascii="Times New Roman" w:eastAsia="Times New Roman" w:hAnsi="Times New Roman" w:cs="Times New Roman"/>
          <w:sz w:val="24"/>
          <w:szCs w:val="24"/>
          <w:highlight w:val="white"/>
        </w:rPr>
        <w:t xml:space="preserve"> di </w:t>
      </w:r>
      <w:proofErr w:type="spellStart"/>
      <w:r>
        <w:rPr>
          <w:rFonts w:ascii="Times New Roman" w:eastAsia="Times New Roman" w:hAnsi="Times New Roman" w:cs="Times New Roman"/>
          <w:sz w:val="24"/>
          <w:szCs w:val="24"/>
          <w:highlight w:val="white"/>
        </w:rPr>
        <w:t>Aturan</w:t>
      </w:r>
      <w:proofErr w:type="spellEnd"/>
      <w:r>
        <w:rPr>
          <w:rFonts w:ascii="Times New Roman" w:eastAsia="Times New Roman" w:hAnsi="Times New Roman" w:cs="Times New Roman"/>
          <w:sz w:val="24"/>
          <w:szCs w:val="24"/>
          <w:highlight w:val="white"/>
        </w:rPr>
        <w:t xml:space="preserve"> 19 KKM.</w:t>
      </w:r>
    </w:p>
    <w:p w14:paraId="0000005E" w14:textId="77777777" w:rsidR="00E97409" w:rsidRDefault="00E97409" w:rsidP="00690802">
      <w:pPr>
        <w:spacing w:after="0" w:line="240" w:lineRule="auto"/>
        <w:jc w:val="both"/>
        <w:rPr>
          <w:rFonts w:ascii="Times New Roman" w:eastAsia="Times New Roman" w:hAnsi="Times New Roman" w:cs="Times New Roman"/>
          <w:sz w:val="24"/>
          <w:szCs w:val="24"/>
          <w:highlight w:val="white"/>
        </w:rPr>
      </w:pPr>
    </w:p>
    <w:p w14:paraId="0000005F" w14:textId="77777777" w:rsidR="00E97409" w:rsidRDefault="007741DD" w:rsidP="00690802">
      <w:pPr>
        <w:spacing w:after="0" w:line="240" w:lineRule="auto"/>
        <w:jc w:val="center"/>
        <w:rPr>
          <w:rFonts w:ascii="Times New Roman" w:eastAsia="Times New Roman" w:hAnsi="Times New Roman" w:cs="Times New Roman"/>
          <w:b/>
          <w:highlight w:val="white"/>
        </w:rPr>
      </w:pPr>
      <w:r>
        <w:rPr>
          <w:rFonts w:ascii="Times New Roman" w:eastAsia="Times New Roman" w:hAnsi="Times New Roman" w:cs="Times New Roman"/>
          <w:b/>
          <w:highlight w:val="white"/>
        </w:rPr>
        <w:t xml:space="preserve">Masa yang </w:t>
      </w:r>
      <w:proofErr w:type="spellStart"/>
      <w:r>
        <w:rPr>
          <w:rFonts w:ascii="Times New Roman" w:eastAsia="Times New Roman" w:hAnsi="Times New Roman" w:cs="Times New Roman"/>
          <w:b/>
          <w:highlight w:val="white"/>
        </w:rPr>
        <w:t>ditetapkan</w:t>
      </w:r>
      <w:proofErr w:type="spellEnd"/>
      <w:r>
        <w:rPr>
          <w:rFonts w:ascii="Times New Roman" w:eastAsia="Times New Roman" w:hAnsi="Times New Roman" w:cs="Times New Roman"/>
          <w:b/>
          <w:highlight w:val="white"/>
        </w:rPr>
        <w:t xml:space="preserve"> </w:t>
      </w:r>
      <w:proofErr w:type="spellStart"/>
      <w:r>
        <w:rPr>
          <w:rFonts w:ascii="Times New Roman" w:eastAsia="Times New Roman" w:hAnsi="Times New Roman" w:cs="Times New Roman"/>
          <w:b/>
          <w:highlight w:val="white"/>
        </w:rPr>
        <w:t>bagi</w:t>
      </w:r>
      <w:proofErr w:type="spellEnd"/>
      <w:r>
        <w:rPr>
          <w:rFonts w:ascii="Times New Roman" w:eastAsia="Times New Roman" w:hAnsi="Times New Roman" w:cs="Times New Roman"/>
          <w:b/>
          <w:highlight w:val="white"/>
        </w:rPr>
        <w:t xml:space="preserve"> </w:t>
      </w:r>
      <w:proofErr w:type="spellStart"/>
      <w:r>
        <w:rPr>
          <w:rFonts w:ascii="Times New Roman" w:eastAsia="Times New Roman" w:hAnsi="Times New Roman" w:cs="Times New Roman"/>
          <w:b/>
          <w:highlight w:val="white"/>
        </w:rPr>
        <w:t>penutupan</w:t>
      </w:r>
      <w:proofErr w:type="spellEnd"/>
      <w:r>
        <w:rPr>
          <w:rFonts w:ascii="Times New Roman" w:eastAsia="Times New Roman" w:hAnsi="Times New Roman" w:cs="Times New Roman"/>
          <w:b/>
          <w:highlight w:val="white"/>
        </w:rPr>
        <w:t xml:space="preserve"> </w:t>
      </w:r>
      <w:proofErr w:type="spellStart"/>
      <w:r>
        <w:rPr>
          <w:rFonts w:ascii="Times New Roman" w:eastAsia="Times New Roman" w:hAnsi="Times New Roman" w:cs="Times New Roman"/>
          <w:b/>
          <w:highlight w:val="white"/>
        </w:rPr>
        <w:t>pliding</w:t>
      </w:r>
      <w:proofErr w:type="spellEnd"/>
      <w:r>
        <w:rPr>
          <w:rFonts w:ascii="Times New Roman" w:eastAsia="Times New Roman" w:hAnsi="Times New Roman" w:cs="Times New Roman"/>
          <w:b/>
          <w:highlight w:val="white"/>
        </w:rPr>
        <w:t xml:space="preserve"> di United Kingdom</w:t>
      </w:r>
    </w:p>
    <w:p w14:paraId="00000060" w14:textId="77777777" w:rsidR="00E97409" w:rsidRDefault="00E97409" w:rsidP="00690802">
      <w:pPr>
        <w:spacing w:after="0" w:line="240" w:lineRule="auto"/>
        <w:jc w:val="both"/>
        <w:rPr>
          <w:rFonts w:ascii="Times New Roman" w:eastAsia="Times New Roman" w:hAnsi="Times New Roman" w:cs="Times New Roman"/>
          <w:sz w:val="24"/>
          <w:szCs w:val="24"/>
          <w:highlight w:val="white"/>
        </w:rPr>
      </w:pPr>
    </w:p>
    <w:p w14:paraId="00000061" w14:textId="77777777" w:rsidR="00E97409" w:rsidRDefault="007741DD" w:rsidP="00690802">
      <w:pPr>
        <w:spacing w:after="0" w:line="240" w:lineRule="auto"/>
        <w:ind w:firstLine="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Di United Kingdom, </w:t>
      </w:r>
      <w:proofErr w:type="spellStart"/>
      <w:r>
        <w:rPr>
          <w:rFonts w:ascii="Times New Roman" w:eastAsia="Times New Roman" w:hAnsi="Times New Roman" w:cs="Times New Roman"/>
          <w:sz w:val="24"/>
          <w:szCs w:val="24"/>
          <w:highlight w:val="white"/>
        </w:rPr>
        <w:t>Mahkamah</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berpendapat</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kebenaran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mahkamah</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tidak</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akan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diberikan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melainkan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ia</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amat-amat</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diperlukan</w:t>
      </w:r>
      <w:proofErr w:type="spellEnd"/>
      <w:r>
        <w:rPr>
          <w:rFonts w:ascii="Times New Roman" w:eastAsia="Times New Roman" w:hAnsi="Times New Roman" w:cs="Times New Roman"/>
          <w:sz w:val="24"/>
          <w:szCs w:val="24"/>
          <w:highlight w:val="white"/>
          <w:vertAlign w:val="superscript"/>
        </w:rPr>
        <w:footnoteReference w:id="22"/>
      </w:r>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Ini</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bertujuan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bagi</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memastikan</w:t>
      </w:r>
      <w:proofErr w:type="spellEnd"/>
      <w:r>
        <w:rPr>
          <w:rFonts w:ascii="Times New Roman" w:eastAsia="Times New Roman" w:hAnsi="Times New Roman" w:cs="Times New Roman"/>
          <w:sz w:val="24"/>
          <w:szCs w:val="24"/>
          <w:highlight w:val="white"/>
        </w:rPr>
        <w:t xml:space="preserve"> proses </w:t>
      </w:r>
      <w:proofErr w:type="spellStart"/>
      <w:r>
        <w:rPr>
          <w:rFonts w:ascii="Times New Roman" w:eastAsia="Times New Roman" w:hAnsi="Times New Roman" w:cs="Times New Roman"/>
          <w:sz w:val="24"/>
          <w:szCs w:val="24"/>
          <w:highlight w:val="white"/>
        </w:rPr>
        <w:t>pliding</w:t>
      </w:r>
      <w:proofErr w:type="spellEnd"/>
      <w:r>
        <w:rPr>
          <w:rFonts w:ascii="Times New Roman" w:eastAsia="Times New Roman" w:hAnsi="Times New Roman" w:cs="Times New Roman"/>
          <w:sz w:val="24"/>
          <w:szCs w:val="24"/>
          <w:highlight w:val="white"/>
        </w:rPr>
        <w:t xml:space="preserve"> yang </w:t>
      </w:r>
      <w:proofErr w:type="spellStart"/>
      <w:r>
        <w:rPr>
          <w:rFonts w:ascii="Times New Roman" w:eastAsia="Times New Roman" w:hAnsi="Times New Roman" w:cs="Times New Roman"/>
          <w:sz w:val="24"/>
          <w:szCs w:val="24"/>
          <w:highlight w:val="white"/>
        </w:rPr>
        <w:t>lebih</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lancar</w:t>
      </w:r>
      <w:proofErr w:type="spellEnd"/>
      <w:r>
        <w:rPr>
          <w:rFonts w:ascii="Times New Roman" w:eastAsia="Times New Roman" w:hAnsi="Times New Roman" w:cs="Times New Roman"/>
          <w:sz w:val="24"/>
          <w:szCs w:val="24"/>
          <w:highlight w:val="white"/>
          <w:vertAlign w:val="superscript"/>
        </w:rPr>
        <w:footnoteReference w:id="23"/>
      </w:r>
      <w:r>
        <w:rPr>
          <w:rFonts w:ascii="Times New Roman" w:eastAsia="Times New Roman" w:hAnsi="Times New Roman" w:cs="Times New Roman"/>
          <w:sz w:val="24"/>
          <w:szCs w:val="24"/>
          <w:highlight w:val="white"/>
        </w:rPr>
        <w:t xml:space="preserve">. Antara </w:t>
      </w:r>
      <w:proofErr w:type="spellStart"/>
      <w:r>
        <w:rPr>
          <w:rFonts w:ascii="Times New Roman" w:eastAsia="Times New Roman" w:hAnsi="Times New Roman" w:cs="Times New Roman"/>
          <w:sz w:val="24"/>
          <w:szCs w:val="24"/>
          <w:highlight w:val="white"/>
        </w:rPr>
        <w:t>kes</w:t>
      </w:r>
      <w:proofErr w:type="spellEnd"/>
      <w:r>
        <w:rPr>
          <w:rFonts w:ascii="Times New Roman" w:eastAsia="Times New Roman" w:hAnsi="Times New Roman" w:cs="Times New Roman"/>
          <w:sz w:val="24"/>
          <w:szCs w:val="24"/>
          <w:highlight w:val="white"/>
        </w:rPr>
        <w:t xml:space="preserve"> yang </w:t>
      </w:r>
      <w:proofErr w:type="spellStart"/>
      <w:r>
        <w:rPr>
          <w:rFonts w:ascii="Times New Roman" w:eastAsia="Times New Roman" w:hAnsi="Times New Roman" w:cs="Times New Roman"/>
          <w:sz w:val="24"/>
          <w:szCs w:val="24"/>
          <w:highlight w:val="white"/>
        </w:rPr>
        <w:t>menyatakan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mengenai</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isu</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ini</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boleh</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dilihat</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dalam</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kes</w:t>
      </w:r>
      <w:proofErr w:type="spellEnd"/>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b/>
          <w:i/>
          <w:sz w:val="24"/>
          <w:szCs w:val="24"/>
          <w:highlight w:val="white"/>
        </w:rPr>
        <w:t>Norris v Beazley</w:t>
      </w:r>
      <w:r>
        <w:rPr>
          <w:rFonts w:ascii="Times New Roman" w:eastAsia="Times New Roman" w:hAnsi="Times New Roman" w:cs="Times New Roman"/>
          <w:b/>
          <w:i/>
          <w:sz w:val="24"/>
          <w:szCs w:val="24"/>
          <w:highlight w:val="white"/>
          <w:vertAlign w:val="superscript"/>
        </w:rPr>
        <w:footnoteReference w:id="24"/>
      </w:r>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Mahkamah</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memutuskan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bahawa</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sekiranya</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permohonan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tersebut</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dibenarkan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ia</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akan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memberikan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kelebihan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kepada</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pihak</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tersebut</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Prosedur</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ini</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perlu</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dipatuhi</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dengan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sewajarnya</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untuk</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mengelakkan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pihak-pihak</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dalam</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kes</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untuk</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melanjutkan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tempoh</w:t>
      </w:r>
      <w:proofErr w:type="spellEnd"/>
      <w:r>
        <w:rPr>
          <w:rFonts w:ascii="Times New Roman" w:eastAsia="Times New Roman" w:hAnsi="Times New Roman" w:cs="Times New Roman"/>
          <w:sz w:val="24"/>
          <w:szCs w:val="24"/>
          <w:highlight w:val="white"/>
        </w:rPr>
        <w:t xml:space="preserve"> yang </w:t>
      </w:r>
      <w:proofErr w:type="spellStart"/>
      <w:r>
        <w:rPr>
          <w:rFonts w:ascii="Times New Roman" w:eastAsia="Times New Roman" w:hAnsi="Times New Roman" w:cs="Times New Roman"/>
          <w:sz w:val="24"/>
          <w:szCs w:val="24"/>
          <w:highlight w:val="white"/>
        </w:rPr>
        <w:t>ditetapkan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dalam</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pemfailan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pliding</w:t>
      </w:r>
      <w:proofErr w:type="spellEnd"/>
      <w:r>
        <w:rPr>
          <w:rFonts w:ascii="Times New Roman" w:eastAsia="Times New Roman" w:hAnsi="Times New Roman" w:cs="Times New Roman"/>
          <w:sz w:val="24"/>
          <w:szCs w:val="24"/>
          <w:highlight w:val="white"/>
        </w:rPr>
        <w:t xml:space="preserve">. </w:t>
      </w:r>
    </w:p>
    <w:p w14:paraId="00000062" w14:textId="77777777" w:rsidR="00E97409" w:rsidRDefault="00E97409" w:rsidP="00690802">
      <w:pPr>
        <w:spacing w:after="0" w:line="240" w:lineRule="auto"/>
        <w:jc w:val="both"/>
        <w:rPr>
          <w:rFonts w:ascii="Times New Roman" w:eastAsia="Times New Roman" w:hAnsi="Times New Roman" w:cs="Times New Roman"/>
          <w:sz w:val="24"/>
          <w:szCs w:val="24"/>
          <w:highlight w:val="white"/>
        </w:rPr>
      </w:pPr>
    </w:p>
    <w:p w14:paraId="00000063" w14:textId="77777777" w:rsidR="00E97409" w:rsidRDefault="007741DD" w:rsidP="00690802">
      <w:pPr>
        <w:spacing w:after="0" w:line="240" w:lineRule="auto"/>
        <w:ind w:firstLine="720"/>
        <w:jc w:val="both"/>
        <w:rPr>
          <w:rFonts w:ascii="Times New Roman" w:eastAsia="Times New Roman" w:hAnsi="Times New Roman" w:cs="Times New Roman"/>
          <w:sz w:val="24"/>
          <w:szCs w:val="24"/>
          <w:highlight w:val="white"/>
        </w:rPr>
      </w:pPr>
      <w:proofErr w:type="spellStart"/>
      <w:r>
        <w:rPr>
          <w:rFonts w:ascii="Times New Roman" w:eastAsia="Times New Roman" w:hAnsi="Times New Roman" w:cs="Times New Roman"/>
          <w:sz w:val="24"/>
          <w:szCs w:val="24"/>
          <w:highlight w:val="white"/>
        </w:rPr>
        <w:t>Permohonan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untuk</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contohnya</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pembelaan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selepas</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penutupan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pliding</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adalah</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dikira</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sebagai</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pelanggaran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peraturan</w:t>
      </w:r>
      <w:proofErr w:type="spellEnd"/>
      <w:r>
        <w:rPr>
          <w:rFonts w:ascii="Times New Roman" w:eastAsia="Times New Roman" w:hAnsi="Times New Roman" w:cs="Times New Roman"/>
          <w:sz w:val="24"/>
          <w:szCs w:val="24"/>
          <w:highlight w:val="white"/>
        </w:rPr>
        <w:t xml:space="preserve"> kerana </w:t>
      </w:r>
      <w:proofErr w:type="spellStart"/>
      <w:r>
        <w:rPr>
          <w:rFonts w:ascii="Times New Roman" w:eastAsia="Times New Roman" w:hAnsi="Times New Roman" w:cs="Times New Roman"/>
          <w:sz w:val="24"/>
          <w:szCs w:val="24"/>
          <w:highlight w:val="white"/>
        </w:rPr>
        <w:t>defendan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sepatutnya</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meletakkan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semua</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pembelaannya</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sebelum</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pliding</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ditutup</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Perbuatan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ini</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disamakan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dengan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pelanggaran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peraturan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bagi</w:t>
      </w:r>
      <w:proofErr w:type="spellEnd"/>
      <w:r>
        <w:rPr>
          <w:rFonts w:ascii="Times New Roman" w:eastAsia="Times New Roman" w:hAnsi="Times New Roman" w:cs="Times New Roman"/>
          <w:sz w:val="24"/>
          <w:szCs w:val="24"/>
          <w:highlight w:val="white"/>
        </w:rPr>
        <w:t xml:space="preserve"> writ di mana writ </w:t>
      </w:r>
      <w:proofErr w:type="spellStart"/>
      <w:r>
        <w:rPr>
          <w:rFonts w:ascii="Times New Roman" w:eastAsia="Times New Roman" w:hAnsi="Times New Roman" w:cs="Times New Roman"/>
          <w:sz w:val="24"/>
          <w:szCs w:val="24"/>
          <w:highlight w:val="white"/>
        </w:rPr>
        <w:t>gagal</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dihantar</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dalam</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tempoh</w:t>
      </w:r>
      <w:proofErr w:type="spellEnd"/>
      <w:r>
        <w:rPr>
          <w:rFonts w:ascii="Times New Roman" w:eastAsia="Times New Roman" w:hAnsi="Times New Roman" w:cs="Times New Roman"/>
          <w:sz w:val="24"/>
          <w:szCs w:val="24"/>
          <w:highlight w:val="white"/>
        </w:rPr>
        <w:t xml:space="preserve"> yang </w:t>
      </w:r>
      <w:proofErr w:type="spellStart"/>
      <w:r>
        <w:rPr>
          <w:rFonts w:ascii="Times New Roman" w:eastAsia="Times New Roman" w:hAnsi="Times New Roman" w:cs="Times New Roman"/>
          <w:sz w:val="24"/>
          <w:szCs w:val="24"/>
          <w:highlight w:val="white"/>
        </w:rPr>
        <w:t>sepatutnya</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Apa</w:t>
      </w:r>
      <w:proofErr w:type="spellEnd"/>
      <w:r>
        <w:rPr>
          <w:rFonts w:ascii="Times New Roman" w:eastAsia="Times New Roman" w:hAnsi="Times New Roman" w:cs="Times New Roman"/>
          <w:sz w:val="24"/>
          <w:szCs w:val="24"/>
          <w:highlight w:val="white"/>
        </w:rPr>
        <w:t xml:space="preserve"> yang </w:t>
      </w:r>
      <w:proofErr w:type="spellStart"/>
      <w:r>
        <w:rPr>
          <w:rFonts w:ascii="Times New Roman" w:eastAsia="Times New Roman" w:hAnsi="Times New Roman" w:cs="Times New Roman"/>
          <w:sz w:val="24"/>
          <w:szCs w:val="24"/>
          <w:highlight w:val="white"/>
        </w:rPr>
        <w:t>menentukan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penerimaan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permohonan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bagi</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memanjangkan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tempoh</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pliding</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adalah</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bergantung</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kepada</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perspektif</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Mahkamah</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dalam</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menentukan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pematuhan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terhadap</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peraturan</w:t>
      </w:r>
      <w:proofErr w:type="spellEnd"/>
      <w:r>
        <w:rPr>
          <w:rFonts w:ascii="Times New Roman" w:eastAsia="Times New Roman" w:hAnsi="Times New Roman" w:cs="Times New Roman"/>
          <w:sz w:val="24"/>
          <w:szCs w:val="24"/>
          <w:highlight w:val="white"/>
          <w:vertAlign w:val="superscript"/>
        </w:rPr>
        <w:footnoteReference w:id="25"/>
      </w:r>
      <w:r>
        <w:rPr>
          <w:rFonts w:ascii="Times New Roman" w:eastAsia="Times New Roman" w:hAnsi="Times New Roman" w:cs="Times New Roman"/>
          <w:sz w:val="24"/>
          <w:szCs w:val="24"/>
          <w:highlight w:val="white"/>
        </w:rPr>
        <w:t xml:space="preserve">. </w:t>
      </w:r>
    </w:p>
    <w:p w14:paraId="00000064" w14:textId="77777777" w:rsidR="00E97409" w:rsidRDefault="00E97409" w:rsidP="00690802">
      <w:pPr>
        <w:spacing w:after="0" w:line="240" w:lineRule="auto"/>
        <w:jc w:val="both"/>
        <w:rPr>
          <w:rFonts w:ascii="Times New Roman" w:eastAsia="Times New Roman" w:hAnsi="Times New Roman" w:cs="Times New Roman"/>
          <w:sz w:val="24"/>
          <w:szCs w:val="24"/>
          <w:highlight w:val="white"/>
        </w:rPr>
      </w:pPr>
    </w:p>
    <w:p w14:paraId="00000065" w14:textId="77777777" w:rsidR="00E97409" w:rsidRDefault="007741DD" w:rsidP="00690802">
      <w:pPr>
        <w:spacing w:after="0" w:line="240" w:lineRule="auto"/>
        <w:ind w:firstLine="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Millet LJ </w:t>
      </w:r>
      <w:proofErr w:type="spellStart"/>
      <w:r>
        <w:rPr>
          <w:rFonts w:ascii="Times New Roman" w:eastAsia="Times New Roman" w:hAnsi="Times New Roman" w:cs="Times New Roman"/>
          <w:sz w:val="24"/>
          <w:szCs w:val="24"/>
          <w:highlight w:val="white"/>
        </w:rPr>
        <w:t>telah</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merujuk</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kepada</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kes</w:t>
      </w:r>
      <w:proofErr w:type="spellEnd"/>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b/>
          <w:i/>
          <w:sz w:val="24"/>
          <w:szCs w:val="24"/>
          <w:highlight w:val="white"/>
        </w:rPr>
        <w:t>Cropper v Smith</w:t>
      </w:r>
      <w:r>
        <w:rPr>
          <w:rFonts w:ascii="Times New Roman" w:eastAsia="Times New Roman" w:hAnsi="Times New Roman" w:cs="Times New Roman"/>
          <w:b/>
          <w:i/>
          <w:sz w:val="24"/>
          <w:szCs w:val="24"/>
          <w:highlight w:val="white"/>
          <w:vertAlign w:val="superscript"/>
        </w:rPr>
        <w:footnoteReference w:id="26"/>
      </w:r>
      <w:r>
        <w:rPr>
          <w:rFonts w:ascii="Times New Roman" w:eastAsia="Times New Roman" w:hAnsi="Times New Roman" w:cs="Times New Roman"/>
          <w:b/>
          <w:i/>
          <w:sz w:val="24"/>
          <w:szCs w:val="24"/>
          <w:highlight w:val="white"/>
        </w:rPr>
        <w:t xml:space="preserve"> </w:t>
      </w:r>
      <w:r>
        <w:rPr>
          <w:rFonts w:ascii="Times New Roman" w:eastAsia="Times New Roman" w:hAnsi="Times New Roman" w:cs="Times New Roman"/>
          <w:sz w:val="24"/>
          <w:szCs w:val="24"/>
          <w:highlight w:val="white"/>
        </w:rPr>
        <w:t xml:space="preserve">di mana </w:t>
      </w:r>
      <w:proofErr w:type="spellStart"/>
      <w:r>
        <w:rPr>
          <w:rFonts w:ascii="Times New Roman" w:eastAsia="Times New Roman" w:hAnsi="Times New Roman" w:cs="Times New Roman"/>
          <w:sz w:val="24"/>
          <w:szCs w:val="24"/>
          <w:highlight w:val="white"/>
        </w:rPr>
        <w:t>tujuan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Mahkamah</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adalah</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untuk</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menentukan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hak-hak</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pihak</w:t>
      </w:r>
      <w:proofErr w:type="spellEnd"/>
      <w:r>
        <w:rPr>
          <w:rFonts w:ascii="Times New Roman" w:eastAsia="Times New Roman" w:hAnsi="Times New Roman" w:cs="Times New Roman"/>
          <w:sz w:val="24"/>
          <w:szCs w:val="24"/>
          <w:highlight w:val="white"/>
        </w:rPr>
        <w:t xml:space="preserve"> dan </w:t>
      </w:r>
      <w:proofErr w:type="spellStart"/>
      <w:r>
        <w:rPr>
          <w:rFonts w:ascii="Times New Roman" w:eastAsia="Times New Roman" w:hAnsi="Times New Roman" w:cs="Times New Roman"/>
          <w:sz w:val="24"/>
          <w:szCs w:val="24"/>
          <w:highlight w:val="white"/>
        </w:rPr>
        <w:t>bukan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untuk</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menghukum</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kesilapan</w:t>
      </w:r>
      <w:proofErr w:type="spellEnd"/>
      <w:r>
        <w:rPr>
          <w:rFonts w:ascii="Times New Roman" w:eastAsia="Times New Roman" w:hAnsi="Times New Roman" w:cs="Times New Roman"/>
          <w:sz w:val="24"/>
          <w:szCs w:val="24"/>
          <w:highlight w:val="white"/>
        </w:rPr>
        <w:t xml:space="preserve"> yang </w:t>
      </w:r>
      <w:proofErr w:type="spellStart"/>
      <w:r>
        <w:rPr>
          <w:rFonts w:ascii="Times New Roman" w:eastAsia="Times New Roman" w:hAnsi="Times New Roman" w:cs="Times New Roman"/>
          <w:sz w:val="24"/>
          <w:szCs w:val="24"/>
          <w:highlight w:val="white"/>
        </w:rPr>
        <w:t>dilakukan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Sekiranya</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ia</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tidak</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berunsurkan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penipuan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maka</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Mahkamah</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sebolehnya</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tidak</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boleh</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bertindak</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atas</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alasan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disiplin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tapi</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lebih</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kepada</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untuk</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menyelesaikan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isu</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dalam</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kontroversi</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tersebut</w:t>
      </w:r>
      <w:proofErr w:type="spellEnd"/>
      <w:r>
        <w:rPr>
          <w:rFonts w:ascii="Times New Roman" w:eastAsia="Times New Roman" w:hAnsi="Times New Roman" w:cs="Times New Roman"/>
          <w:sz w:val="24"/>
          <w:szCs w:val="24"/>
          <w:highlight w:val="white"/>
        </w:rPr>
        <w:t>.</w:t>
      </w:r>
    </w:p>
    <w:p w14:paraId="00000066" w14:textId="77777777" w:rsidR="00E97409" w:rsidRDefault="00E97409" w:rsidP="00690802">
      <w:pPr>
        <w:spacing w:after="0" w:line="240" w:lineRule="auto"/>
        <w:ind w:firstLine="720"/>
        <w:jc w:val="both"/>
        <w:rPr>
          <w:rFonts w:ascii="Times New Roman" w:eastAsia="Times New Roman" w:hAnsi="Times New Roman" w:cs="Times New Roman"/>
          <w:sz w:val="24"/>
          <w:szCs w:val="24"/>
          <w:highlight w:val="white"/>
        </w:rPr>
      </w:pPr>
    </w:p>
    <w:p w14:paraId="00000067" w14:textId="77777777" w:rsidR="00E97409" w:rsidRDefault="007741DD" w:rsidP="00690802">
      <w:pPr>
        <w:spacing w:line="240" w:lineRule="auto"/>
        <w:jc w:val="center"/>
        <w:rPr>
          <w:rFonts w:ascii="Times New Roman" w:eastAsia="Times New Roman" w:hAnsi="Times New Roman" w:cs="Times New Roman"/>
          <w:b/>
          <w:highlight w:val="white"/>
        </w:rPr>
      </w:pPr>
      <w:proofErr w:type="spellStart"/>
      <w:r>
        <w:rPr>
          <w:rFonts w:ascii="Times New Roman" w:eastAsia="Times New Roman" w:hAnsi="Times New Roman" w:cs="Times New Roman"/>
          <w:b/>
          <w:highlight w:val="white"/>
        </w:rPr>
        <w:t>Analisis</w:t>
      </w:r>
      <w:proofErr w:type="spellEnd"/>
      <w:r>
        <w:rPr>
          <w:rFonts w:ascii="Times New Roman" w:eastAsia="Times New Roman" w:hAnsi="Times New Roman" w:cs="Times New Roman"/>
          <w:b/>
          <w:highlight w:val="white"/>
        </w:rPr>
        <w:t xml:space="preserve"> dan </w:t>
      </w:r>
      <w:proofErr w:type="spellStart"/>
      <w:r>
        <w:rPr>
          <w:rFonts w:ascii="Times New Roman" w:eastAsia="Times New Roman" w:hAnsi="Times New Roman" w:cs="Times New Roman"/>
          <w:b/>
          <w:highlight w:val="white"/>
        </w:rPr>
        <w:t>Pendapat</w:t>
      </w:r>
      <w:proofErr w:type="spellEnd"/>
    </w:p>
    <w:p w14:paraId="00000068" w14:textId="77777777" w:rsidR="00E97409" w:rsidRDefault="007741DD" w:rsidP="00690802">
      <w:pPr>
        <w:spacing w:line="240" w:lineRule="auto"/>
        <w:ind w:firstLine="720"/>
        <w:jc w:val="both"/>
        <w:rPr>
          <w:rFonts w:ascii="Times New Roman" w:eastAsia="Times New Roman" w:hAnsi="Times New Roman" w:cs="Times New Roman"/>
          <w:sz w:val="24"/>
          <w:szCs w:val="24"/>
          <w:highlight w:val="white"/>
        </w:rPr>
      </w:pPr>
      <w:proofErr w:type="spellStart"/>
      <w:r>
        <w:rPr>
          <w:rFonts w:ascii="Times New Roman" w:eastAsia="Times New Roman" w:hAnsi="Times New Roman" w:cs="Times New Roman"/>
          <w:sz w:val="24"/>
          <w:szCs w:val="24"/>
          <w:highlight w:val="white"/>
        </w:rPr>
        <w:t>Bagi</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analisis</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perbandingan</w:t>
      </w:r>
      <w:proofErr w:type="spellEnd"/>
      <w:r>
        <w:rPr>
          <w:rFonts w:ascii="Times New Roman" w:eastAsia="Times New Roman" w:hAnsi="Times New Roman" w:cs="Times New Roman"/>
          <w:sz w:val="24"/>
          <w:szCs w:val="24"/>
          <w:highlight w:val="white"/>
        </w:rPr>
        <w:t xml:space="preserve">, United Kingdom </w:t>
      </w:r>
      <w:proofErr w:type="spellStart"/>
      <w:r>
        <w:rPr>
          <w:rFonts w:ascii="Times New Roman" w:eastAsia="Times New Roman" w:hAnsi="Times New Roman" w:cs="Times New Roman"/>
          <w:sz w:val="24"/>
          <w:szCs w:val="24"/>
          <w:highlight w:val="white"/>
        </w:rPr>
        <w:t>mempunyai</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kedudukan</w:t>
      </w:r>
      <w:proofErr w:type="spellEnd"/>
      <w:r>
        <w:rPr>
          <w:rFonts w:ascii="Times New Roman" w:eastAsia="Times New Roman" w:hAnsi="Times New Roman" w:cs="Times New Roman"/>
          <w:sz w:val="24"/>
          <w:szCs w:val="24"/>
          <w:highlight w:val="white"/>
        </w:rPr>
        <w:t xml:space="preserve"> yang </w:t>
      </w:r>
      <w:proofErr w:type="spellStart"/>
      <w:r>
        <w:rPr>
          <w:rFonts w:ascii="Times New Roman" w:eastAsia="Times New Roman" w:hAnsi="Times New Roman" w:cs="Times New Roman"/>
          <w:sz w:val="24"/>
          <w:szCs w:val="24"/>
          <w:highlight w:val="white"/>
        </w:rPr>
        <w:t>lebih</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kurang</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sama</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dengan</w:t>
      </w:r>
      <w:proofErr w:type="spellEnd"/>
      <w:r>
        <w:rPr>
          <w:rFonts w:ascii="Times New Roman" w:eastAsia="Times New Roman" w:hAnsi="Times New Roman" w:cs="Times New Roman"/>
          <w:sz w:val="24"/>
          <w:szCs w:val="24"/>
          <w:highlight w:val="white"/>
        </w:rPr>
        <w:t xml:space="preserve"> Malaysia. Kes di Malaysia yang </w:t>
      </w:r>
      <w:proofErr w:type="spellStart"/>
      <w:r>
        <w:rPr>
          <w:rFonts w:ascii="Times New Roman" w:eastAsia="Times New Roman" w:hAnsi="Times New Roman" w:cs="Times New Roman"/>
          <w:sz w:val="24"/>
          <w:szCs w:val="24"/>
          <w:highlight w:val="white"/>
        </w:rPr>
        <w:t>boleh</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dirujuk</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sekali</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lagi</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ialah</w:t>
      </w:r>
      <w:proofErr w:type="spellEnd"/>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b/>
          <w:i/>
          <w:sz w:val="24"/>
          <w:szCs w:val="24"/>
          <w:highlight w:val="white"/>
        </w:rPr>
        <w:t xml:space="preserve">Ratnam </w:t>
      </w:r>
      <w:proofErr w:type="spellStart"/>
      <w:r>
        <w:rPr>
          <w:rFonts w:ascii="Times New Roman" w:eastAsia="Times New Roman" w:hAnsi="Times New Roman" w:cs="Times New Roman"/>
          <w:b/>
          <w:i/>
          <w:sz w:val="24"/>
          <w:szCs w:val="24"/>
          <w:highlight w:val="white"/>
        </w:rPr>
        <w:t>lwn</w:t>
      </w:r>
      <w:proofErr w:type="spellEnd"/>
      <w:r>
        <w:rPr>
          <w:rFonts w:ascii="Times New Roman" w:eastAsia="Times New Roman" w:hAnsi="Times New Roman" w:cs="Times New Roman"/>
          <w:b/>
          <w:i/>
          <w:sz w:val="24"/>
          <w:szCs w:val="24"/>
          <w:highlight w:val="white"/>
        </w:rPr>
        <w:t xml:space="preserve"> </w:t>
      </w:r>
      <w:proofErr w:type="spellStart"/>
      <w:r>
        <w:rPr>
          <w:rFonts w:ascii="Times New Roman" w:eastAsia="Times New Roman" w:hAnsi="Times New Roman" w:cs="Times New Roman"/>
          <w:b/>
          <w:i/>
          <w:sz w:val="24"/>
          <w:szCs w:val="24"/>
          <w:highlight w:val="white"/>
        </w:rPr>
        <w:t>Cumarasamy</w:t>
      </w:r>
      <w:proofErr w:type="spellEnd"/>
      <w:r>
        <w:rPr>
          <w:rFonts w:ascii="Times New Roman" w:eastAsia="Times New Roman" w:hAnsi="Times New Roman" w:cs="Times New Roman"/>
          <w:b/>
          <w:i/>
          <w:sz w:val="24"/>
          <w:szCs w:val="24"/>
          <w:highlight w:val="white"/>
        </w:rPr>
        <w:t xml:space="preserve"> &amp; Anor</w:t>
      </w:r>
      <w:r>
        <w:rPr>
          <w:rFonts w:ascii="Times New Roman" w:eastAsia="Times New Roman" w:hAnsi="Times New Roman" w:cs="Times New Roman"/>
          <w:b/>
          <w:i/>
          <w:sz w:val="24"/>
          <w:szCs w:val="24"/>
          <w:highlight w:val="white"/>
          <w:vertAlign w:val="superscript"/>
        </w:rPr>
        <w:footnoteReference w:id="27"/>
      </w:r>
      <w:r>
        <w:rPr>
          <w:rFonts w:ascii="Times New Roman" w:eastAsia="Times New Roman" w:hAnsi="Times New Roman" w:cs="Times New Roman"/>
          <w:b/>
          <w:i/>
          <w:sz w:val="24"/>
          <w:szCs w:val="24"/>
          <w:highlight w:val="white"/>
        </w:rPr>
        <w:t xml:space="preserve"> </w:t>
      </w:r>
      <w:r>
        <w:rPr>
          <w:rFonts w:ascii="Times New Roman" w:eastAsia="Times New Roman" w:hAnsi="Times New Roman" w:cs="Times New Roman"/>
          <w:sz w:val="24"/>
          <w:szCs w:val="24"/>
          <w:highlight w:val="white"/>
        </w:rPr>
        <w:t xml:space="preserve">di mana </w:t>
      </w:r>
      <w:proofErr w:type="spellStart"/>
      <w:r>
        <w:rPr>
          <w:rFonts w:ascii="Times New Roman" w:eastAsia="Times New Roman" w:hAnsi="Times New Roman" w:cs="Times New Roman"/>
          <w:sz w:val="24"/>
          <w:szCs w:val="24"/>
          <w:highlight w:val="white"/>
        </w:rPr>
        <w:t>ia</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memberi</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penekanan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bahawa</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tempoh</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tersebut</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bertujuan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lastRenderedPageBreak/>
        <w:t>sebagai</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jadual</w:t>
      </w:r>
      <w:proofErr w:type="spellEnd"/>
      <w:r>
        <w:rPr>
          <w:rFonts w:ascii="Times New Roman" w:eastAsia="Times New Roman" w:hAnsi="Times New Roman" w:cs="Times New Roman"/>
          <w:sz w:val="24"/>
          <w:szCs w:val="24"/>
          <w:highlight w:val="white"/>
        </w:rPr>
        <w:t xml:space="preserve"> masa </w:t>
      </w:r>
      <w:proofErr w:type="spellStart"/>
      <w:r>
        <w:rPr>
          <w:rFonts w:ascii="Times New Roman" w:eastAsia="Times New Roman" w:hAnsi="Times New Roman" w:cs="Times New Roman"/>
          <w:sz w:val="24"/>
          <w:szCs w:val="24"/>
          <w:highlight w:val="white"/>
        </w:rPr>
        <w:t>untuk</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tujuan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litigasi</w:t>
      </w:r>
      <w:proofErr w:type="spellEnd"/>
      <w:r>
        <w:rPr>
          <w:rFonts w:ascii="Times New Roman" w:eastAsia="Times New Roman" w:hAnsi="Times New Roman" w:cs="Times New Roman"/>
          <w:sz w:val="24"/>
          <w:szCs w:val="24"/>
          <w:highlight w:val="white"/>
        </w:rPr>
        <w:t xml:space="preserve"> di mana masa </w:t>
      </w:r>
      <w:proofErr w:type="spellStart"/>
      <w:r>
        <w:rPr>
          <w:rFonts w:ascii="Times New Roman" w:eastAsia="Times New Roman" w:hAnsi="Times New Roman" w:cs="Times New Roman"/>
          <w:sz w:val="24"/>
          <w:szCs w:val="24"/>
          <w:highlight w:val="white"/>
        </w:rPr>
        <w:t>Mahkamah</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tidak</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akan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dibazirkan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Mahkamah</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dalam</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kes</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ini</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telah</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merujuk</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kepada</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kes</w:t>
      </w:r>
      <w:proofErr w:type="spellEnd"/>
      <w:r>
        <w:rPr>
          <w:rFonts w:ascii="Times New Roman" w:eastAsia="Times New Roman" w:hAnsi="Times New Roman" w:cs="Times New Roman"/>
          <w:sz w:val="24"/>
          <w:szCs w:val="24"/>
          <w:highlight w:val="white"/>
        </w:rPr>
        <w:t xml:space="preserve"> United Kingdom </w:t>
      </w:r>
      <w:proofErr w:type="spellStart"/>
      <w:r>
        <w:rPr>
          <w:rFonts w:ascii="Times New Roman" w:eastAsia="Times New Roman" w:hAnsi="Times New Roman" w:cs="Times New Roman"/>
          <w:sz w:val="24"/>
          <w:szCs w:val="24"/>
          <w:highlight w:val="white"/>
        </w:rPr>
        <w:t>iaitu</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kes</w:t>
      </w:r>
      <w:proofErr w:type="spellEnd"/>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b/>
          <w:i/>
          <w:sz w:val="24"/>
          <w:szCs w:val="24"/>
          <w:highlight w:val="white"/>
        </w:rPr>
        <w:t>Atwood v Chichester</w:t>
      </w:r>
      <w:r>
        <w:rPr>
          <w:rFonts w:ascii="Times New Roman" w:eastAsia="Times New Roman" w:hAnsi="Times New Roman" w:cs="Times New Roman"/>
          <w:sz w:val="24"/>
          <w:szCs w:val="24"/>
          <w:highlight w:val="white"/>
          <w:vertAlign w:val="superscript"/>
        </w:rPr>
        <w:footnoteReference w:id="28"/>
      </w:r>
      <w:r>
        <w:rPr>
          <w:rFonts w:ascii="Times New Roman" w:eastAsia="Times New Roman" w:hAnsi="Times New Roman" w:cs="Times New Roman"/>
          <w:sz w:val="24"/>
          <w:szCs w:val="24"/>
          <w:highlight w:val="white"/>
        </w:rPr>
        <w:t xml:space="preserve"> di mana hakim </w:t>
      </w:r>
      <w:proofErr w:type="spellStart"/>
      <w:r>
        <w:rPr>
          <w:rFonts w:ascii="Times New Roman" w:eastAsia="Times New Roman" w:hAnsi="Times New Roman" w:cs="Times New Roman"/>
          <w:sz w:val="24"/>
          <w:szCs w:val="24"/>
          <w:highlight w:val="white"/>
        </w:rPr>
        <w:t>telah</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menyebut</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mengenai</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bagaimana</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permohonan</w:t>
      </w:r>
      <w:proofErr w:type="spellEnd"/>
      <w:r>
        <w:rPr>
          <w:rFonts w:ascii="Times New Roman" w:eastAsia="Times New Roman" w:hAnsi="Times New Roman" w:cs="Times New Roman"/>
          <w:sz w:val="24"/>
          <w:szCs w:val="24"/>
          <w:highlight w:val="white"/>
        </w:rPr>
        <w:t xml:space="preserve"> yang </w:t>
      </w:r>
      <w:proofErr w:type="spellStart"/>
      <w:r>
        <w:rPr>
          <w:rFonts w:ascii="Times New Roman" w:eastAsia="Times New Roman" w:hAnsi="Times New Roman" w:cs="Times New Roman"/>
          <w:sz w:val="24"/>
          <w:szCs w:val="24"/>
          <w:highlight w:val="white"/>
        </w:rPr>
        <w:t>lambat</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telah</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menyimpang</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dari</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amalan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biasa</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Bertitik</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tolak</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dengan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kenyataan</w:t>
      </w:r>
      <w:proofErr w:type="spellEnd"/>
      <w:r>
        <w:rPr>
          <w:rFonts w:ascii="Times New Roman" w:eastAsia="Times New Roman" w:hAnsi="Times New Roman" w:cs="Times New Roman"/>
          <w:sz w:val="24"/>
          <w:szCs w:val="24"/>
          <w:highlight w:val="white"/>
        </w:rPr>
        <w:t xml:space="preserve"> di </w:t>
      </w:r>
      <w:proofErr w:type="spellStart"/>
      <w:r>
        <w:rPr>
          <w:rFonts w:ascii="Times New Roman" w:eastAsia="Times New Roman" w:hAnsi="Times New Roman" w:cs="Times New Roman"/>
          <w:sz w:val="24"/>
          <w:szCs w:val="24"/>
          <w:highlight w:val="white"/>
        </w:rPr>
        <w:t>atas</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kes</w:t>
      </w:r>
      <w:proofErr w:type="spellEnd"/>
      <w:r>
        <w:rPr>
          <w:rFonts w:ascii="Times New Roman" w:eastAsia="Times New Roman" w:hAnsi="Times New Roman" w:cs="Times New Roman"/>
          <w:sz w:val="24"/>
          <w:szCs w:val="24"/>
          <w:highlight w:val="white"/>
        </w:rPr>
        <w:t xml:space="preserve"> di Malaysia </w:t>
      </w:r>
      <w:proofErr w:type="spellStart"/>
      <w:r>
        <w:rPr>
          <w:rFonts w:ascii="Times New Roman" w:eastAsia="Times New Roman" w:hAnsi="Times New Roman" w:cs="Times New Roman"/>
          <w:sz w:val="24"/>
          <w:szCs w:val="24"/>
          <w:highlight w:val="white"/>
        </w:rPr>
        <w:t>merujuk</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kepada</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kes</w:t>
      </w:r>
      <w:proofErr w:type="spellEnd"/>
      <w:r>
        <w:rPr>
          <w:rFonts w:ascii="Times New Roman" w:eastAsia="Times New Roman" w:hAnsi="Times New Roman" w:cs="Times New Roman"/>
          <w:sz w:val="24"/>
          <w:szCs w:val="24"/>
          <w:highlight w:val="white"/>
        </w:rPr>
        <w:t xml:space="preserve"> di United Kingdom </w:t>
      </w:r>
      <w:proofErr w:type="spellStart"/>
      <w:r>
        <w:rPr>
          <w:rFonts w:ascii="Times New Roman" w:eastAsia="Times New Roman" w:hAnsi="Times New Roman" w:cs="Times New Roman"/>
          <w:sz w:val="24"/>
          <w:szCs w:val="24"/>
          <w:highlight w:val="white"/>
        </w:rPr>
        <w:t>bagi</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prinsip</w:t>
      </w:r>
      <w:proofErr w:type="spellEnd"/>
      <w:r>
        <w:rPr>
          <w:rFonts w:ascii="Times New Roman" w:eastAsia="Times New Roman" w:hAnsi="Times New Roman" w:cs="Times New Roman"/>
          <w:sz w:val="24"/>
          <w:szCs w:val="24"/>
          <w:highlight w:val="white"/>
        </w:rPr>
        <w:t xml:space="preserve"> yang </w:t>
      </w:r>
      <w:proofErr w:type="spellStart"/>
      <w:r>
        <w:rPr>
          <w:rFonts w:ascii="Times New Roman" w:eastAsia="Times New Roman" w:hAnsi="Times New Roman" w:cs="Times New Roman"/>
          <w:sz w:val="24"/>
          <w:szCs w:val="24"/>
          <w:highlight w:val="white"/>
        </w:rPr>
        <w:t>dipakai</w:t>
      </w:r>
      <w:proofErr w:type="spellEnd"/>
      <w:r>
        <w:rPr>
          <w:rFonts w:ascii="Times New Roman" w:eastAsia="Times New Roman" w:hAnsi="Times New Roman" w:cs="Times New Roman"/>
          <w:sz w:val="24"/>
          <w:szCs w:val="24"/>
          <w:highlight w:val="white"/>
        </w:rPr>
        <w:t xml:space="preserve"> di United Kingdom di mana </w:t>
      </w:r>
      <w:proofErr w:type="spellStart"/>
      <w:r>
        <w:rPr>
          <w:rFonts w:ascii="Times New Roman" w:eastAsia="Times New Roman" w:hAnsi="Times New Roman" w:cs="Times New Roman"/>
          <w:sz w:val="24"/>
          <w:szCs w:val="24"/>
          <w:highlight w:val="white"/>
        </w:rPr>
        <w:t>prinsip</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tersebut</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ialah</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perlu</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ada</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sebab</w:t>
      </w:r>
      <w:proofErr w:type="spellEnd"/>
      <w:r>
        <w:rPr>
          <w:rFonts w:ascii="Times New Roman" w:eastAsia="Times New Roman" w:hAnsi="Times New Roman" w:cs="Times New Roman"/>
          <w:sz w:val="24"/>
          <w:szCs w:val="24"/>
          <w:highlight w:val="white"/>
        </w:rPr>
        <w:t xml:space="preserve"> material yang </w:t>
      </w:r>
      <w:proofErr w:type="spellStart"/>
      <w:r>
        <w:rPr>
          <w:rFonts w:ascii="Times New Roman" w:eastAsia="Times New Roman" w:hAnsi="Times New Roman" w:cs="Times New Roman"/>
          <w:sz w:val="24"/>
          <w:szCs w:val="24"/>
          <w:highlight w:val="white"/>
        </w:rPr>
        <w:t>membolehkan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Mahkamah</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untuk</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membenarkan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pelanjutan</w:t>
      </w:r>
      <w:proofErr w:type="spellEnd"/>
      <w:r>
        <w:rPr>
          <w:rFonts w:ascii="Times New Roman" w:eastAsia="Times New Roman" w:hAnsi="Times New Roman" w:cs="Times New Roman"/>
          <w:sz w:val="24"/>
          <w:szCs w:val="24"/>
          <w:highlight w:val="white"/>
        </w:rPr>
        <w:t xml:space="preserve"> masa.</w:t>
      </w:r>
    </w:p>
    <w:p w14:paraId="00000069" w14:textId="77777777" w:rsidR="00E97409" w:rsidRDefault="007741DD" w:rsidP="00690802">
      <w:pPr>
        <w:spacing w:line="240" w:lineRule="auto"/>
        <w:ind w:firstLine="720"/>
        <w:jc w:val="both"/>
        <w:rPr>
          <w:rFonts w:ascii="Times New Roman" w:eastAsia="Times New Roman" w:hAnsi="Times New Roman" w:cs="Times New Roman"/>
          <w:color w:val="FF0000"/>
          <w:sz w:val="24"/>
          <w:szCs w:val="24"/>
          <w:highlight w:val="white"/>
        </w:rPr>
      </w:pPr>
      <w:r>
        <w:rPr>
          <w:rFonts w:ascii="Times New Roman" w:eastAsia="Times New Roman" w:hAnsi="Times New Roman" w:cs="Times New Roman"/>
          <w:sz w:val="24"/>
          <w:szCs w:val="24"/>
          <w:highlight w:val="white"/>
        </w:rPr>
        <w:t xml:space="preserve">Malaysia dan United Kingdom </w:t>
      </w:r>
      <w:proofErr w:type="spellStart"/>
      <w:r>
        <w:rPr>
          <w:rFonts w:ascii="Times New Roman" w:eastAsia="Times New Roman" w:hAnsi="Times New Roman" w:cs="Times New Roman"/>
          <w:sz w:val="24"/>
          <w:szCs w:val="24"/>
          <w:highlight w:val="white"/>
        </w:rPr>
        <w:t>memberi</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penekanan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ke</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atas</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mematuhi</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tempoh</w:t>
      </w:r>
      <w:proofErr w:type="spellEnd"/>
      <w:r>
        <w:rPr>
          <w:rFonts w:ascii="Times New Roman" w:eastAsia="Times New Roman" w:hAnsi="Times New Roman" w:cs="Times New Roman"/>
          <w:sz w:val="24"/>
          <w:szCs w:val="24"/>
          <w:highlight w:val="white"/>
        </w:rPr>
        <w:t xml:space="preserve"> masa yang </w:t>
      </w:r>
      <w:proofErr w:type="spellStart"/>
      <w:r>
        <w:rPr>
          <w:rFonts w:ascii="Times New Roman" w:eastAsia="Times New Roman" w:hAnsi="Times New Roman" w:cs="Times New Roman"/>
          <w:sz w:val="24"/>
          <w:szCs w:val="24"/>
          <w:highlight w:val="white"/>
        </w:rPr>
        <w:t>diberikan</w:t>
      </w:r>
      <w:proofErr w:type="spellEnd"/>
      <w:r>
        <w:rPr>
          <w:rFonts w:ascii="Times New Roman" w:eastAsia="Times New Roman" w:hAnsi="Times New Roman" w:cs="Times New Roman"/>
          <w:sz w:val="24"/>
          <w:szCs w:val="24"/>
          <w:highlight w:val="white"/>
        </w:rPr>
        <w:t xml:space="preserve"> dan </w:t>
      </w:r>
      <w:proofErr w:type="spellStart"/>
      <w:r>
        <w:rPr>
          <w:rFonts w:ascii="Times New Roman" w:eastAsia="Times New Roman" w:hAnsi="Times New Roman" w:cs="Times New Roman"/>
          <w:sz w:val="24"/>
          <w:szCs w:val="24"/>
          <w:highlight w:val="white"/>
        </w:rPr>
        <w:t>memerlukan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sebab</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atas</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kelewatan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untuk</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membolehkan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pelanjutan</w:t>
      </w:r>
      <w:proofErr w:type="spellEnd"/>
      <w:r>
        <w:rPr>
          <w:rFonts w:ascii="Times New Roman" w:eastAsia="Times New Roman" w:hAnsi="Times New Roman" w:cs="Times New Roman"/>
          <w:sz w:val="24"/>
          <w:szCs w:val="24"/>
          <w:highlight w:val="white"/>
        </w:rPr>
        <w:t xml:space="preserve"> masa </w:t>
      </w:r>
      <w:proofErr w:type="spellStart"/>
      <w:r>
        <w:rPr>
          <w:rFonts w:ascii="Times New Roman" w:eastAsia="Times New Roman" w:hAnsi="Times New Roman" w:cs="Times New Roman"/>
          <w:sz w:val="24"/>
          <w:szCs w:val="24"/>
          <w:highlight w:val="white"/>
        </w:rPr>
        <w:t>tersebut</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Kedua-dua</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Mahkamah</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berpendapat</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bahawa</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dengan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mengikut</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tempoh</w:t>
      </w:r>
      <w:proofErr w:type="spellEnd"/>
      <w:r>
        <w:rPr>
          <w:rFonts w:ascii="Times New Roman" w:eastAsia="Times New Roman" w:hAnsi="Times New Roman" w:cs="Times New Roman"/>
          <w:sz w:val="24"/>
          <w:szCs w:val="24"/>
          <w:highlight w:val="white"/>
        </w:rPr>
        <w:t xml:space="preserve"> masa </w:t>
      </w:r>
      <w:proofErr w:type="spellStart"/>
      <w:r>
        <w:rPr>
          <w:rFonts w:ascii="Times New Roman" w:eastAsia="Times New Roman" w:hAnsi="Times New Roman" w:cs="Times New Roman"/>
          <w:sz w:val="24"/>
          <w:szCs w:val="24"/>
          <w:highlight w:val="white"/>
        </w:rPr>
        <w:t>tersebut</w:t>
      </w:r>
      <w:proofErr w:type="spellEnd"/>
      <w:r>
        <w:rPr>
          <w:rFonts w:ascii="Times New Roman" w:eastAsia="Times New Roman" w:hAnsi="Times New Roman" w:cs="Times New Roman"/>
          <w:sz w:val="24"/>
          <w:szCs w:val="24"/>
          <w:highlight w:val="white"/>
        </w:rPr>
        <w:t xml:space="preserve">, proses </w:t>
      </w:r>
      <w:proofErr w:type="spellStart"/>
      <w:r>
        <w:rPr>
          <w:rFonts w:ascii="Times New Roman" w:eastAsia="Times New Roman" w:hAnsi="Times New Roman" w:cs="Times New Roman"/>
          <w:sz w:val="24"/>
          <w:szCs w:val="24"/>
          <w:highlight w:val="white"/>
        </w:rPr>
        <w:t>litigasi</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menjadi</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lebih</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lancar</w:t>
      </w:r>
      <w:proofErr w:type="spellEnd"/>
      <w:r>
        <w:rPr>
          <w:rFonts w:ascii="Times New Roman" w:eastAsia="Times New Roman" w:hAnsi="Times New Roman" w:cs="Times New Roman"/>
          <w:sz w:val="24"/>
          <w:szCs w:val="24"/>
          <w:highlight w:val="white"/>
        </w:rPr>
        <w:t xml:space="preserve"> dan </w:t>
      </w:r>
      <w:proofErr w:type="spellStart"/>
      <w:r>
        <w:rPr>
          <w:rFonts w:ascii="Times New Roman" w:eastAsia="Times New Roman" w:hAnsi="Times New Roman" w:cs="Times New Roman"/>
          <w:sz w:val="24"/>
          <w:szCs w:val="24"/>
          <w:highlight w:val="white"/>
        </w:rPr>
        <w:t>ia</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tidak</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membazir</w:t>
      </w:r>
      <w:proofErr w:type="spellEnd"/>
      <w:r>
        <w:rPr>
          <w:rFonts w:ascii="Times New Roman" w:eastAsia="Times New Roman" w:hAnsi="Times New Roman" w:cs="Times New Roman"/>
          <w:sz w:val="24"/>
          <w:szCs w:val="24"/>
          <w:highlight w:val="white"/>
        </w:rPr>
        <w:t xml:space="preserve"> masa </w:t>
      </w:r>
      <w:proofErr w:type="spellStart"/>
      <w:r>
        <w:rPr>
          <w:rFonts w:ascii="Times New Roman" w:eastAsia="Times New Roman" w:hAnsi="Times New Roman" w:cs="Times New Roman"/>
          <w:sz w:val="24"/>
          <w:szCs w:val="24"/>
          <w:highlight w:val="white"/>
        </w:rPr>
        <w:t>Mahkamah</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dengan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pelanjutan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tempoh</w:t>
      </w:r>
      <w:proofErr w:type="spellEnd"/>
      <w:r>
        <w:rPr>
          <w:rFonts w:ascii="Times New Roman" w:eastAsia="Times New Roman" w:hAnsi="Times New Roman" w:cs="Times New Roman"/>
          <w:sz w:val="24"/>
          <w:szCs w:val="24"/>
          <w:highlight w:val="white"/>
        </w:rPr>
        <w:t xml:space="preserve"> masa </w:t>
      </w:r>
      <w:proofErr w:type="spellStart"/>
      <w:r>
        <w:rPr>
          <w:rFonts w:ascii="Times New Roman" w:eastAsia="Times New Roman" w:hAnsi="Times New Roman" w:cs="Times New Roman"/>
          <w:sz w:val="24"/>
          <w:szCs w:val="24"/>
          <w:highlight w:val="white"/>
        </w:rPr>
        <w:t>pliding</w:t>
      </w:r>
      <w:proofErr w:type="spellEnd"/>
      <w:r>
        <w:rPr>
          <w:rFonts w:ascii="Times New Roman" w:eastAsia="Times New Roman" w:hAnsi="Times New Roman" w:cs="Times New Roman"/>
          <w:sz w:val="24"/>
          <w:szCs w:val="24"/>
          <w:highlight w:val="white"/>
        </w:rPr>
        <w:t>.</w:t>
      </w:r>
      <w:r>
        <w:rPr>
          <w:rFonts w:ascii="Times New Roman" w:eastAsia="Times New Roman" w:hAnsi="Times New Roman" w:cs="Times New Roman"/>
          <w:color w:val="FF0000"/>
          <w:sz w:val="24"/>
          <w:szCs w:val="24"/>
          <w:highlight w:val="white"/>
        </w:rPr>
        <w:t xml:space="preserve"> </w:t>
      </w:r>
    </w:p>
    <w:p w14:paraId="0000006A" w14:textId="77777777" w:rsidR="00E97409" w:rsidRDefault="007741DD" w:rsidP="00690802">
      <w:pPr>
        <w:spacing w:line="240" w:lineRule="auto"/>
        <w:ind w:firstLine="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United Kingdom </w:t>
      </w:r>
      <w:proofErr w:type="spellStart"/>
      <w:r>
        <w:rPr>
          <w:rFonts w:ascii="Times New Roman" w:eastAsia="Times New Roman" w:hAnsi="Times New Roman" w:cs="Times New Roman"/>
          <w:sz w:val="24"/>
          <w:szCs w:val="24"/>
          <w:highlight w:val="white"/>
        </w:rPr>
        <w:t>mempunyai</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kedudukan</w:t>
      </w:r>
      <w:proofErr w:type="spellEnd"/>
      <w:r>
        <w:rPr>
          <w:rFonts w:ascii="Times New Roman" w:eastAsia="Times New Roman" w:hAnsi="Times New Roman" w:cs="Times New Roman"/>
          <w:sz w:val="24"/>
          <w:szCs w:val="24"/>
          <w:highlight w:val="white"/>
        </w:rPr>
        <w:t xml:space="preserve"> yang </w:t>
      </w:r>
      <w:proofErr w:type="spellStart"/>
      <w:r>
        <w:rPr>
          <w:rFonts w:ascii="Times New Roman" w:eastAsia="Times New Roman" w:hAnsi="Times New Roman" w:cs="Times New Roman"/>
          <w:sz w:val="24"/>
          <w:szCs w:val="24"/>
          <w:highlight w:val="white"/>
        </w:rPr>
        <w:t>lebih</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tegas</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dibandingkan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dengan</w:t>
      </w:r>
      <w:proofErr w:type="spellEnd"/>
      <w:r>
        <w:rPr>
          <w:rFonts w:ascii="Times New Roman" w:eastAsia="Times New Roman" w:hAnsi="Times New Roman" w:cs="Times New Roman"/>
          <w:sz w:val="24"/>
          <w:szCs w:val="24"/>
          <w:highlight w:val="white"/>
        </w:rPr>
        <w:t xml:space="preserve"> Malaysia. </w:t>
      </w:r>
      <w:proofErr w:type="spellStart"/>
      <w:r>
        <w:rPr>
          <w:rFonts w:ascii="Times New Roman" w:eastAsia="Times New Roman" w:hAnsi="Times New Roman" w:cs="Times New Roman"/>
          <w:sz w:val="24"/>
          <w:szCs w:val="24"/>
          <w:highlight w:val="white"/>
        </w:rPr>
        <w:t>Namun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kedudukan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ini</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telah</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mula</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longgar</w:t>
      </w:r>
      <w:proofErr w:type="spellEnd"/>
      <w:r>
        <w:rPr>
          <w:rFonts w:ascii="Times New Roman" w:eastAsia="Times New Roman" w:hAnsi="Times New Roman" w:cs="Times New Roman"/>
          <w:sz w:val="24"/>
          <w:szCs w:val="24"/>
          <w:highlight w:val="white"/>
        </w:rPr>
        <w:t xml:space="preserve"> di mana </w:t>
      </w:r>
      <w:proofErr w:type="spellStart"/>
      <w:r>
        <w:rPr>
          <w:rFonts w:ascii="Times New Roman" w:eastAsia="Times New Roman" w:hAnsi="Times New Roman" w:cs="Times New Roman"/>
          <w:sz w:val="24"/>
          <w:szCs w:val="24"/>
          <w:highlight w:val="white"/>
        </w:rPr>
        <w:t>ia</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bergantung</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kepada</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persepsi</w:t>
      </w:r>
      <w:proofErr w:type="spellEnd"/>
      <w:r>
        <w:rPr>
          <w:rFonts w:ascii="Times New Roman" w:eastAsia="Times New Roman" w:hAnsi="Times New Roman" w:cs="Times New Roman"/>
          <w:sz w:val="24"/>
          <w:szCs w:val="24"/>
          <w:highlight w:val="white"/>
        </w:rPr>
        <w:t xml:space="preserve"> hakim </w:t>
      </w:r>
      <w:proofErr w:type="spellStart"/>
      <w:r>
        <w:rPr>
          <w:rFonts w:ascii="Times New Roman" w:eastAsia="Times New Roman" w:hAnsi="Times New Roman" w:cs="Times New Roman"/>
          <w:sz w:val="24"/>
          <w:szCs w:val="24"/>
          <w:highlight w:val="white"/>
        </w:rPr>
        <w:t>bagi</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tahap</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pematuhan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terhadap</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peratura</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manakala</w:t>
      </w:r>
      <w:proofErr w:type="spellEnd"/>
      <w:r>
        <w:rPr>
          <w:rFonts w:ascii="Times New Roman" w:eastAsia="Times New Roman" w:hAnsi="Times New Roman" w:cs="Times New Roman"/>
          <w:sz w:val="24"/>
          <w:szCs w:val="24"/>
          <w:highlight w:val="white"/>
        </w:rPr>
        <w:t xml:space="preserve">, Malaysia </w:t>
      </w:r>
      <w:proofErr w:type="spellStart"/>
      <w:r>
        <w:rPr>
          <w:rFonts w:ascii="Times New Roman" w:eastAsia="Times New Roman" w:hAnsi="Times New Roman" w:cs="Times New Roman"/>
          <w:sz w:val="24"/>
          <w:szCs w:val="24"/>
          <w:highlight w:val="white"/>
        </w:rPr>
        <w:t>mempunyai</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pandangan</w:t>
      </w:r>
      <w:proofErr w:type="spellEnd"/>
      <w:r>
        <w:rPr>
          <w:rFonts w:ascii="Times New Roman" w:eastAsia="Times New Roman" w:hAnsi="Times New Roman" w:cs="Times New Roman"/>
          <w:sz w:val="24"/>
          <w:szCs w:val="24"/>
          <w:highlight w:val="white"/>
        </w:rPr>
        <w:t xml:space="preserve"> yang </w:t>
      </w:r>
      <w:proofErr w:type="spellStart"/>
      <w:r>
        <w:rPr>
          <w:rFonts w:ascii="Times New Roman" w:eastAsia="Times New Roman" w:hAnsi="Times New Roman" w:cs="Times New Roman"/>
          <w:sz w:val="24"/>
          <w:szCs w:val="24"/>
          <w:highlight w:val="white"/>
        </w:rPr>
        <w:t>lebih</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ringan</w:t>
      </w:r>
      <w:proofErr w:type="spellEnd"/>
      <w:r>
        <w:rPr>
          <w:rFonts w:ascii="Times New Roman" w:eastAsia="Times New Roman" w:hAnsi="Times New Roman" w:cs="Times New Roman"/>
          <w:sz w:val="24"/>
          <w:szCs w:val="24"/>
          <w:highlight w:val="white"/>
        </w:rPr>
        <w:t xml:space="preserve"> di mana </w:t>
      </w:r>
      <w:proofErr w:type="spellStart"/>
      <w:r>
        <w:rPr>
          <w:rFonts w:ascii="Times New Roman" w:eastAsia="Times New Roman" w:hAnsi="Times New Roman" w:cs="Times New Roman"/>
          <w:sz w:val="24"/>
          <w:szCs w:val="24"/>
          <w:highlight w:val="white"/>
        </w:rPr>
        <w:t>permohonan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adalah</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lebih</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mudah</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untuk</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dilakukan</w:t>
      </w:r>
      <w:proofErr w:type="spellEnd"/>
      <w:r>
        <w:rPr>
          <w:rFonts w:ascii="Times New Roman" w:eastAsia="Times New Roman" w:hAnsi="Times New Roman" w:cs="Times New Roman"/>
          <w:sz w:val="24"/>
          <w:szCs w:val="24"/>
          <w:highlight w:val="white"/>
        </w:rPr>
        <w:t xml:space="preserve"> kerana </w:t>
      </w:r>
      <w:proofErr w:type="spellStart"/>
      <w:r>
        <w:rPr>
          <w:rFonts w:ascii="Times New Roman" w:eastAsia="Times New Roman" w:hAnsi="Times New Roman" w:cs="Times New Roman"/>
          <w:sz w:val="24"/>
          <w:szCs w:val="24"/>
          <w:highlight w:val="white"/>
        </w:rPr>
        <w:t>ia</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boleh</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dilakukan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dalam</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bentuk</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lisan</w:t>
      </w:r>
      <w:proofErr w:type="spellEnd"/>
      <w:r>
        <w:rPr>
          <w:rFonts w:ascii="Times New Roman" w:eastAsia="Times New Roman" w:hAnsi="Times New Roman" w:cs="Times New Roman"/>
          <w:sz w:val="24"/>
          <w:szCs w:val="24"/>
          <w:highlight w:val="white"/>
          <w:vertAlign w:val="superscript"/>
        </w:rPr>
        <w:footnoteReference w:id="29"/>
      </w:r>
      <w:r>
        <w:rPr>
          <w:rFonts w:ascii="Times New Roman" w:eastAsia="Times New Roman" w:hAnsi="Times New Roman" w:cs="Times New Roman"/>
          <w:sz w:val="24"/>
          <w:szCs w:val="24"/>
          <w:highlight w:val="white"/>
        </w:rPr>
        <w:t xml:space="preserve">. Maksim </w:t>
      </w:r>
      <w:proofErr w:type="spellStart"/>
      <w:r>
        <w:rPr>
          <w:rFonts w:ascii="Times New Roman" w:eastAsia="Times New Roman" w:hAnsi="Times New Roman" w:cs="Times New Roman"/>
          <w:sz w:val="24"/>
          <w:szCs w:val="24"/>
          <w:highlight w:val="white"/>
        </w:rPr>
        <w:t>undang-undang</w:t>
      </w:r>
      <w:proofErr w:type="spellEnd"/>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i/>
          <w:sz w:val="24"/>
          <w:szCs w:val="24"/>
          <w:highlight w:val="white"/>
        </w:rPr>
        <w:t>justice delayed is justice denied</w:t>
      </w:r>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menjadi</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relevan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dalam</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menentukan</w:t>
      </w:r>
      <w:proofErr w:type="spellEnd"/>
      <w:r>
        <w:rPr>
          <w:rFonts w:ascii="Times New Roman" w:eastAsia="Times New Roman" w:hAnsi="Times New Roman" w:cs="Times New Roman"/>
          <w:sz w:val="24"/>
          <w:szCs w:val="24"/>
          <w:highlight w:val="white"/>
        </w:rPr>
        <w:t xml:space="preserve"> yang </w:t>
      </w:r>
      <w:proofErr w:type="spellStart"/>
      <w:r>
        <w:rPr>
          <w:rFonts w:ascii="Times New Roman" w:eastAsia="Times New Roman" w:hAnsi="Times New Roman" w:cs="Times New Roman"/>
          <w:sz w:val="24"/>
          <w:szCs w:val="24"/>
          <w:highlight w:val="white"/>
        </w:rPr>
        <w:t>manakah</w:t>
      </w:r>
      <w:proofErr w:type="spellEnd"/>
      <w:r>
        <w:rPr>
          <w:rFonts w:ascii="Times New Roman" w:eastAsia="Times New Roman" w:hAnsi="Times New Roman" w:cs="Times New Roman"/>
          <w:sz w:val="24"/>
          <w:szCs w:val="24"/>
          <w:highlight w:val="white"/>
        </w:rPr>
        <w:t xml:space="preserve"> yang </w:t>
      </w:r>
      <w:proofErr w:type="spellStart"/>
      <w:r>
        <w:rPr>
          <w:rFonts w:ascii="Times New Roman" w:eastAsia="Times New Roman" w:hAnsi="Times New Roman" w:cs="Times New Roman"/>
          <w:sz w:val="24"/>
          <w:szCs w:val="24"/>
          <w:highlight w:val="white"/>
        </w:rPr>
        <w:t>membawa</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kepada</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keadilan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Penulis-penulis</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berpendapat</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dengan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kedudukan</w:t>
      </w:r>
      <w:proofErr w:type="spellEnd"/>
      <w:r>
        <w:rPr>
          <w:rFonts w:ascii="Times New Roman" w:eastAsia="Times New Roman" w:hAnsi="Times New Roman" w:cs="Times New Roman"/>
          <w:sz w:val="24"/>
          <w:szCs w:val="24"/>
          <w:highlight w:val="white"/>
        </w:rPr>
        <w:t xml:space="preserve"> yang </w:t>
      </w:r>
      <w:proofErr w:type="spellStart"/>
      <w:r>
        <w:rPr>
          <w:rFonts w:ascii="Times New Roman" w:eastAsia="Times New Roman" w:hAnsi="Times New Roman" w:cs="Times New Roman"/>
          <w:sz w:val="24"/>
          <w:szCs w:val="24"/>
          <w:highlight w:val="white"/>
        </w:rPr>
        <w:t>lebih</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tegas</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jadual</w:t>
      </w:r>
      <w:proofErr w:type="spellEnd"/>
      <w:r>
        <w:rPr>
          <w:rFonts w:ascii="Times New Roman" w:eastAsia="Times New Roman" w:hAnsi="Times New Roman" w:cs="Times New Roman"/>
          <w:sz w:val="24"/>
          <w:szCs w:val="24"/>
          <w:highlight w:val="white"/>
        </w:rPr>
        <w:t xml:space="preserve"> masa </w:t>
      </w:r>
      <w:proofErr w:type="spellStart"/>
      <w:r>
        <w:rPr>
          <w:rFonts w:ascii="Times New Roman" w:eastAsia="Times New Roman" w:hAnsi="Times New Roman" w:cs="Times New Roman"/>
          <w:sz w:val="24"/>
          <w:szCs w:val="24"/>
          <w:highlight w:val="white"/>
        </w:rPr>
        <w:t>litigasi</w:t>
      </w:r>
      <w:proofErr w:type="spellEnd"/>
      <w:r>
        <w:rPr>
          <w:rFonts w:ascii="Times New Roman" w:eastAsia="Times New Roman" w:hAnsi="Times New Roman" w:cs="Times New Roman"/>
          <w:sz w:val="24"/>
          <w:szCs w:val="24"/>
          <w:highlight w:val="white"/>
        </w:rPr>
        <w:t xml:space="preserve"> yang </w:t>
      </w:r>
      <w:proofErr w:type="spellStart"/>
      <w:r>
        <w:rPr>
          <w:rFonts w:ascii="Times New Roman" w:eastAsia="Times New Roman" w:hAnsi="Times New Roman" w:cs="Times New Roman"/>
          <w:sz w:val="24"/>
          <w:szCs w:val="24"/>
          <w:highlight w:val="white"/>
        </w:rPr>
        <w:t>ditentukan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Mahkamah</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dapat</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diikuti</w:t>
      </w:r>
      <w:proofErr w:type="spellEnd"/>
      <w:r>
        <w:rPr>
          <w:rFonts w:ascii="Times New Roman" w:eastAsia="Times New Roman" w:hAnsi="Times New Roman" w:cs="Times New Roman"/>
          <w:sz w:val="24"/>
          <w:szCs w:val="24"/>
          <w:highlight w:val="white"/>
        </w:rPr>
        <w:t xml:space="preserve"> dan </w:t>
      </w:r>
      <w:proofErr w:type="spellStart"/>
      <w:r>
        <w:rPr>
          <w:rFonts w:ascii="Times New Roman" w:eastAsia="Times New Roman" w:hAnsi="Times New Roman" w:cs="Times New Roman"/>
          <w:sz w:val="24"/>
          <w:szCs w:val="24"/>
          <w:highlight w:val="white"/>
        </w:rPr>
        <w:t>seterusnya</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melancarkan</w:t>
      </w:r>
      <w:proofErr w:type="spellEnd"/>
      <w:r>
        <w:rPr>
          <w:rFonts w:ascii="Times New Roman" w:eastAsia="Times New Roman" w:hAnsi="Times New Roman" w:cs="Times New Roman"/>
          <w:sz w:val="24"/>
          <w:szCs w:val="24"/>
          <w:highlight w:val="white"/>
        </w:rPr>
        <w:t xml:space="preserve"> proses </w:t>
      </w:r>
      <w:proofErr w:type="spellStart"/>
      <w:r>
        <w:rPr>
          <w:rFonts w:ascii="Times New Roman" w:eastAsia="Times New Roman" w:hAnsi="Times New Roman" w:cs="Times New Roman"/>
          <w:sz w:val="24"/>
          <w:szCs w:val="24"/>
          <w:highlight w:val="white"/>
        </w:rPr>
        <w:t>bagi</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pihak</w:t>
      </w:r>
      <w:proofErr w:type="spellEnd"/>
      <w:r>
        <w:rPr>
          <w:rFonts w:ascii="Times New Roman" w:eastAsia="Times New Roman" w:hAnsi="Times New Roman" w:cs="Times New Roman"/>
          <w:sz w:val="24"/>
          <w:szCs w:val="24"/>
          <w:highlight w:val="white"/>
        </w:rPr>
        <w:t xml:space="preserve"> yang </w:t>
      </w:r>
      <w:proofErr w:type="spellStart"/>
      <w:r>
        <w:rPr>
          <w:rFonts w:ascii="Times New Roman" w:eastAsia="Times New Roman" w:hAnsi="Times New Roman" w:cs="Times New Roman"/>
          <w:sz w:val="24"/>
          <w:szCs w:val="24"/>
          <w:highlight w:val="white"/>
        </w:rPr>
        <w:t>terkesan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untuk</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mendapatkan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keadilan</w:t>
      </w:r>
      <w:proofErr w:type="spellEnd"/>
      <w:r>
        <w:rPr>
          <w:rFonts w:ascii="Times New Roman" w:eastAsia="Times New Roman" w:hAnsi="Times New Roman" w:cs="Times New Roman"/>
          <w:sz w:val="24"/>
          <w:szCs w:val="24"/>
          <w:highlight w:val="white"/>
        </w:rPr>
        <w:t>.</w:t>
      </w:r>
    </w:p>
    <w:p w14:paraId="0000006B" w14:textId="77777777" w:rsidR="00E97409" w:rsidRDefault="007741DD" w:rsidP="00690802">
      <w:pPr>
        <w:spacing w:line="240" w:lineRule="auto"/>
        <w:jc w:val="center"/>
        <w:rPr>
          <w:rFonts w:ascii="Times New Roman" w:eastAsia="Times New Roman" w:hAnsi="Times New Roman" w:cs="Times New Roman"/>
          <w:b/>
          <w:sz w:val="24"/>
          <w:szCs w:val="24"/>
          <w:highlight w:val="white"/>
        </w:rPr>
      </w:pPr>
      <w:proofErr w:type="spellStart"/>
      <w:r>
        <w:rPr>
          <w:rFonts w:ascii="Times New Roman" w:eastAsia="Times New Roman" w:hAnsi="Times New Roman" w:cs="Times New Roman"/>
          <w:b/>
          <w:sz w:val="24"/>
          <w:szCs w:val="24"/>
          <w:highlight w:val="white"/>
        </w:rPr>
        <w:t>Isu</w:t>
      </w:r>
      <w:proofErr w:type="spellEnd"/>
      <w:r>
        <w:rPr>
          <w:rFonts w:ascii="Times New Roman" w:eastAsia="Times New Roman" w:hAnsi="Times New Roman" w:cs="Times New Roman"/>
          <w:b/>
          <w:sz w:val="24"/>
          <w:szCs w:val="24"/>
          <w:highlight w:val="white"/>
        </w:rPr>
        <w:t xml:space="preserve"> 2: </w:t>
      </w:r>
      <w:proofErr w:type="spellStart"/>
      <w:r>
        <w:rPr>
          <w:rFonts w:ascii="Times New Roman" w:eastAsia="Times New Roman" w:hAnsi="Times New Roman" w:cs="Times New Roman"/>
          <w:b/>
          <w:sz w:val="24"/>
          <w:szCs w:val="24"/>
          <w:highlight w:val="white"/>
        </w:rPr>
        <w:t>Perkara</w:t>
      </w:r>
      <w:proofErr w:type="spellEnd"/>
      <w:r>
        <w:rPr>
          <w:rFonts w:ascii="Times New Roman" w:eastAsia="Times New Roman" w:hAnsi="Times New Roman" w:cs="Times New Roman"/>
          <w:b/>
          <w:sz w:val="24"/>
          <w:szCs w:val="24"/>
          <w:highlight w:val="white"/>
        </w:rPr>
        <w:t xml:space="preserve"> yang </w:t>
      </w:r>
      <w:proofErr w:type="spellStart"/>
      <w:r>
        <w:rPr>
          <w:rFonts w:ascii="Times New Roman" w:eastAsia="Times New Roman" w:hAnsi="Times New Roman" w:cs="Times New Roman"/>
          <w:b/>
          <w:sz w:val="24"/>
          <w:szCs w:val="24"/>
          <w:highlight w:val="white"/>
        </w:rPr>
        <w:t>perlu</w:t>
      </w:r>
      <w:proofErr w:type="spellEnd"/>
      <w:r>
        <w:rPr>
          <w:rFonts w:ascii="Times New Roman" w:eastAsia="Times New Roman" w:hAnsi="Times New Roman" w:cs="Times New Roman"/>
          <w:b/>
          <w:sz w:val="24"/>
          <w:szCs w:val="24"/>
          <w:highlight w:val="white"/>
        </w:rPr>
        <w:t xml:space="preserve"> </w:t>
      </w:r>
      <w:proofErr w:type="spellStart"/>
      <w:r>
        <w:rPr>
          <w:rFonts w:ascii="Times New Roman" w:eastAsia="Times New Roman" w:hAnsi="Times New Roman" w:cs="Times New Roman"/>
          <w:b/>
          <w:sz w:val="24"/>
          <w:szCs w:val="24"/>
          <w:highlight w:val="white"/>
        </w:rPr>
        <w:t>diplid</w:t>
      </w:r>
      <w:proofErr w:type="spellEnd"/>
      <w:r>
        <w:rPr>
          <w:rFonts w:ascii="Times New Roman" w:eastAsia="Times New Roman" w:hAnsi="Times New Roman" w:cs="Times New Roman"/>
          <w:b/>
          <w:sz w:val="24"/>
          <w:szCs w:val="24"/>
          <w:highlight w:val="white"/>
        </w:rPr>
        <w:t xml:space="preserve"> </w:t>
      </w:r>
      <w:proofErr w:type="spellStart"/>
      <w:r>
        <w:rPr>
          <w:rFonts w:ascii="Times New Roman" w:eastAsia="Times New Roman" w:hAnsi="Times New Roman" w:cs="Times New Roman"/>
          <w:b/>
          <w:sz w:val="24"/>
          <w:szCs w:val="24"/>
          <w:highlight w:val="white"/>
        </w:rPr>
        <w:t>dengan</w:t>
      </w:r>
      <w:proofErr w:type="spellEnd"/>
      <w:r>
        <w:rPr>
          <w:rFonts w:ascii="Times New Roman" w:eastAsia="Times New Roman" w:hAnsi="Times New Roman" w:cs="Times New Roman"/>
          <w:b/>
          <w:sz w:val="24"/>
          <w:szCs w:val="24"/>
          <w:highlight w:val="white"/>
        </w:rPr>
        <w:t xml:space="preserve"> </w:t>
      </w:r>
      <w:proofErr w:type="spellStart"/>
      <w:r>
        <w:rPr>
          <w:rFonts w:ascii="Times New Roman" w:eastAsia="Times New Roman" w:hAnsi="Times New Roman" w:cs="Times New Roman"/>
          <w:b/>
          <w:sz w:val="24"/>
          <w:szCs w:val="24"/>
          <w:highlight w:val="white"/>
        </w:rPr>
        <w:t>khususnya</w:t>
      </w:r>
      <w:proofErr w:type="spellEnd"/>
      <w:r>
        <w:rPr>
          <w:rFonts w:ascii="Times New Roman" w:eastAsia="Times New Roman" w:hAnsi="Times New Roman" w:cs="Times New Roman"/>
          <w:b/>
          <w:sz w:val="24"/>
          <w:szCs w:val="24"/>
          <w:highlight w:val="white"/>
        </w:rPr>
        <w:t>.</w:t>
      </w:r>
    </w:p>
    <w:p w14:paraId="0000006C" w14:textId="77777777" w:rsidR="00E97409" w:rsidRDefault="007741DD" w:rsidP="00690802">
      <w:pPr>
        <w:spacing w:line="240" w:lineRule="auto"/>
        <w:ind w:firstLine="720"/>
        <w:jc w:val="both"/>
        <w:rPr>
          <w:rFonts w:ascii="Times New Roman" w:eastAsia="Times New Roman" w:hAnsi="Times New Roman" w:cs="Times New Roman"/>
          <w:sz w:val="24"/>
          <w:szCs w:val="24"/>
          <w:highlight w:val="white"/>
        </w:rPr>
      </w:pPr>
      <w:bookmarkStart w:id="0" w:name="_heading=h.gjdgxs" w:colFirst="0" w:colLast="0"/>
      <w:bookmarkEnd w:id="0"/>
      <w:proofErr w:type="spellStart"/>
      <w:r>
        <w:rPr>
          <w:rFonts w:ascii="Times New Roman" w:eastAsia="Times New Roman" w:hAnsi="Times New Roman" w:cs="Times New Roman"/>
          <w:sz w:val="24"/>
          <w:szCs w:val="24"/>
          <w:highlight w:val="white"/>
        </w:rPr>
        <w:t>Pliding</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bertindak</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sebagai</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pemberitahuan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atau</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notis</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kepada</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pihak</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lawan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dalam</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sebuah</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tuntutan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atau</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pembelaan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Secara</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umumnya</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mahkamah</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tidak</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boleh</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menentukan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suatu</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kes</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sekiranya</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perkara</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atau</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butiran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tidak</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diplidkan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dengan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khusus</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Mahkamah</w:t>
      </w:r>
      <w:proofErr w:type="spellEnd"/>
      <w:r>
        <w:rPr>
          <w:rFonts w:ascii="Times New Roman" w:eastAsia="Times New Roman" w:hAnsi="Times New Roman" w:cs="Times New Roman"/>
          <w:sz w:val="24"/>
          <w:szCs w:val="24"/>
          <w:highlight w:val="white"/>
        </w:rPr>
        <w:t xml:space="preserve"> Agung </w:t>
      </w:r>
      <w:proofErr w:type="spellStart"/>
      <w:r>
        <w:rPr>
          <w:rFonts w:ascii="Times New Roman" w:eastAsia="Times New Roman" w:hAnsi="Times New Roman" w:cs="Times New Roman"/>
          <w:sz w:val="24"/>
          <w:szCs w:val="24"/>
          <w:highlight w:val="white"/>
        </w:rPr>
        <w:t>dalam</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kes</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b/>
          <w:i/>
          <w:sz w:val="24"/>
          <w:szCs w:val="24"/>
          <w:highlight w:val="white"/>
        </w:rPr>
        <w:t>Gimstern</w:t>
      </w:r>
      <w:proofErr w:type="spellEnd"/>
      <w:r>
        <w:rPr>
          <w:rFonts w:ascii="Times New Roman" w:eastAsia="Times New Roman" w:hAnsi="Times New Roman" w:cs="Times New Roman"/>
          <w:b/>
          <w:i/>
          <w:sz w:val="24"/>
          <w:szCs w:val="24"/>
          <w:highlight w:val="white"/>
        </w:rPr>
        <w:t xml:space="preserve"> Corporation (M) </w:t>
      </w:r>
      <w:proofErr w:type="spellStart"/>
      <w:r>
        <w:rPr>
          <w:rFonts w:ascii="Times New Roman" w:eastAsia="Times New Roman" w:hAnsi="Times New Roman" w:cs="Times New Roman"/>
          <w:b/>
          <w:i/>
          <w:sz w:val="24"/>
          <w:szCs w:val="24"/>
          <w:highlight w:val="white"/>
        </w:rPr>
        <w:t>Sdn</w:t>
      </w:r>
      <w:proofErr w:type="spellEnd"/>
      <w:r>
        <w:rPr>
          <w:rFonts w:ascii="Times New Roman" w:eastAsia="Times New Roman" w:hAnsi="Times New Roman" w:cs="Times New Roman"/>
          <w:b/>
          <w:i/>
          <w:sz w:val="24"/>
          <w:szCs w:val="24"/>
          <w:highlight w:val="white"/>
        </w:rPr>
        <w:t xml:space="preserve"> </w:t>
      </w:r>
      <w:proofErr w:type="spellStart"/>
      <w:r>
        <w:rPr>
          <w:rFonts w:ascii="Times New Roman" w:eastAsia="Times New Roman" w:hAnsi="Times New Roman" w:cs="Times New Roman"/>
          <w:b/>
          <w:i/>
          <w:sz w:val="24"/>
          <w:szCs w:val="24"/>
          <w:highlight w:val="white"/>
        </w:rPr>
        <w:t>Bhd</w:t>
      </w:r>
      <w:proofErr w:type="spellEnd"/>
      <w:r>
        <w:rPr>
          <w:rFonts w:ascii="Times New Roman" w:eastAsia="Times New Roman" w:hAnsi="Times New Roman" w:cs="Times New Roman"/>
          <w:b/>
          <w:i/>
          <w:sz w:val="24"/>
          <w:szCs w:val="24"/>
          <w:highlight w:val="white"/>
        </w:rPr>
        <w:t xml:space="preserve"> &amp; Anor v Global Insurance Co </w:t>
      </w:r>
      <w:proofErr w:type="spellStart"/>
      <w:r>
        <w:rPr>
          <w:rFonts w:ascii="Times New Roman" w:eastAsia="Times New Roman" w:hAnsi="Times New Roman" w:cs="Times New Roman"/>
          <w:b/>
          <w:i/>
          <w:sz w:val="24"/>
          <w:szCs w:val="24"/>
          <w:highlight w:val="white"/>
        </w:rPr>
        <w:t>Sdn</w:t>
      </w:r>
      <w:proofErr w:type="spellEnd"/>
      <w:r>
        <w:rPr>
          <w:rFonts w:ascii="Times New Roman" w:eastAsia="Times New Roman" w:hAnsi="Times New Roman" w:cs="Times New Roman"/>
          <w:b/>
          <w:i/>
          <w:sz w:val="24"/>
          <w:szCs w:val="24"/>
          <w:highlight w:val="white"/>
        </w:rPr>
        <w:t xml:space="preserve"> </w:t>
      </w:r>
      <w:proofErr w:type="spellStart"/>
      <w:r>
        <w:rPr>
          <w:rFonts w:ascii="Times New Roman" w:eastAsia="Times New Roman" w:hAnsi="Times New Roman" w:cs="Times New Roman"/>
          <w:b/>
          <w:i/>
          <w:sz w:val="24"/>
          <w:szCs w:val="24"/>
          <w:highlight w:val="white"/>
        </w:rPr>
        <w:t>Bhd</w:t>
      </w:r>
      <w:proofErr w:type="spellEnd"/>
      <w:r>
        <w:rPr>
          <w:rFonts w:ascii="Times New Roman" w:eastAsia="Times New Roman" w:hAnsi="Times New Roman" w:cs="Times New Roman"/>
          <w:i/>
          <w:sz w:val="24"/>
          <w:szCs w:val="24"/>
          <w:highlight w:val="white"/>
          <w:vertAlign w:val="superscript"/>
        </w:rPr>
        <w:footnoteReference w:id="30"/>
      </w:r>
      <w:r>
        <w:rPr>
          <w:rFonts w:ascii="Times New Roman" w:eastAsia="Times New Roman" w:hAnsi="Times New Roman" w:cs="Times New Roman"/>
          <w:i/>
          <w:sz w:val="24"/>
          <w:szCs w:val="24"/>
          <w:highlight w:val="white"/>
        </w:rPr>
        <w:t xml:space="preserve"> </w:t>
      </w:r>
      <w:proofErr w:type="spellStart"/>
      <w:r>
        <w:rPr>
          <w:rFonts w:ascii="Times New Roman" w:eastAsia="Times New Roman" w:hAnsi="Times New Roman" w:cs="Times New Roman"/>
          <w:sz w:val="24"/>
          <w:szCs w:val="24"/>
          <w:highlight w:val="white"/>
        </w:rPr>
        <w:t>memutuskan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bahawa</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mahkamah</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tidak</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akan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melayan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dakwaan</w:t>
      </w:r>
      <w:proofErr w:type="spellEnd"/>
      <w:r>
        <w:rPr>
          <w:rFonts w:ascii="Times New Roman" w:eastAsia="Times New Roman" w:hAnsi="Times New Roman" w:cs="Times New Roman"/>
          <w:sz w:val="24"/>
          <w:szCs w:val="24"/>
          <w:highlight w:val="white"/>
        </w:rPr>
        <w:t xml:space="preserve"> yang </w:t>
      </w:r>
      <w:proofErr w:type="spellStart"/>
      <w:r>
        <w:rPr>
          <w:rFonts w:ascii="Times New Roman" w:eastAsia="Times New Roman" w:hAnsi="Times New Roman" w:cs="Times New Roman"/>
          <w:sz w:val="24"/>
          <w:szCs w:val="24"/>
          <w:highlight w:val="white"/>
        </w:rPr>
        <w:t>dibawa</w:t>
      </w:r>
      <w:proofErr w:type="spellEnd"/>
      <w:r>
        <w:rPr>
          <w:rFonts w:ascii="Times New Roman" w:eastAsia="Times New Roman" w:hAnsi="Times New Roman" w:cs="Times New Roman"/>
          <w:sz w:val="24"/>
          <w:szCs w:val="24"/>
          <w:highlight w:val="white"/>
        </w:rPr>
        <w:t xml:space="preserve"> oleh </w:t>
      </w:r>
      <w:proofErr w:type="spellStart"/>
      <w:r>
        <w:rPr>
          <w:rFonts w:ascii="Times New Roman" w:eastAsia="Times New Roman" w:hAnsi="Times New Roman" w:cs="Times New Roman"/>
          <w:sz w:val="24"/>
          <w:szCs w:val="24"/>
          <w:highlight w:val="white"/>
        </w:rPr>
        <w:t>perayu</w:t>
      </w:r>
      <w:proofErr w:type="spellEnd"/>
      <w:r>
        <w:rPr>
          <w:rFonts w:ascii="Times New Roman" w:eastAsia="Times New Roman" w:hAnsi="Times New Roman" w:cs="Times New Roman"/>
          <w:sz w:val="24"/>
          <w:szCs w:val="24"/>
          <w:highlight w:val="white"/>
        </w:rPr>
        <w:t xml:space="preserve"> kerana </w:t>
      </w:r>
      <w:proofErr w:type="spellStart"/>
      <w:r>
        <w:rPr>
          <w:rFonts w:ascii="Times New Roman" w:eastAsia="Times New Roman" w:hAnsi="Times New Roman" w:cs="Times New Roman"/>
          <w:sz w:val="24"/>
          <w:szCs w:val="24"/>
          <w:highlight w:val="white"/>
        </w:rPr>
        <w:t>isu-isu</w:t>
      </w:r>
      <w:proofErr w:type="spellEnd"/>
      <w:r>
        <w:rPr>
          <w:rFonts w:ascii="Times New Roman" w:eastAsia="Times New Roman" w:hAnsi="Times New Roman" w:cs="Times New Roman"/>
          <w:sz w:val="24"/>
          <w:szCs w:val="24"/>
          <w:highlight w:val="white"/>
        </w:rPr>
        <w:t xml:space="preserve"> yang </w:t>
      </w:r>
      <w:proofErr w:type="spellStart"/>
      <w:r>
        <w:rPr>
          <w:rFonts w:ascii="Times New Roman" w:eastAsia="Times New Roman" w:hAnsi="Times New Roman" w:cs="Times New Roman"/>
          <w:sz w:val="24"/>
          <w:szCs w:val="24"/>
          <w:highlight w:val="white"/>
        </w:rPr>
        <w:t>dibangkitkan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dalam</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perbicaraan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tidak</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diplid</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dalam</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pernyataan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pembelaan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mereka</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Suatu</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perkara</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perlu</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diplid</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dengan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khususnya</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untuk</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memastikan</w:t>
      </w:r>
      <w:proofErr w:type="spellEnd"/>
      <w:r>
        <w:rPr>
          <w:rFonts w:ascii="Times New Roman" w:eastAsia="Times New Roman" w:hAnsi="Times New Roman" w:cs="Times New Roman"/>
          <w:sz w:val="24"/>
          <w:szCs w:val="24"/>
          <w:highlight w:val="white"/>
        </w:rPr>
        <w:t xml:space="preserve"> agar </w:t>
      </w:r>
      <w:proofErr w:type="spellStart"/>
      <w:r>
        <w:rPr>
          <w:rFonts w:ascii="Times New Roman" w:eastAsia="Times New Roman" w:hAnsi="Times New Roman" w:cs="Times New Roman"/>
          <w:sz w:val="24"/>
          <w:szCs w:val="24"/>
          <w:highlight w:val="white"/>
        </w:rPr>
        <w:t>pihak</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lawan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tidak</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terkejut</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dengan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dakwaan</w:t>
      </w:r>
      <w:proofErr w:type="spellEnd"/>
      <w:r>
        <w:rPr>
          <w:rFonts w:ascii="Times New Roman" w:eastAsia="Times New Roman" w:hAnsi="Times New Roman" w:cs="Times New Roman"/>
          <w:sz w:val="24"/>
          <w:szCs w:val="24"/>
          <w:highlight w:val="white"/>
        </w:rPr>
        <w:t xml:space="preserve"> yang </w:t>
      </w:r>
      <w:proofErr w:type="spellStart"/>
      <w:r>
        <w:rPr>
          <w:rFonts w:ascii="Times New Roman" w:eastAsia="Times New Roman" w:hAnsi="Times New Roman" w:cs="Times New Roman"/>
          <w:sz w:val="24"/>
          <w:szCs w:val="24"/>
          <w:highlight w:val="white"/>
        </w:rPr>
        <w:t>baru</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semasa</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perbicaraan</w:t>
      </w:r>
      <w:proofErr w:type="spellEnd"/>
      <w:r>
        <w:rPr>
          <w:rFonts w:ascii="Times New Roman" w:eastAsia="Times New Roman" w:hAnsi="Times New Roman" w:cs="Times New Roman"/>
          <w:sz w:val="24"/>
          <w:szCs w:val="24"/>
          <w:highlight w:val="white"/>
        </w:rPr>
        <w:t xml:space="preserve"> dan </w:t>
      </w:r>
      <w:proofErr w:type="spellStart"/>
      <w:r>
        <w:rPr>
          <w:rFonts w:ascii="Times New Roman" w:eastAsia="Times New Roman" w:hAnsi="Times New Roman" w:cs="Times New Roman"/>
          <w:sz w:val="24"/>
          <w:szCs w:val="24"/>
          <w:highlight w:val="white"/>
        </w:rPr>
        <w:t>diprejudis</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dalam</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pembelaannya</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Peruntukan</w:t>
      </w:r>
      <w:proofErr w:type="spellEnd"/>
      <w:r>
        <w:rPr>
          <w:rFonts w:ascii="Times New Roman" w:eastAsia="Times New Roman" w:hAnsi="Times New Roman" w:cs="Times New Roman"/>
          <w:sz w:val="24"/>
          <w:szCs w:val="24"/>
          <w:highlight w:val="white"/>
        </w:rPr>
        <w:t xml:space="preserve"> yang </w:t>
      </w:r>
      <w:proofErr w:type="spellStart"/>
      <w:r>
        <w:rPr>
          <w:rFonts w:ascii="Times New Roman" w:eastAsia="Times New Roman" w:hAnsi="Times New Roman" w:cs="Times New Roman"/>
          <w:sz w:val="24"/>
          <w:szCs w:val="24"/>
          <w:highlight w:val="white"/>
        </w:rPr>
        <w:t>relevan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untuk</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konteks</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ini</w:t>
      </w:r>
      <w:proofErr w:type="spellEnd"/>
      <w:r>
        <w:rPr>
          <w:rFonts w:ascii="Times New Roman" w:eastAsia="Times New Roman" w:hAnsi="Times New Roman" w:cs="Times New Roman"/>
          <w:sz w:val="24"/>
          <w:szCs w:val="24"/>
          <w:highlight w:val="white"/>
        </w:rPr>
        <w:t xml:space="preserve"> di Malaysia </w:t>
      </w:r>
      <w:proofErr w:type="spellStart"/>
      <w:r>
        <w:rPr>
          <w:rFonts w:ascii="Times New Roman" w:eastAsia="Times New Roman" w:hAnsi="Times New Roman" w:cs="Times New Roman"/>
          <w:sz w:val="24"/>
          <w:szCs w:val="24"/>
          <w:highlight w:val="white"/>
        </w:rPr>
        <w:t>adalah</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Aturan</w:t>
      </w:r>
      <w:proofErr w:type="spellEnd"/>
      <w:r>
        <w:rPr>
          <w:rFonts w:ascii="Times New Roman" w:eastAsia="Times New Roman" w:hAnsi="Times New Roman" w:cs="Times New Roman"/>
          <w:sz w:val="24"/>
          <w:szCs w:val="24"/>
          <w:highlight w:val="white"/>
        </w:rPr>
        <w:t xml:space="preserve"> 18 </w:t>
      </w:r>
      <w:proofErr w:type="spellStart"/>
      <w:r>
        <w:rPr>
          <w:rFonts w:ascii="Times New Roman" w:eastAsia="Times New Roman" w:hAnsi="Times New Roman" w:cs="Times New Roman"/>
          <w:sz w:val="24"/>
          <w:szCs w:val="24"/>
          <w:highlight w:val="white"/>
        </w:rPr>
        <w:t>Kaedah</w:t>
      </w:r>
      <w:proofErr w:type="spellEnd"/>
      <w:r>
        <w:rPr>
          <w:rFonts w:ascii="Times New Roman" w:eastAsia="Times New Roman" w:hAnsi="Times New Roman" w:cs="Times New Roman"/>
          <w:sz w:val="24"/>
          <w:szCs w:val="24"/>
          <w:highlight w:val="white"/>
        </w:rPr>
        <w:t xml:space="preserve"> 8 KKM. </w:t>
      </w:r>
      <w:proofErr w:type="spellStart"/>
      <w:r>
        <w:rPr>
          <w:rFonts w:ascii="Times New Roman" w:eastAsia="Times New Roman" w:hAnsi="Times New Roman" w:cs="Times New Roman"/>
          <w:sz w:val="24"/>
          <w:szCs w:val="24"/>
          <w:highlight w:val="white"/>
        </w:rPr>
        <w:t>Dalam</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kes</w:t>
      </w:r>
      <w:proofErr w:type="spellEnd"/>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b/>
          <w:i/>
          <w:sz w:val="24"/>
          <w:szCs w:val="24"/>
          <w:highlight w:val="white"/>
        </w:rPr>
        <w:t>Tan Ah Tong v Parveen Kaur</w:t>
      </w:r>
      <w:r>
        <w:rPr>
          <w:rFonts w:ascii="Times New Roman" w:eastAsia="Times New Roman" w:hAnsi="Times New Roman" w:cs="Times New Roman"/>
          <w:i/>
          <w:sz w:val="24"/>
          <w:szCs w:val="24"/>
          <w:highlight w:val="white"/>
          <w:vertAlign w:val="superscript"/>
        </w:rPr>
        <w:footnoteReference w:id="31"/>
      </w:r>
      <w:r>
        <w:rPr>
          <w:rFonts w:ascii="Times New Roman" w:eastAsia="Times New Roman" w:hAnsi="Times New Roman" w:cs="Times New Roman"/>
          <w:i/>
          <w:sz w:val="24"/>
          <w:szCs w:val="24"/>
          <w:highlight w:val="white"/>
        </w:rPr>
        <w:t xml:space="preserve"> </w:t>
      </w:r>
      <w:r>
        <w:rPr>
          <w:rFonts w:ascii="Times New Roman" w:eastAsia="Times New Roman" w:hAnsi="Times New Roman" w:cs="Times New Roman"/>
          <w:sz w:val="24"/>
          <w:szCs w:val="24"/>
          <w:highlight w:val="white"/>
        </w:rPr>
        <w:t xml:space="preserve">yang </w:t>
      </w:r>
      <w:proofErr w:type="spellStart"/>
      <w:r>
        <w:rPr>
          <w:rFonts w:ascii="Times New Roman" w:eastAsia="Times New Roman" w:hAnsi="Times New Roman" w:cs="Times New Roman"/>
          <w:sz w:val="24"/>
          <w:szCs w:val="24"/>
          <w:highlight w:val="white"/>
        </w:rPr>
        <w:t>didengari</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dalam</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Mahkamah</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Rayuan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defendan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dalam</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kes</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perlu</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membuktikan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kewujudan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beberapa</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perkara</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seperti</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paksaan</w:t>
      </w:r>
      <w:proofErr w:type="spellEnd"/>
      <w:r>
        <w:rPr>
          <w:rFonts w:ascii="Times New Roman" w:eastAsia="Times New Roman" w:hAnsi="Times New Roman" w:cs="Times New Roman"/>
          <w:sz w:val="24"/>
          <w:szCs w:val="24"/>
          <w:highlight w:val="white"/>
        </w:rPr>
        <w:t xml:space="preserve">, salah </w:t>
      </w:r>
      <w:proofErr w:type="spellStart"/>
      <w:r>
        <w:rPr>
          <w:rFonts w:ascii="Times New Roman" w:eastAsia="Times New Roman" w:hAnsi="Times New Roman" w:cs="Times New Roman"/>
          <w:sz w:val="24"/>
          <w:szCs w:val="24"/>
          <w:highlight w:val="white"/>
        </w:rPr>
        <w:t>nyataan</w:t>
      </w:r>
      <w:proofErr w:type="spellEnd"/>
      <w:r>
        <w:rPr>
          <w:rFonts w:ascii="Times New Roman" w:eastAsia="Times New Roman" w:hAnsi="Times New Roman" w:cs="Times New Roman"/>
          <w:sz w:val="24"/>
          <w:szCs w:val="24"/>
          <w:highlight w:val="white"/>
        </w:rPr>
        <w:t xml:space="preserve"> dan </w:t>
      </w:r>
      <w:proofErr w:type="spellStart"/>
      <w:r>
        <w:rPr>
          <w:rFonts w:ascii="Times New Roman" w:eastAsia="Times New Roman" w:hAnsi="Times New Roman" w:cs="Times New Roman"/>
          <w:sz w:val="24"/>
          <w:szCs w:val="24"/>
          <w:highlight w:val="white"/>
        </w:rPr>
        <w:t>penipuan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untuk</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menubuhkan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kenyataan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bahawa</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dia</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tidak</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pernah</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memasuki</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suatu</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perjanjian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jual</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beli</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Namun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demikian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selepas</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mahkamah</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meneliti</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fakta</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kes</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mahkamah</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mendapati</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bahawa</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defendan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telah</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gagal</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untuk</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memplidkan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perkara-perkara</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tersebut</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dengan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secara</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khusus</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dalam</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pernyataan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pembelaan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seperti</w:t>
      </w:r>
      <w:proofErr w:type="spellEnd"/>
      <w:r>
        <w:rPr>
          <w:rFonts w:ascii="Times New Roman" w:eastAsia="Times New Roman" w:hAnsi="Times New Roman" w:cs="Times New Roman"/>
          <w:sz w:val="24"/>
          <w:szCs w:val="24"/>
          <w:highlight w:val="white"/>
        </w:rPr>
        <w:t xml:space="preserve"> yang </w:t>
      </w:r>
      <w:proofErr w:type="spellStart"/>
      <w:r>
        <w:rPr>
          <w:rFonts w:ascii="Times New Roman" w:eastAsia="Times New Roman" w:hAnsi="Times New Roman" w:cs="Times New Roman"/>
          <w:sz w:val="24"/>
          <w:szCs w:val="24"/>
          <w:highlight w:val="white"/>
        </w:rPr>
        <w:t>diperlukan</w:t>
      </w:r>
      <w:proofErr w:type="spellEnd"/>
      <w:r>
        <w:rPr>
          <w:rFonts w:ascii="Times New Roman" w:eastAsia="Times New Roman" w:hAnsi="Times New Roman" w:cs="Times New Roman"/>
          <w:sz w:val="24"/>
          <w:szCs w:val="24"/>
          <w:highlight w:val="white"/>
        </w:rPr>
        <w:t xml:space="preserve"> di </w:t>
      </w:r>
      <w:proofErr w:type="spellStart"/>
      <w:r>
        <w:rPr>
          <w:rFonts w:ascii="Times New Roman" w:eastAsia="Times New Roman" w:hAnsi="Times New Roman" w:cs="Times New Roman"/>
          <w:sz w:val="24"/>
          <w:szCs w:val="24"/>
          <w:highlight w:val="white"/>
        </w:rPr>
        <w:t>bawah</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Aturan</w:t>
      </w:r>
      <w:proofErr w:type="spellEnd"/>
      <w:r>
        <w:rPr>
          <w:rFonts w:ascii="Times New Roman" w:eastAsia="Times New Roman" w:hAnsi="Times New Roman" w:cs="Times New Roman"/>
          <w:sz w:val="24"/>
          <w:szCs w:val="24"/>
          <w:highlight w:val="white"/>
        </w:rPr>
        <w:t xml:space="preserve"> 18 </w:t>
      </w:r>
      <w:proofErr w:type="spellStart"/>
      <w:r>
        <w:rPr>
          <w:rFonts w:ascii="Times New Roman" w:eastAsia="Times New Roman" w:hAnsi="Times New Roman" w:cs="Times New Roman"/>
          <w:sz w:val="24"/>
          <w:szCs w:val="24"/>
          <w:highlight w:val="white"/>
        </w:rPr>
        <w:lastRenderedPageBreak/>
        <w:t>Kaedah</w:t>
      </w:r>
      <w:proofErr w:type="spellEnd"/>
      <w:r>
        <w:rPr>
          <w:rFonts w:ascii="Times New Roman" w:eastAsia="Times New Roman" w:hAnsi="Times New Roman" w:cs="Times New Roman"/>
          <w:sz w:val="24"/>
          <w:szCs w:val="24"/>
          <w:highlight w:val="white"/>
        </w:rPr>
        <w:t xml:space="preserve"> 8 KKM. </w:t>
      </w:r>
      <w:proofErr w:type="spellStart"/>
      <w:r>
        <w:rPr>
          <w:rFonts w:ascii="Times New Roman" w:eastAsia="Times New Roman" w:hAnsi="Times New Roman" w:cs="Times New Roman"/>
          <w:sz w:val="24"/>
          <w:szCs w:val="24"/>
          <w:highlight w:val="white"/>
        </w:rPr>
        <w:t>Kegagalan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untuk</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memplidkan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kesemuanya</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atau</w:t>
      </w:r>
      <w:proofErr w:type="spellEnd"/>
      <w:r>
        <w:rPr>
          <w:rFonts w:ascii="Times New Roman" w:eastAsia="Times New Roman" w:hAnsi="Times New Roman" w:cs="Times New Roman"/>
          <w:sz w:val="24"/>
          <w:szCs w:val="24"/>
          <w:highlight w:val="white"/>
        </w:rPr>
        <w:t xml:space="preserve"> salah </w:t>
      </w:r>
      <w:proofErr w:type="spellStart"/>
      <w:r>
        <w:rPr>
          <w:rFonts w:ascii="Times New Roman" w:eastAsia="Times New Roman" w:hAnsi="Times New Roman" w:cs="Times New Roman"/>
          <w:sz w:val="24"/>
          <w:szCs w:val="24"/>
          <w:highlight w:val="white"/>
        </w:rPr>
        <w:t>satu</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perkara</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bermaksud</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pihak-pihak</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tidak</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boleh</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bergantung</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kepada</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dakwaan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atau</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pembelaan</w:t>
      </w:r>
      <w:proofErr w:type="spellEnd"/>
      <w:r>
        <w:rPr>
          <w:rFonts w:ascii="Times New Roman" w:eastAsia="Times New Roman" w:hAnsi="Times New Roman" w:cs="Times New Roman"/>
          <w:sz w:val="24"/>
          <w:szCs w:val="24"/>
          <w:highlight w:val="white"/>
        </w:rPr>
        <w:t xml:space="preserve"> yang </w:t>
      </w:r>
      <w:proofErr w:type="spellStart"/>
      <w:r>
        <w:rPr>
          <w:rFonts w:ascii="Times New Roman" w:eastAsia="Times New Roman" w:hAnsi="Times New Roman" w:cs="Times New Roman"/>
          <w:sz w:val="24"/>
          <w:szCs w:val="24"/>
          <w:highlight w:val="white"/>
        </w:rPr>
        <w:t>ingin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dikemukakan</w:t>
      </w:r>
      <w:proofErr w:type="spellEnd"/>
      <w:r>
        <w:rPr>
          <w:rFonts w:ascii="Times New Roman" w:eastAsia="Times New Roman" w:hAnsi="Times New Roman" w:cs="Times New Roman"/>
          <w:sz w:val="24"/>
          <w:szCs w:val="24"/>
          <w:highlight w:val="white"/>
        </w:rPr>
        <w:t xml:space="preserve">. </w:t>
      </w:r>
    </w:p>
    <w:p w14:paraId="0000006D" w14:textId="77777777" w:rsidR="00E97409" w:rsidRDefault="007741DD" w:rsidP="00690802">
      <w:pPr>
        <w:spacing w:line="240" w:lineRule="auto"/>
        <w:ind w:firstLine="720"/>
        <w:jc w:val="both"/>
        <w:rPr>
          <w:rFonts w:ascii="Times New Roman" w:eastAsia="Times New Roman" w:hAnsi="Times New Roman" w:cs="Times New Roman"/>
          <w:sz w:val="24"/>
          <w:szCs w:val="24"/>
          <w:highlight w:val="white"/>
        </w:rPr>
      </w:pPr>
      <w:bookmarkStart w:id="1" w:name="_heading=h.30j0zll" w:colFirst="0" w:colLast="0"/>
      <w:bookmarkEnd w:id="1"/>
      <w:proofErr w:type="spellStart"/>
      <w:r>
        <w:rPr>
          <w:rFonts w:ascii="Times New Roman" w:eastAsia="Times New Roman" w:hAnsi="Times New Roman" w:cs="Times New Roman"/>
          <w:sz w:val="24"/>
          <w:szCs w:val="24"/>
          <w:highlight w:val="white"/>
        </w:rPr>
        <w:t>Undang-undang</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adalah</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mantap</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bahawa</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mahkamah</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adalah</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terikat</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dengan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pliding</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sama</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seperti</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pihak-pihak</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dalam</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kes</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itu</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sendiri</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Dalam</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kes</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b/>
          <w:i/>
          <w:sz w:val="24"/>
          <w:szCs w:val="24"/>
          <w:highlight w:val="white"/>
        </w:rPr>
        <w:t>Jugajorthy</w:t>
      </w:r>
      <w:proofErr w:type="spellEnd"/>
      <w:r>
        <w:rPr>
          <w:rFonts w:ascii="Times New Roman" w:eastAsia="Times New Roman" w:hAnsi="Times New Roman" w:cs="Times New Roman"/>
          <w:b/>
          <w:i/>
          <w:sz w:val="24"/>
          <w:szCs w:val="24"/>
          <w:highlight w:val="white"/>
        </w:rPr>
        <w:t xml:space="preserve"> Visvanathan &amp; Anor v </w:t>
      </w:r>
      <w:proofErr w:type="spellStart"/>
      <w:r>
        <w:rPr>
          <w:rFonts w:ascii="Times New Roman" w:eastAsia="Times New Roman" w:hAnsi="Times New Roman" w:cs="Times New Roman"/>
          <w:b/>
          <w:i/>
          <w:sz w:val="24"/>
          <w:szCs w:val="24"/>
          <w:highlight w:val="white"/>
        </w:rPr>
        <w:t>Pentadbir</w:t>
      </w:r>
      <w:proofErr w:type="spellEnd"/>
      <w:r>
        <w:rPr>
          <w:rFonts w:ascii="Times New Roman" w:eastAsia="Times New Roman" w:hAnsi="Times New Roman" w:cs="Times New Roman"/>
          <w:b/>
          <w:i/>
          <w:sz w:val="24"/>
          <w:szCs w:val="24"/>
          <w:highlight w:val="white"/>
        </w:rPr>
        <w:t xml:space="preserve"> Tanah Daerah, Daerah Seberang </w:t>
      </w:r>
      <w:proofErr w:type="spellStart"/>
      <w:r>
        <w:rPr>
          <w:rFonts w:ascii="Times New Roman" w:eastAsia="Times New Roman" w:hAnsi="Times New Roman" w:cs="Times New Roman"/>
          <w:b/>
          <w:i/>
          <w:sz w:val="24"/>
          <w:szCs w:val="24"/>
          <w:highlight w:val="white"/>
        </w:rPr>
        <w:t>Perai</w:t>
      </w:r>
      <w:proofErr w:type="spellEnd"/>
      <w:r>
        <w:rPr>
          <w:rFonts w:ascii="Times New Roman" w:eastAsia="Times New Roman" w:hAnsi="Times New Roman" w:cs="Times New Roman"/>
          <w:b/>
          <w:i/>
          <w:sz w:val="24"/>
          <w:szCs w:val="24"/>
          <w:highlight w:val="white"/>
        </w:rPr>
        <w:t xml:space="preserve"> Tengah </w:t>
      </w:r>
      <w:proofErr w:type="spellStart"/>
      <w:r>
        <w:rPr>
          <w:rFonts w:ascii="Times New Roman" w:eastAsia="Times New Roman" w:hAnsi="Times New Roman" w:cs="Times New Roman"/>
          <w:b/>
          <w:i/>
          <w:sz w:val="24"/>
          <w:szCs w:val="24"/>
          <w:highlight w:val="white"/>
        </w:rPr>
        <w:t>Pulau</w:t>
      </w:r>
      <w:proofErr w:type="spellEnd"/>
      <w:r>
        <w:rPr>
          <w:rFonts w:ascii="Times New Roman" w:eastAsia="Times New Roman" w:hAnsi="Times New Roman" w:cs="Times New Roman"/>
          <w:b/>
          <w:i/>
          <w:sz w:val="24"/>
          <w:szCs w:val="24"/>
          <w:highlight w:val="white"/>
        </w:rPr>
        <w:t xml:space="preserve"> Pinang &amp; </w:t>
      </w:r>
      <w:proofErr w:type="spellStart"/>
      <w:r>
        <w:rPr>
          <w:rFonts w:ascii="Times New Roman" w:eastAsia="Times New Roman" w:hAnsi="Times New Roman" w:cs="Times New Roman"/>
          <w:b/>
          <w:i/>
          <w:sz w:val="24"/>
          <w:szCs w:val="24"/>
          <w:highlight w:val="white"/>
        </w:rPr>
        <w:t>Ors</w:t>
      </w:r>
      <w:proofErr w:type="spellEnd"/>
      <w:r>
        <w:rPr>
          <w:rFonts w:ascii="Times New Roman" w:eastAsia="Times New Roman" w:hAnsi="Times New Roman" w:cs="Times New Roman"/>
          <w:i/>
          <w:sz w:val="24"/>
          <w:szCs w:val="24"/>
          <w:highlight w:val="white"/>
          <w:vertAlign w:val="superscript"/>
        </w:rPr>
        <w:footnoteReference w:id="32"/>
      </w:r>
      <w:r>
        <w:rPr>
          <w:rFonts w:ascii="Times New Roman" w:eastAsia="Times New Roman" w:hAnsi="Times New Roman" w:cs="Times New Roman"/>
          <w:i/>
          <w:sz w:val="24"/>
          <w:szCs w:val="24"/>
          <w:highlight w:val="white"/>
        </w:rPr>
        <w:t xml:space="preserve">, </w:t>
      </w:r>
      <w:proofErr w:type="spellStart"/>
      <w:r>
        <w:rPr>
          <w:rFonts w:ascii="Times New Roman" w:eastAsia="Times New Roman" w:hAnsi="Times New Roman" w:cs="Times New Roman"/>
          <w:sz w:val="24"/>
          <w:szCs w:val="24"/>
          <w:highlight w:val="white"/>
        </w:rPr>
        <w:t>Mahkamah</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Rayuan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memutuskan</w:t>
      </w:r>
      <w:proofErr w:type="spellEnd"/>
      <w:r>
        <w:rPr>
          <w:rFonts w:ascii="Times New Roman" w:eastAsia="Times New Roman" w:hAnsi="Times New Roman" w:cs="Times New Roman"/>
          <w:sz w:val="24"/>
          <w:szCs w:val="24"/>
          <w:highlight w:val="white"/>
        </w:rPr>
        <w:t xml:space="preserve"> pada </w:t>
      </w:r>
      <w:proofErr w:type="spellStart"/>
      <w:r>
        <w:rPr>
          <w:rFonts w:ascii="Times New Roman" w:eastAsia="Times New Roman" w:hAnsi="Times New Roman" w:cs="Times New Roman"/>
          <w:sz w:val="24"/>
          <w:szCs w:val="24"/>
          <w:highlight w:val="white"/>
        </w:rPr>
        <w:t>peringkat</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awal</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kes</w:t>
      </w:r>
      <w:proofErr w:type="spellEnd"/>
      <w:r>
        <w:rPr>
          <w:rFonts w:ascii="Times New Roman" w:eastAsia="Times New Roman" w:hAnsi="Times New Roman" w:cs="Times New Roman"/>
          <w:sz w:val="24"/>
          <w:szCs w:val="24"/>
          <w:highlight w:val="white"/>
        </w:rPr>
        <w:t xml:space="preserve"> dan </w:t>
      </w:r>
      <w:proofErr w:type="spellStart"/>
      <w:r>
        <w:rPr>
          <w:rFonts w:ascii="Times New Roman" w:eastAsia="Times New Roman" w:hAnsi="Times New Roman" w:cs="Times New Roman"/>
          <w:sz w:val="24"/>
          <w:szCs w:val="24"/>
          <w:highlight w:val="white"/>
        </w:rPr>
        <w:t>sebelum</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meneruskan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prosiding</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kes</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dengan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lebih</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jauh</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lagi</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pihak-pihak</w:t>
      </w:r>
      <w:proofErr w:type="spellEnd"/>
      <w:r>
        <w:rPr>
          <w:rFonts w:ascii="Times New Roman" w:eastAsia="Times New Roman" w:hAnsi="Times New Roman" w:cs="Times New Roman"/>
          <w:sz w:val="24"/>
          <w:szCs w:val="24"/>
          <w:highlight w:val="white"/>
        </w:rPr>
        <w:t xml:space="preserve"> yang </w:t>
      </w:r>
      <w:proofErr w:type="spellStart"/>
      <w:r>
        <w:rPr>
          <w:rFonts w:ascii="Times New Roman" w:eastAsia="Times New Roman" w:hAnsi="Times New Roman" w:cs="Times New Roman"/>
          <w:sz w:val="24"/>
          <w:szCs w:val="24"/>
          <w:highlight w:val="white"/>
        </w:rPr>
        <w:t>terlibat</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perlu</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mengingati</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bahawa</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undang-undang</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adalah</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mantap</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bahawa</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perayu</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atau</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plaintif</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adalah</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terikat</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dengan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pliding</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mereka</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sendiri</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Sekiranya</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suatu</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perkara</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tersebut</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tidak</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diplid</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secara</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khususnya</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mahkamah</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boleh</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mengarahkan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pihak-pihak</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untuk</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meminda</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pliding</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mereka</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atau</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mahkamah</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akan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mengambil</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kira</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fakta</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kegagalan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pihak-pihak</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untuk</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memplidkan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perkara</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ini</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dalam</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memutuskan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kes</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tersebut</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Namun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begitu</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mahkamah</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ada</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kalanya</w:t>
      </w:r>
      <w:proofErr w:type="spellEnd"/>
      <w:r>
        <w:rPr>
          <w:rFonts w:ascii="Times New Roman" w:eastAsia="Times New Roman" w:hAnsi="Times New Roman" w:cs="Times New Roman"/>
          <w:sz w:val="24"/>
          <w:szCs w:val="24"/>
          <w:highlight w:val="white"/>
        </w:rPr>
        <w:t xml:space="preserve"> juga </w:t>
      </w:r>
      <w:proofErr w:type="spellStart"/>
      <w:r>
        <w:rPr>
          <w:rFonts w:ascii="Times New Roman" w:eastAsia="Times New Roman" w:hAnsi="Times New Roman" w:cs="Times New Roman"/>
          <w:sz w:val="24"/>
          <w:szCs w:val="24"/>
          <w:highlight w:val="white"/>
        </w:rPr>
        <w:t>tidak</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akan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membenarkan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pihak-pihak</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daripada</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bergantung</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kepada</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perkara</w:t>
      </w:r>
      <w:proofErr w:type="spellEnd"/>
      <w:r>
        <w:rPr>
          <w:rFonts w:ascii="Times New Roman" w:eastAsia="Times New Roman" w:hAnsi="Times New Roman" w:cs="Times New Roman"/>
          <w:sz w:val="24"/>
          <w:szCs w:val="24"/>
          <w:highlight w:val="white"/>
        </w:rPr>
        <w:t xml:space="preserve"> yang </w:t>
      </w:r>
      <w:proofErr w:type="spellStart"/>
      <w:r>
        <w:rPr>
          <w:rFonts w:ascii="Times New Roman" w:eastAsia="Times New Roman" w:hAnsi="Times New Roman" w:cs="Times New Roman"/>
          <w:sz w:val="24"/>
          <w:szCs w:val="24"/>
          <w:highlight w:val="white"/>
        </w:rPr>
        <w:t>tidak</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diplidkan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Sebagai</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contoh</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dalam</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kes</w:t>
      </w:r>
      <w:proofErr w:type="spellEnd"/>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b/>
          <w:i/>
          <w:sz w:val="24"/>
          <w:szCs w:val="24"/>
          <w:highlight w:val="white"/>
        </w:rPr>
        <w:t>Mustafa Bin Osman v Lee Chua &amp; Anor</w:t>
      </w:r>
      <w:r>
        <w:rPr>
          <w:rFonts w:ascii="Times New Roman" w:eastAsia="Times New Roman" w:hAnsi="Times New Roman" w:cs="Times New Roman"/>
          <w:sz w:val="24"/>
          <w:szCs w:val="24"/>
          <w:highlight w:val="white"/>
          <w:vertAlign w:val="superscript"/>
        </w:rPr>
        <w:footnoteReference w:id="33"/>
      </w:r>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kepenyalahan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undang-undang</w:t>
      </w:r>
      <w:proofErr w:type="spellEnd"/>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i/>
          <w:sz w:val="24"/>
          <w:szCs w:val="24"/>
          <w:highlight w:val="white"/>
        </w:rPr>
        <w:t>‘illegality’</w:t>
      </w:r>
      <w:r>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highlight w:val="white"/>
          <w:vertAlign w:val="superscript"/>
        </w:rPr>
        <w:footnoteReference w:id="34"/>
      </w:r>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tidak</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perlu</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dinyatakan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dalam</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pliding</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secara</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khusus</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Sekiranya</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kepenyalahan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undang-undang</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dibawa</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kepada</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perhatian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mahkamah</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sebelum</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tindakan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dibicarakan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mahkamah</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selepas</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berpuas</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hati</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bahawa</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urusniaga</w:t>
      </w:r>
      <w:proofErr w:type="spellEnd"/>
      <w:r>
        <w:rPr>
          <w:rFonts w:ascii="Times New Roman" w:eastAsia="Times New Roman" w:hAnsi="Times New Roman" w:cs="Times New Roman"/>
          <w:sz w:val="24"/>
          <w:szCs w:val="24"/>
          <w:highlight w:val="white"/>
        </w:rPr>
        <w:t xml:space="preserve"> yang </w:t>
      </w:r>
      <w:proofErr w:type="spellStart"/>
      <w:r>
        <w:rPr>
          <w:rFonts w:ascii="Times New Roman" w:eastAsia="Times New Roman" w:hAnsi="Times New Roman" w:cs="Times New Roman"/>
          <w:sz w:val="24"/>
          <w:szCs w:val="24"/>
          <w:highlight w:val="white"/>
        </w:rPr>
        <w:t>berkenaan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adalah</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sesungguhnya</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menyalahi</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undang-undang</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mahkamah</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mempunyai</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kewajiban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untuk</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bertindak</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terhadapnya</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Namun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demikian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ia</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adalah</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tanggungjawab</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peguamcara</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untuk</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memplidkan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suatu</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perkara</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dengan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khusus</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dalam</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pliding</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Isu</w:t>
      </w:r>
      <w:proofErr w:type="spellEnd"/>
      <w:r>
        <w:rPr>
          <w:rFonts w:ascii="Times New Roman" w:eastAsia="Times New Roman" w:hAnsi="Times New Roman" w:cs="Times New Roman"/>
          <w:sz w:val="24"/>
          <w:szCs w:val="24"/>
          <w:highlight w:val="white"/>
        </w:rPr>
        <w:t xml:space="preserve"> yang </w:t>
      </w:r>
      <w:proofErr w:type="spellStart"/>
      <w:r>
        <w:rPr>
          <w:rFonts w:ascii="Times New Roman" w:eastAsia="Times New Roman" w:hAnsi="Times New Roman" w:cs="Times New Roman"/>
          <w:sz w:val="24"/>
          <w:szCs w:val="24"/>
          <w:highlight w:val="white"/>
        </w:rPr>
        <w:t>timbul</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adalah</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untuk</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mengenal</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pasti</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perkara</w:t>
      </w:r>
      <w:proofErr w:type="spellEnd"/>
      <w:r>
        <w:rPr>
          <w:rFonts w:ascii="Times New Roman" w:eastAsia="Times New Roman" w:hAnsi="Times New Roman" w:cs="Times New Roman"/>
          <w:sz w:val="24"/>
          <w:szCs w:val="24"/>
          <w:highlight w:val="white"/>
        </w:rPr>
        <w:t xml:space="preserve"> yang </w:t>
      </w:r>
      <w:proofErr w:type="spellStart"/>
      <w:r>
        <w:rPr>
          <w:rFonts w:ascii="Times New Roman" w:eastAsia="Times New Roman" w:hAnsi="Times New Roman" w:cs="Times New Roman"/>
          <w:sz w:val="24"/>
          <w:szCs w:val="24"/>
          <w:highlight w:val="white"/>
        </w:rPr>
        <w:t>perlu</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dirayu</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dengan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khususnya</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bagi</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mengelakkan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kes</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terhalang</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daripada</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bergantung</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kepada</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dakwaan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atau</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pembelaan</w:t>
      </w:r>
      <w:proofErr w:type="spellEnd"/>
      <w:r>
        <w:rPr>
          <w:rFonts w:ascii="Times New Roman" w:eastAsia="Times New Roman" w:hAnsi="Times New Roman" w:cs="Times New Roman"/>
          <w:sz w:val="24"/>
          <w:szCs w:val="24"/>
          <w:highlight w:val="white"/>
        </w:rPr>
        <w:t xml:space="preserve"> yang </w:t>
      </w:r>
      <w:proofErr w:type="spellStart"/>
      <w:r>
        <w:rPr>
          <w:rFonts w:ascii="Times New Roman" w:eastAsia="Times New Roman" w:hAnsi="Times New Roman" w:cs="Times New Roman"/>
          <w:sz w:val="24"/>
          <w:szCs w:val="24"/>
          <w:highlight w:val="white"/>
        </w:rPr>
        <w:t>ingin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digunakan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Ini</w:t>
      </w:r>
      <w:proofErr w:type="spellEnd"/>
      <w:r>
        <w:rPr>
          <w:rFonts w:ascii="Times New Roman" w:eastAsia="Times New Roman" w:hAnsi="Times New Roman" w:cs="Times New Roman"/>
          <w:sz w:val="24"/>
          <w:szCs w:val="24"/>
          <w:highlight w:val="white"/>
        </w:rPr>
        <w:t xml:space="preserve"> kerana </w:t>
      </w:r>
      <w:proofErr w:type="spellStart"/>
      <w:r>
        <w:rPr>
          <w:rFonts w:ascii="Times New Roman" w:eastAsia="Times New Roman" w:hAnsi="Times New Roman" w:cs="Times New Roman"/>
          <w:sz w:val="24"/>
          <w:szCs w:val="24"/>
          <w:highlight w:val="white"/>
        </w:rPr>
        <w:t>ia</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sekali</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gus</w:t>
      </w:r>
      <w:proofErr w:type="spellEnd"/>
      <w:r>
        <w:rPr>
          <w:rFonts w:ascii="Times New Roman" w:eastAsia="Times New Roman" w:hAnsi="Times New Roman" w:cs="Times New Roman"/>
          <w:sz w:val="24"/>
          <w:szCs w:val="24"/>
          <w:highlight w:val="white"/>
        </w:rPr>
        <w:t xml:space="preserve"> juga </w:t>
      </w:r>
      <w:proofErr w:type="spellStart"/>
      <w:r>
        <w:rPr>
          <w:rFonts w:ascii="Times New Roman" w:eastAsia="Times New Roman" w:hAnsi="Times New Roman" w:cs="Times New Roman"/>
          <w:sz w:val="24"/>
          <w:szCs w:val="24"/>
          <w:highlight w:val="white"/>
        </w:rPr>
        <w:t>berkemungkinan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untuk</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memudaratkan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hasil</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sesuatu</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kes</w:t>
      </w:r>
      <w:proofErr w:type="spellEnd"/>
      <w:r>
        <w:rPr>
          <w:rFonts w:ascii="Times New Roman" w:eastAsia="Times New Roman" w:hAnsi="Times New Roman" w:cs="Times New Roman"/>
          <w:sz w:val="24"/>
          <w:szCs w:val="24"/>
          <w:highlight w:val="white"/>
        </w:rPr>
        <w:t xml:space="preserve">. </w:t>
      </w:r>
    </w:p>
    <w:p w14:paraId="0000006E" w14:textId="77777777" w:rsidR="00E97409" w:rsidRDefault="007741DD" w:rsidP="00690802">
      <w:pPr>
        <w:spacing w:line="240" w:lineRule="auto"/>
        <w:jc w:val="center"/>
        <w:rPr>
          <w:rFonts w:ascii="Times New Roman" w:eastAsia="Times New Roman" w:hAnsi="Times New Roman" w:cs="Times New Roman"/>
          <w:highlight w:val="white"/>
        </w:rPr>
      </w:pPr>
      <w:proofErr w:type="spellStart"/>
      <w:r>
        <w:rPr>
          <w:rFonts w:ascii="Times New Roman" w:eastAsia="Times New Roman" w:hAnsi="Times New Roman" w:cs="Times New Roman"/>
          <w:b/>
          <w:highlight w:val="white"/>
        </w:rPr>
        <w:t>Perkara</w:t>
      </w:r>
      <w:proofErr w:type="spellEnd"/>
      <w:r>
        <w:rPr>
          <w:rFonts w:ascii="Times New Roman" w:eastAsia="Times New Roman" w:hAnsi="Times New Roman" w:cs="Times New Roman"/>
          <w:b/>
          <w:highlight w:val="white"/>
        </w:rPr>
        <w:t xml:space="preserve"> yang </w:t>
      </w:r>
      <w:proofErr w:type="spellStart"/>
      <w:r>
        <w:rPr>
          <w:rFonts w:ascii="Times New Roman" w:eastAsia="Times New Roman" w:hAnsi="Times New Roman" w:cs="Times New Roman"/>
          <w:b/>
          <w:highlight w:val="white"/>
        </w:rPr>
        <w:t>perlu</w:t>
      </w:r>
      <w:proofErr w:type="spellEnd"/>
      <w:r>
        <w:rPr>
          <w:rFonts w:ascii="Times New Roman" w:eastAsia="Times New Roman" w:hAnsi="Times New Roman" w:cs="Times New Roman"/>
          <w:b/>
          <w:highlight w:val="white"/>
        </w:rPr>
        <w:t xml:space="preserve"> </w:t>
      </w:r>
      <w:proofErr w:type="spellStart"/>
      <w:r>
        <w:rPr>
          <w:rFonts w:ascii="Times New Roman" w:eastAsia="Times New Roman" w:hAnsi="Times New Roman" w:cs="Times New Roman"/>
          <w:b/>
          <w:highlight w:val="white"/>
        </w:rPr>
        <w:t>dirayu</w:t>
      </w:r>
      <w:proofErr w:type="spellEnd"/>
      <w:r>
        <w:rPr>
          <w:rFonts w:ascii="Times New Roman" w:eastAsia="Times New Roman" w:hAnsi="Times New Roman" w:cs="Times New Roman"/>
          <w:b/>
          <w:highlight w:val="white"/>
        </w:rPr>
        <w:t xml:space="preserve"> </w:t>
      </w:r>
      <w:proofErr w:type="spellStart"/>
      <w:r>
        <w:rPr>
          <w:rFonts w:ascii="Times New Roman" w:eastAsia="Times New Roman" w:hAnsi="Times New Roman" w:cs="Times New Roman"/>
          <w:b/>
          <w:highlight w:val="white"/>
        </w:rPr>
        <w:t>dengan</w:t>
      </w:r>
      <w:proofErr w:type="spellEnd"/>
      <w:r>
        <w:rPr>
          <w:rFonts w:ascii="Times New Roman" w:eastAsia="Times New Roman" w:hAnsi="Times New Roman" w:cs="Times New Roman"/>
          <w:b/>
          <w:highlight w:val="white"/>
        </w:rPr>
        <w:t xml:space="preserve"> </w:t>
      </w:r>
      <w:proofErr w:type="spellStart"/>
      <w:r>
        <w:rPr>
          <w:rFonts w:ascii="Times New Roman" w:eastAsia="Times New Roman" w:hAnsi="Times New Roman" w:cs="Times New Roman"/>
          <w:b/>
          <w:highlight w:val="white"/>
        </w:rPr>
        <w:t>khususnya</w:t>
      </w:r>
      <w:proofErr w:type="spellEnd"/>
      <w:r>
        <w:rPr>
          <w:rFonts w:ascii="Times New Roman" w:eastAsia="Times New Roman" w:hAnsi="Times New Roman" w:cs="Times New Roman"/>
          <w:b/>
          <w:highlight w:val="white"/>
        </w:rPr>
        <w:t xml:space="preserve"> di Malaysia</w:t>
      </w:r>
    </w:p>
    <w:p w14:paraId="0000006F" w14:textId="77777777" w:rsidR="00E97409" w:rsidRDefault="007741DD" w:rsidP="00690802">
      <w:pPr>
        <w:spacing w:line="240" w:lineRule="auto"/>
        <w:ind w:firstLine="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Di Malaysia, </w:t>
      </w:r>
      <w:proofErr w:type="spellStart"/>
      <w:r>
        <w:rPr>
          <w:rFonts w:ascii="Times New Roman" w:eastAsia="Times New Roman" w:hAnsi="Times New Roman" w:cs="Times New Roman"/>
          <w:sz w:val="24"/>
          <w:szCs w:val="24"/>
          <w:highlight w:val="white"/>
        </w:rPr>
        <w:t>Aturan</w:t>
      </w:r>
      <w:proofErr w:type="spellEnd"/>
      <w:r>
        <w:rPr>
          <w:rFonts w:ascii="Times New Roman" w:eastAsia="Times New Roman" w:hAnsi="Times New Roman" w:cs="Times New Roman"/>
          <w:sz w:val="24"/>
          <w:szCs w:val="24"/>
          <w:highlight w:val="white"/>
        </w:rPr>
        <w:t xml:space="preserve"> 18 </w:t>
      </w:r>
      <w:proofErr w:type="spellStart"/>
      <w:r>
        <w:rPr>
          <w:rFonts w:ascii="Times New Roman" w:eastAsia="Times New Roman" w:hAnsi="Times New Roman" w:cs="Times New Roman"/>
          <w:sz w:val="24"/>
          <w:szCs w:val="24"/>
          <w:highlight w:val="white"/>
        </w:rPr>
        <w:t>Kaedah</w:t>
      </w:r>
      <w:proofErr w:type="spellEnd"/>
      <w:r>
        <w:rPr>
          <w:rFonts w:ascii="Times New Roman" w:eastAsia="Times New Roman" w:hAnsi="Times New Roman" w:cs="Times New Roman"/>
          <w:sz w:val="24"/>
          <w:szCs w:val="24"/>
          <w:highlight w:val="white"/>
        </w:rPr>
        <w:t xml:space="preserve"> 8(1) KKM </w:t>
      </w:r>
      <w:proofErr w:type="spellStart"/>
      <w:r>
        <w:rPr>
          <w:rFonts w:ascii="Times New Roman" w:eastAsia="Times New Roman" w:hAnsi="Times New Roman" w:cs="Times New Roman"/>
          <w:sz w:val="24"/>
          <w:szCs w:val="24"/>
          <w:highlight w:val="white"/>
        </w:rPr>
        <w:t>memperuntukan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bahawa</w:t>
      </w:r>
      <w:proofErr w:type="spellEnd"/>
      <w:r>
        <w:rPr>
          <w:rFonts w:ascii="Times New Roman" w:eastAsia="Times New Roman" w:hAnsi="Times New Roman" w:cs="Times New Roman"/>
          <w:sz w:val="24"/>
          <w:szCs w:val="24"/>
          <w:highlight w:val="white"/>
        </w:rPr>
        <w:t xml:space="preserve">: - </w:t>
      </w:r>
    </w:p>
    <w:p w14:paraId="00000070" w14:textId="77777777" w:rsidR="00E97409" w:rsidRDefault="007741DD" w:rsidP="00690802">
      <w:pPr>
        <w:spacing w:after="0" w:line="240" w:lineRule="auto"/>
        <w:ind w:firstLine="720"/>
        <w:jc w:val="both"/>
        <w:rPr>
          <w:rFonts w:ascii="Times New Roman" w:eastAsia="Times New Roman" w:hAnsi="Times New Roman" w:cs="Times New Roman"/>
          <w:i/>
          <w:sz w:val="20"/>
          <w:szCs w:val="20"/>
          <w:highlight w:val="white"/>
        </w:rPr>
      </w:pPr>
      <w:r>
        <w:rPr>
          <w:rFonts w:ascii="Times New Roman" w:eastAsia="Times New Roman" w:hAnsi="Times New Roman" w:cs="Times New Roman"/>
          <w:i/>
          <w:sz w:val="20"/>
          <w:szCs w:val="20"/>
          <w:highlight w:val="white"/>
        </w:rPr>
        <w:t>“</w:t>
      </w:r>
      <w:proofErr w:type="spellStart"/>
      <w:r>
        <w:rPr>
          <w:rFonts w:ascii="Times New Roman" w:eastAsia="Times New Roman" w:hAnsi="Times New Roman" w:cs="Times New Roman"/>
          <w:i/>
          <w:sz w:val="20"/>
          <w:szCs w:val="20"/>
          <w:highlight w:val="white"/>
        </w:rPr>
        <w:t>Aturan</w:t>
      </w:r>
      <w:proofErr w:type="spellEnd"/>
      <w:r>
        <w:rPr>
          <w:rFonts w:ascii="Times New Roman" w:eastAsia="Times New Roman" w:hAnsi="Times New Roman" w:cs="Times New Roman"/>
          <w:i/>
          <w:sz w:val="20"/>
          <w:szCs w:val="20"/>
          <w:highlight w:val="white"/>
        </w:rPr>
        <w:t xml:space="preserve"> 18 </w:t>
      </w:r>
      <w:proofErr w:type="spellStart"/>
      <w:r>
        <w:rPr>
          <w:rFonts w:ascii="Times New Roman" w:eastAsia="Times New Roman" w:hAnsi="Times New Roman" w:cs="Times New Roman"/>
          <w:i/>
          <w:sz w:val="20"/>
          <w:szCs w:val="20"/>
          <w:highlight w:val="white"/>
        </w:rPr>
        <w:t>Kaedah</w:t>
      </w:r>
      <w:proofErr w:type="spellEnd"/>
      <w:r>
        <w:rPr>
          <w:rFonts w:ascii="Times New Roman" w:eastAsia="Times New Roman" w:hAnsi="Times New Roman" w:cs="Times New Roman"/>
          <w:i/>
          <w:sz w:val="20"/>
          <w:szCs w:val="20"/>
          <w:highlight w:val="white"/>
        </w:rPr>
        <w:t xml:space="preserve"> 8(1)</w:t>
      </w:r>
    </w:p>
    <w:p w14:paraId="00000071" w14:textId="77777777" w:rsidR="00E97409" w:rsidRDefault="007741DD" w:rsidP="00690802">
      <w:pPr>
        <w:numPr>
          <w:ilvl w:val="0"/>
          <w:numId w:val="6"/>
        </w:numPr>
        <w:pBdr>
          <w:top w:val="nil"/>
          <w:left w:val="nil"/>
          <w:bottom w:val="nil"/>
          <w:right w:val="nil"/>
          <w:between w:val="nil"/>
        </w:pBdr>
        <w:spacing w:after="0" w:line="240" w:lineRule="auto"/>
        <w:ind w:left="1287" w:hanging="566"/>
        <w:jc w:val="both"/>
        <w:rPr>
          <w:rFonts w:ascii="Times New Roman" w:eastAsia="Times New Roman" w:hAnsi="Times New Roman" w:cs="Times New Roman"/>
          <w:i/>
          <w:color w:val="000000"/>
          <w:sz w:val="20"/>
          <w:szCs w:val="20"/>
          <w:highlight w:val="white"/>
        </w:rPr>
      </w:pPr>
      <w:proofErr w:type="spellStart"/>
      <w:r>
        <w:rPr>
          <w:rFonts w:ascii="Times New Roman" w:eastAsia="Times New Roman" w:hAnsi="Times New Roman" w:cs="Times New Roman"/>
          <w:i/>
          <w:color w:val="000000"/>
          <w:sz w:val="20"/>
          <w:szCs w:val="20"/>
          <w:highlight w:val="white"/>
        </w:rPr>
        <w:t>Suatu</w:t>
      </w:r>
      <w:proofErr w:type="spellEnd"/>
      <w:r>
        <w:rPr>
          <w:rFonts w:ascii="Times New Roman" w:eastAsia="Times New Roman" w:hAnsi="Times New Roman" w:cs="Times New Roman"/>
          <w:i/>
          <w:color w:val="000000"/>
          <w:sz w:val="20"/>
          <w:szCs w:val="20"/>
          <w:highlight w:val="white"/>
        </w:rPr>
        <w:t xml:space="preserve"> </w:t>
      </w:r>
      <w:proofErr w:type="spellStart"/>
      <w:r>
        <w:rPr>
          <w:rFonts w:ascii="Times New Roman" w:eastAsia="Times New Roman" w:hAnsi="Times New Roman" w:cs="Times New Roman"/>
          <w:i/>
          <w:color w:val="000000"/>
          <w:sz w:val="20"/>
          <w:szCs w:val="20"/>
          <w:highlight w:val="white"/>
        </w:rPr>
        <w:t>pihak</w:t>
      </w:r>
      <w:proofErr w:type="spellEnd"/>
      <w:r>
        <w:rPr>
          <w:rFonts w:ascii="Times New Roman" w:eastAsia="Times New Roman" w:hAnsi="Times New Roman" w:cs="Times New Roman"/>
          <w:i/>
          <w:color w:val="000000"/>
          <w:sz w:val="20"/>
          <w:szCs w:val="20"/>
          <w:highlight w:val="white"/>
        </w:rPr>
        <w:t xml:space="preserve"> </w:t>
      </w:r>
      <w:proofErr w:type="spellStart"/>
      <w:r>
        <w:rPr>
          <w:rFonts w:ascii="Times New Roman" w:eastAsia="Times New Roman" w:hAnsi="Times New Roman" w:cs="Times New Roman"/>
          <w:i/>
          <w:color w:val="000000"/>
          <w:sz w:val="20"/>
          <w:szCs w:val="20"/>
          <w:highlight w:val="white"/>
        </w:rPr>
        <w:t>hendaklah</w:t>
      </w:r>
      <w:proofErr w:type="spellEnd"/>
      <w:r>
        <w:rPr>
          <w:rFonts w:ascii="Times New Roman" w:eastAsia="Times New Roman" w:hAnsi="Times New Roman" w:cs="Times New Roman"/>
          <w:i/>
          <w:color w:val="000000"/>
          <w:sz w:val="20"/>
          <w:szCs w:val="20"/>
          <w:highlight w:val="white"/>
        </w:rPr>
        <w:t xml:space="preserve"> </w:t>
      </w:r>
      <w:proofErr w:type="spellStart"/>
      <w:r>
        <w:rPr>
          <w:rFonts w:ascii="Times New Roman" w:eastAsia="Times New Roman" w:hAnsi="Times New Roman" w:cs="Times New Roman"/>
          <w:i/>
          <w:color w:val="000000"/>
          <w:sz w:val="20"/>
          <w:szCs w:val="20"/>
          <w:highlight w:val="white"/>
        </w:rPr>
        <w:t>dalam</w:t>
      </w:r>
      <w:proofErr w:type="spellEnd"/>
      <w:r>
        <w:rPr>
          <w:rFonts w:ascii="Times New Roman" w:eastAsia="Times New Roman" w:hAnsi="Times New Roman" w:cs="Times New Roman"/>
          <w:i/>
          <w:color w:val="000000"/>
          <w:sz w:val="20"/>
          <w:szCs w:val="20"/>
          <w:highlight w:val="white"/>
        </w:rPr>
        <w:t xml:space="preserve"> </w:t>
      </w:r>
      <w:proofErr w:type="spellStart"/>
      <w:r>
        <w:rPr>
          <w:rFonts w:ascii="Times New Roman" w:eastAsia="Times New Roman" w:hAnsi="Times New Roman" w:cs="Times New Roman"/>
          <w:i/>
          <w:color w:val="000000"/>
          <w:sz w:val="20"/>
          <w:szCs w:val="20"/>
          <w:highlight w:val="white"/>
        </w:rPr>
        <w:t>apa-apa</w:t>
      </w:r>
      <w:proofErr w:type="spellEnd"/>
      <w:r>
        <w:rPr>
          <w:rFonts w:ascii="Times New Roman" w:eastAsia="Times New Roman" w:hAnsi="Times New Roman" w:cs="Times New Roman"/>
          <w:i/>
          <w:color w:val="000000"/>
          <w:sz w:val="20"/>
          <w:szCs w:val="20"/>
          <w:highlight w:val="white"/>
        </w:rPr>
        <w:t xml:space="preserve"> </w:t>
      </w:r>
      <w:proofErr w:type="spellStart"/>
      <w:r>
        <w:rPr>
          <w:rFonts w:ascii="Times New Roman" w:eastAsia="Times New Roman" w:hAnsi="Times New Roman" w:cs="Times New Roman"/>
          <w:i/>
          <w:color w:val="000000"/>
          <w:sz w:val="20"/>
          <w:szCs w:val="20"/>
          <w:highlight w:val="white"/>
        </w:rPr>
        <w:t>pliding</w:t>
      </w:r>
      <w:proofErr w:type="spellEnd"/>
      <w:r>
        <w:rPr>
          <w:rFonts w:ascii="Times New Roman" w:eastAsia="Times New Roman" w:hAnsi="Times New Roman" w:cs="Times New Roman"/>
          <w:i/>
          <w:color w:val="000000"/>
          <w:sz w:val="20"/>
          <w:szCs w:val="20"/>
          <w:highlight w:val="white"/>
        </w:rPr>
        <w:t xml:space="preserve"> yang </w:t>
      </w:r>
      <w:proofErr w:type="spellStart"/>
      <w:r>
        <w:rPr>
          <w:rFonts w:ascii="Times New Roman" w:eastAsia="Times New Roman" w:hAnsi="Times New Roman" w:cs="Times New Roman"/>
          <w:i/>
          <w:color w:val="000000"/>
          <w:sz w:val="20"/>
          <w:szCs w:val="20"/>
          <w:highlight w:val="white"/>
        </w:rPr>
        <w:t>berikutan</w:t>
      </w:r>
      <w:proofErr w:type="spellEnd"/>
      <w:r>
        <w:rPr>
          <w:rFonts w:ascii="Times New Roman" w:eastAsia="Times New Roman" w:hAnsi="Times New Roman" w:cs="Times New Roman"/>
          <w:i/>
          <w:color w:val="000000"/>
          <w:sz w:val="20"/>
          <w:szCs w:val="20"/>
          <w:highlight w:val="white"/>
        </w:rPr>
        <w:t xml:space="preserve"> </w:t>
      </w:r>
      <w:proofErr w:type="spellStart"/>
      <w:r>
        <w:rPr>
          <w:rFonts w:ascii="Times New Roman" w:eastAsia="Times New Roman" w:hAnsi="Times New Roman" w:cs="Times New Roman"/>
          <w:i/>
          <w:color w:val="000000"/>
          <w:sz w:val="20"/>
          <w:szCs w:val="20"/>
          <w:highlight w:val="white"/>
        </w:rPr>
        <w:t>daripada</w:t>
      </w:r>
      <w:proofErr w:type="spellEnd"/>
      <w:r>
        <w:rPr>
          <w:rFonts w:ascii="Times New Roman" w:eastAsia="Times New Roman" w:hAnsi="Times New Roman" w:cs="Times New Roman"/>
          <w:i/>
          <w:color w:val="000000"/>
          <w:sz w:val="20"/>
          <w:szCs w:val="20"/>
          <w:highlight w:val="white"/>
        </w:rPr>
        <w:t xml:space="preserve"> </w:t>
      </w:r>
      <w:proofErr w:type="spellStart"/>
      <w:r>
        <w:rPr>
          <w:rFonts w:ascii="Times New Roman" w:eastAsia="Times New Roman" w:hAnsi="Times New Roman" w:cs="Times New Roman"/>
          <w:i/>
          <w:color w:val="000000"/>
          <w:sz w:val="20"/>
          <w:szCs w:val="20"/>
          <w:highlight w:val="white"/>
        </w:rPr>
        <w:t>suatu</w:t>
      </w:r>
      <w:proofErr w:type="spellEnd"/>
      <w:r>
        <w:rPr>
          <w:rFonts w:ascii="Times New Roman" w:eastAsia="Times New Roman" w:hAnsi="Times New Roman" w:cs="Times New Roman"/>
          <w:i/>
          <w:color w:val="000000"/>
          <w:sz w:val="20"/>
          <w:szCs w:val="20"/>
          <w:highlight w:val="white"/>
        </w:rPr>
        <w:t xml:space="preserve"> </w:t>
      </w:r>
      <w:proofErr w:type="spellStart"/>
      <w:r>
        <w:rPr>
          <w:rFonts w:ascii="Times New Roman" w:eastAsia="Times New Roman" w:hAnsi="Times New Roman" w:cs="Times New Roman"/>
          <w:i/>
          <w:color w:val="000000"/>
          <w:sz w:val="20"/>
          <w:szCs w:val="20"/>
          <w:highlight w:val="white"/>
        </w:rPr>
        <w:t>pernyataan</w:t>
      </w:r>
      <w:proofErr w:type="spellEnd"/>
      <w:r>
        <w:rPr>
          <w:rFonts w:ascii="Times New Roman" w:eastAsia="Times New Roman" w:hAnsi="Times New Roman" w:cs="Times New Roman"/>
          <w:i/>
          <w:color w:val="000000"/>
          <w:sz w:val="20"/>
          <w:szCs w:val="20"/>
          <w:highlight w:val="white"/>
        </w:rPr>
        <w:t xml:space="preserve"> </w:t>
      </w:r>
      <w:proofErr w:type="spellStart"/>
      <w:r>
        <w:rPr>
          <w:rFonts w:ascii="Times New Roman" w:eastAsia="Times New Roman" w:hAnsi="Times New Roman" w:cs="Times New Roman"/>
          <w:i/>
          <w:color w:val="000000"/>
          <w:sz w:val="20"/>
          <w:szCs w:val="20"/>
          <w:highlight w:val="white"/>
        </w:rPr>
        <w:t>tuntutan</w:t>
      </w:r>
      <w:proofErr w:type="spellEnd"/>
      <w:r>
        <w:rPr>
          <w:rFonts w:ascii="Times New Roman" w:eastAsia="Times New Roman" w:hAnsi="Times New Roman" w:cs="Times New Roman"/>
          <w:i/>
          <w:color w:val="000000"/>
          <w:sz w:val="20"/>
          <w:szCs w:val="20"/>
          <w:highlight w:val="white"/>
        </w:rPr>
        <w:t xml:space="preserve"> </w:t>
      </w:r>
      <w:proofErr w:type="spellStart"/>
      <w:r>
        <w:rPr>
          <w:rFonts w:ascii="Times New Roman" w:eastAsia="Times New Roman" w:hAnsi="Times New Roman" w:cs="Times New Roman"/>
          <w:i/>
          <w:color w:val="000000"/>
          <w:sz w:val="20"/>
          <w:szCs w:val="20"/>
          <w:highlight w:val="white"/>
        </w:rPr>
        <w:t>merayu</w:t>
      </w:r>
      <w:proofErr w:type="spellEnd"/>
      <w:r>
        <w:rPr>
          <w:rFonts w:ascii="Times New Roman" w:eastAsia="Times New Roman" w:hAnsi="Times New Roman" w:cs="Times New Roman"/>
          <w:i/>
          <w:color w:val="000000"/>
          <w:sz w:val="20"/>
          <w:szCs w:val="20"/>
          <w:highlight w:val="white"/>
        </w:rPr>
        <w:t xml:space="preserve"> </w:t>
      </w:r>
      <w:proofErr w:type="spellStart"/>
      <w:r>
        <w:rPr>
          <w:rFonts w:ascii="Times New Roman" w:eastAsia="Times New Roman" w:hAnsi="Times New Roman" w:cs="Times New Roman"/>
          <w:i/>
          <w:color w:val="000000"/>
          <w:sz w:val="20"/>
          <w:szCs w:val="20"/>
          <w:highlight w:val="white"/>
        </w:rPr>
        <w:t>dengan</w:t>
      </w:r>
      <w:proofErr w:type="spellEnd"/>
      <w:r>
        <w:rPr>
          <w:rFonts w:ascii="Times New Roman" w:eastAsia="Times New Roman" w:hAnsi="Times New Roman" w:cs="Times New Roman"/>
          <w:i/>
          <w:color w:val="000000"/>
          <w:sz w:val="20"/>
          <w:szCs w:val="20"/>
          <w:highlight w:val="white"/>
        </w:rPr>
        <w:t xml:space="preserve"> </w:t>
      </w:r>
      <w:proofErr w:type="spellStart"/>
      <w:r>
        <w:rPr>
          <w:rFonts w:ascii="Times New Roman" w:eastAsia="Times New Roman" w:hAnsi="Times New Roman" w:cs="Times New Roman"/>
          <w:i/>
          <w:color w:val="000000"/>
          <w:sz w:val="20"/>
          <w:szCs w:val="20"/>
          <w:highlight w:val="white"/>
        </w:rPr>
        <w:t>khususnya</w:t>
      </w:r>
      <w:proofErr w:type="spellEnd"/>
      <w:r>
        <w:rPr>
          <w:rFonts w:ascii="Times New Roman" w:eastAsia="Times New Roman" w:hAnsi="Times New Roman" w:cs="Times New Roman"/>
          <w:i/>
          <w:color w:val="000000"/>
          <w:sz w:val="20"/>
          <w:szCs w:val="20"/>
          <w:highlight w:val="white"/>
        </w:rPr>
        <w:t xml:space="preserve"> </w:t>
      </w:r>
      <w:proofErr w:type="spellStart"/>
      <w:r>
        <w:rPr>
          <w:rFonts w:ascii="Times New Roman" w:eastAsia="Times New Roman" w:hAnsi="Times New Roman" w:cs="Times New Roman"/>
          <w:i/>
          <w:color w:val="000000"/>
          <w:sz w:val="20"/>
          <w:szCs w:val="20"/>
          <w:highlight w:val="white"/>
        </w:rPr>
        <w:t>apa-apa</w:t>
      </w:r>
      <w:proofErr w:type="spellEnd"/>
      <w:r>
        <w:rPr>
          <w:rFonts w:ascii="Times New Roman" w:eastAsia="Times New Roman" w:hAnsi="Times New Roman" w:cs="Times New Roman"/>
          <w:i/>
          <w:color w:val="000000"/>
          <w:sz w:val="20"/>
          <w:szCs w:val="20"/>
          <w:highlight w:val="white"/>
        </w:rPr>
        <w:t xml:space="preserve"> </w:t>
      </w:r>
      <w:proofErr w:type="spellStart"/>
      <w:r>
        <w:rPr>
          <w:rFonts w:ascii="Times New Roman" w:eastAsia="Times New Roman" w:hAnsi="Times New Roman" w:cs="Times New Roman"/>
          <w:i/>
          <w:color w:val="000000"/>
          <w:sz w:val="20"/>
          <w:szCs w:val="20"/>
          <w:highlight w:val="white"/>
        </w:rPr>
        <w:t>perkara</w:t>
      </w:r>
      <w:proofErr w:type="spellEnd"/>
      <w:r>
        <w:rPr>
          <w:rFonts w:ascii="Times New Roman" w:eastAsia="Times New Roman" w:hAnsi="Times New Roman" w:cs="Times New Roman"/>
          <w:i/>
          <w:color w:val="000000"/>
          <w:sz w:val="20"/>
          <w:szCs w:val="20"/>
          <w:highlight w:val="white"/>
        </w:rPr>
        <w:t xml:space="preserve">, </w:t>
      </w:r>
      <w:proofErr w:type="spellStart"/>
      <w:r>
        <w:rPr>
          <w:rFonts w:ascii="Times New Roman" w:eastAsia="Times New Roman" w:hAnsi="Times New Roman" w:cs="Times New Roman"/>
          <w:i/>
          <w:color w:val="000000"/>
          <w:sz w:val="20"/>
          <w:szCs w:val="20"/>
          <w:highlight w:val="white"/>
        </w:rPr>
        <w:t>misalnya</w:t>
      </w:r>
      <w:proofErr w:type="spellEnd"/>
      <w:r>
        <w:rPr>
          <w:rFonts w:ascii="Times New Roman" w:eastAsia="Times New Roman" w:hAnsi="Times New Roman" w:cs="Times New Roman"/>
          <w:i/>
          <w:color w:val="000000"/>
          <w:sz w:val="20"/>
          <w:szCs w:val="20"/>
          <w:highlight w:val="white"/>
        </w:rPr>
        <w:t xml:space="preserve">, </w:t>
      </w:r>
      <w:proofErr w:type="spellStart"/>
      <w:r>
        <w:rPr>
          <w:rFonts w:ascii="Times New Roman" w:eastAsia="Times New Roman" w:hAnsi="Times New Roman" w:cs="Times New Roman"/>
          <w:i/>
          <w:color w:val="000000"/>
          <w:sz w:val="20"/>
          <w:szCs w:val="20"/>
          <w:highlight w:val="white"/>
        </w:rPr>
        <w:t>perlaksanaan</w:t>
      </w:r>
      <w:proofErr w:type="spellEnd"/>
      <w:r>
        <w:rPr>
          <w:rFonts w:ascii="Times New Roman" w:eastAsia="Times New Roman" w:hAnsi="Times New Roman" w:cs="Times New Roman"/>
          <w:i/>
          <w:color w:val="000000"/>
          <w:sz w:val="20"/>
          <w:szCs w:val="20"/>
          <w:highlight w:val="white"/>
        </w:rPr>
        <w:t xml:space="preserve">, </w:t>
      </w:r>
      <w:proofErr w:type="spellStart"/>
      <w:r>
        <w:rPr>
          <w:rFonts w:ascii="Times New Roman" w:eastAsia="Times New Roman" w:hAnsi="Times New Roman" w:cs="Times New Roman"/>
          <w:i/>
          <w:color w:val="000000"/>
          <w:sz w:val="20"/>
          <w:szCs w:val="20"/>
          <w:highlight w:val="white"/>
        </w:rPr>
        <w:t>pelepasan</w:t>
      </w:r>
      <w:proofErr w:type="spellEnd"/>
      <w:r>
        <w:rPr>
          <w:rFonts w:ascii="Times New Roman" w:eastAsia="Times New Roman" w:hAnsi="Times New Roman" w:cs="Times New Roman"/>
          <w:i/>
          <w:color w:val="000000"/>
          <w:sz w:val="20"/>
          <w:szCs w:val="20"/>
          <w:highlight w:val="white"/>
        </w:rPr>
        <w:t xml:space="preserve">, </w:t>
      </w:r>
      <w:proofErr w:type="spellStart"/>
      <w:r>
        <w:rPr>
          <w:rFonts w:ascii="Times New Roman" w:eastAsia="Times New Roman" w:hAnsi="Times New Roman" w:cs="Times New Roman"/>
          <w:i/>
          <w:color w:val="000000"/>
          <w:sz w:val="20"/>
          <w:szCs w:val="20"/>
          <w:highlight w:val="white"/>
        </w:rPr>
        <w:t>apa-apa</w:t>
      </w:r>
      <w:proofErr w:type="spellEnd"/>
      <w:r>
        <w:rPr>
          <w:rFonts w:ascii="Times New Roman" w:eastAsia="Times New Roman" w:hAnsi="Times New Roman" w:cs="Times New Roman"/>
          <w:i/>
          <w:color w:val="000000"/>
          <w:sz w:val="20"/>
          <w:szCs w:val="20"/>
          <w:highlight w:val="white"/>
        </w:rPr>
        <w:t xml:space="preserve"> </w:t>
      </w:r>
      <w:proofErr w:type="spellStart"/>
      <w:r>
        <w:rPr>
          <w:rFonts w:ascii="Times New Roman" w:eastAsia="Times New Roman" w:hAnsi="Times New Roman" w:cs="Times New Roman"/>
          <w:i/>
          <w:color w:val="000000"/>
          <w:sz w:val="20"/>
          <w:szCs w:val="20"/>
          <w:highlight w:val="white"/>
        </w:rPr>
        <w:t>statut</w:t>
      </w:r>
      <w:proofErr w:type="spellEnd"/>
      <w:r>
        <w:rPr>
          <w:rFonts w:ascii="Times New Roman" w:eastAsia="Times New Roman" w:hAnsi="Times New Roman" w:cs="Times New Roman"/>
          <w:i/>
          <w:color w:val="000000"/>
          <w:sz w:val="20"/>
          <w:szCs w:val="20"/>
          <w:highlight w:val="white"/>
        </w:rPr>
        <w:t xml:space="preserve"> had masa yang </w:t>
      </w:r>
      <w:proofErr w:type="spellStart"/>
      <w:r>
        <w:rPr>
          <w:rFonts w:ascii="Times New Roman" w:eastAsia="Times New Roman" w:hAnsi="Times New Roman" w:cs="Times New Roman"/>
          <w:i/>
          <w:color w:val="000000"/>
          <w:sz w:val="20"/>
          <w:szCs w:val="20"/>
          <w:highlight w:val="white"/>
        </w:rPr>
        <w:t>relevan</w:t>
      </w:r>
      <w:proofErr w:type="spellEnd"/>
      <w:r>
        <w:rPr>
          <w:rFonts w:ascii="Times New Roman" w:eastAsia="Times New Roman" w:hAnsi="Times New Roman" w:cs="Times New Roman"/>
          <w:i/>
          <w:color w:val="000000"/>
          <w:sz w:val="20"/>
          <w:szCs w:val="20"/>
          <w:highlight w:val="white"/>
        </w:rPr>
        <w:t xml:space="preserve">, fraud, </w:t>
      </w:r>
      <w:proofErr w:type="spellStart"/>
      <w:r>
        <w:rPr>
          <w:rFonts w:ascii="Times New Roman" w:eastAsia="Times New Roman" w:hAnsi="Times New Roman" w:cs="Times New Roman"/>
          <w:i/>
          <w:color w:val="000000"/>
          <w:sz w:val="20"/>
          <w:szCs w:val="20"/>
          <w:highlight w:val="white"/>
        </w:rPr>
        <w:t>atau</w:t>
      </w:r>
      <w:proofErr w:type="spellEnd"/>
      <w:r>
        <w:rPr>
          <w:rFonts w:ascii="Times New Roman" w:eastAsia="Times New Roman" w:hAnsi="Times New Roman" w:cs="Times New Roman"/>
          <w:i/>
          <w:color w:val="000000"/>
          <w:sz w:val="20"/>
          <w:szCs w:val="20"/>
          <w:highlight w:val="white"/>
        </w:rPr>
        <w:t xml:space="preserve"> </w:t>
      </w:r>
      <w:proofErr w:type="spellStart"/>
      <w:r>
        <w:rPr>
          <w:rFonts w:ascii="Times New Roman" w:eastAsia="Times New Roman" w:hAnsi="Times New Roman" w:cs="Times New Roman"/>
          <w:i/>
          <w:color w:val="000000"/>
          <w:sz w:val="20"/>
          <w:szCs w:val="20"/>
          <w:highlight w:val="white"/>
        </w:rPr>
        <w:t>apa-apa</w:t>
      </w:r>
      <w:proofErr w:type="spellEnd"/>
      <w:r>
        <w:rPr>
          <w:rFonts w:ascii="Times New Roman" w:eastAsia="Times New Roman" w:hAnsi="Times New Roman" w:cs="Times New Roman"/>
          <w:i/>
          <w:color w:val="000000"/>
          <w:sz w:val="20"/>
          <w:szCs w:val="20"/>
          <w:highlight w:val="white"/>
        </w:rPr>
        <w:t xml:space="preserve"> </w:t>
      </w:r>
      <w:proofErr w:type="spellStart"/>
      <w:r>
        <w:rPr>
          <w:rFonts w:ascii="Times New Roman" w:eastAsia="Times New Roman" w:hAnsi="Times New Roman" w:cs="Times New Roman"/>
          <w:i/>
          <w:color w:val="000000"/>
          <w:sz w:val="20"/>
          <w:szCs w:val="20"/>
          <w:highlight w:val="white"/>
        </w:rPr>
        <w:t>fakta</w:t>
      </w:r>
      <w:proofErr w:type="spellEnd"/>
      <w:r>
        <w:rPr>
          <w:rFonts w:ascii="Times New Roman" w:eastAsia="Times New Roman" w:hAnsi="Times New Roman" w:cs="Times New Roman"/>
          <w:i/>
          <w:color w:val="000000"/>
          <w:sz w:val="20"/>
          <w:szCs w:val="20"/>
          <w:highlight w:val="white"/>
        </w:rPr>
        <w:t xml:space="preserve"> yang </w:t>
      </w:r>
      <w:proofErr w:type="spellStart"/>
      <w:r>
        <w:rPr>
          <w:rFonts w:ascii="Times New Roman" w:eastAsia="Times New Roman" w:hAnsi="Times New Roman" w:cs="Times New Roman"/>
          <w:i/>
          <w:color w:val="000000"/>
          <w:sz w:val="20"/>
          <w:szCs w:val="20"/>
          <w:highlight w:val="white"/>
        </w:rPr>
        <w:t>menunjukkan</w:t>
      </w:r>
      <w:proofErr w:type="spellEnd"/>
      <w:r>
        <w:rPr>
          <w:rFonts w:ascii="Times New Roman" w:eastAsia="Times New Roman" w:hAnsi="Times New Roman" w:cs="Times New Roman"/>
          <w:i/>
          <w:color w:val="000000"/>
          <w:sz w:val="20"/>
          <w:szCs w:val="20"/>
          <w:highlight w:val="white"/>
        </w:rPr>
        <w:t xml:space="preserve"> </w:t>
      </w:r>
      <w:proofErr w:type="spellStart"/>
      <w:r>
        <w:rPr>
          <w:rFonts w:ascii="Times New Roman" w:eastAsia="Times New Roman" w:hAnsi="Times New Roman" w:cs="Times New Roman"/>
          <w:i/>
          <w:color w:val="000000"/>
          <w:sz w:val="20"/>
          <w:szCs w:val="20"/>
          <w:highlight w:val="white"/>
        </w:rPr>
        <w:t>kepenyalahan</w:t>
      </w:r>
      <w:proofErr w:type="spellEnd"/>
      <w:r>
        <w:rPr>
          <w:rFonts w:ascii="Times New Roman" w:eastAsia="Times New Roman" w:hAnsi="Times New Roman" w:cs="Times New Roman"/>
          <w:i/>
          <w:color w:val="000000"/>
          <w:sz w:val="20"/>
          <w:szCs w:val="20"/>
          <w:highlight w:val="white"/>
        </w:rPr>
        <w:t xml:space="preserve"> </w:t>
      </w:r>
      <w:proofErr w:type="spellStart"/>
      <w:r>
        <w:rPr>
          <w:rFonts w:ascii="Times New Roman" w:eastAsia="Times New Roman" w:hAnsi="Times New Roman" w:cs="Times New Roman"/>
          <w:i/>
          <w:color w:val="000000"/>
          <w:sz w:val="20"/>
          <w:szCs w:val="20"/>
          <w:highlight w:val="white"/>
        </w:rPr>
        <w:t>undang-undang</w:t>
      </w:r>
      <w:proofErr w:type="spellEnd"/>
      <w:r>
        <w:rPr>
          <w:rFonts w:ascii="Times New Roman" w:eastAsia="Times New Roman" w:hAnsi="Times New Roman" w:cs="Times New Roman"/>
          <w:i/>
          <w:color w:val="000000"/>
          <w:sz w:val="20"/>
          <w:szCs w:val="20"/>
          <w:highlight w:val="white"/>
        </w:rPr>
        <w:t xml:space="preserve"> – </w:t>
      </w:r>
    </w:p>
    <w:p w14:paraId="00000072" w14:textId="77777777" w:rsidR="00E97409" w:rsidRDefault="007741DD" w:rsidP="00690802">
      <w:pPr>
        <w:numPr>
          <w:ilvl w:val="0"/>
          <w:numId w:val="7"/>
        </w:numPr>
        <w:pBdr>
          <w:top w:val="nil"/>
          <w:left w:val="nil"/>
          <w:bottom w:val="nil"/>
          <w:right w:val="nil"/>
          <w:between w:val="nil"/>
        </w:pBdr>
        <w:spacing w:after="0" w:line="240" w:lineRule="auto"/>
        <w:ind w:left="1287" w:hanging="566"/>
        <w:jc w:val="both"/>
        <w:rPr>
          <w:rFonts w:ascii="Times New Roman" w:eastAsia="Times New Roman" w:hAnsi="Times New Roman" w:cs="Times New Roman"/>
          <w:i/>
          <w:color w:val="000000"/>
          <w:sz w:val="20"/>
          <w:szCs w:val="20"/>
          <w:highlight w:val="white"/>
        </w:rPr>
      </w:pPr>
      <w:r>
        <w:rPr>
          <w:rFonts w:ascii="Times New Roman" w:eastAsia="Times New Roman" w:hAnsi="Times New Roman" w:cs="Times New Roman"/>
          <w:i/>
          <w:color w:val="000000"/>
          <w:sz w:val="20"/>
          <w:szCs w:val="20"/>
          <w:highlight w:val="white"/>
        </w:rPr>
        <w:t xml:space="preserve">yang </w:t>
      </w:r>
      <w:proofErr w:type="spellStart"/>
      <w:r>
        <w:rPr>
          <w:rFonts w:ascii="Times New Roman" w:eastAsia="Times New Roman" w:hAnsi="Times New Roman" w:cs="Times New Roman"/>
          <w:i/>
          <w:color w:val="000000"/>
          <w:sz w:val="20"/>
          <w:szCs w:val="20"/>
          <w:highlight w:val="white"/>
        </w:rPr>
        <w:t>dikatakannya</w:t>
      </w:r>
      <w:proofErr w:type="spellEnd"/>
      <w:r>
        <w:rPr>
          <w:rFonts w:ascii="Times New Roman" w:eastAsia="Times New Roman" w:hAnsi="Times New Roman" w:cs="Times New Roman"/>
          <w:i/>
          <w:color w:val="000000"/>
          <w:sz w:val="20"/>
          <w:szCs w:val="20"/>
          <w:highlight w:val="white"/>
        </w:rPr>
        <w:t xml:space="preserve"> </w:t>
      </w:r>
      <w:proofErr w:type="spellStart"/>
      <w:r>
        <w:rPr>
          <w:rFonts w:ascii="Times New Roman" w:eastAsia="Times New Roman" w:hAnsi="Times New Roman" w:cs="Times New Roman"/>
          <w:i/>
          <w:color w:val="000000"/>
          <w:sz w:val="20"/>
          <w:szCs w:val="20"/>
          <w:highlight w:val="white"/>
        </w:rPr>
        <w:t>mejadikan</w:t>
      </w:r>
      <w:proofErr w:type="spellEnd"/>
      <w:r>
        <w:rPr>
          <w:rFonts w:ascii="Times New Roman" w:eastAsia="Times New Roman" w:hAnsi="Times New Roman" w:cs="Times New Roman"/>
          <w:i/>
          <w:color w:val="000000"/>
          <w:sz w:val="20"/>
          <w:szCs w:val="20"/>
          <w:highlight w:val="white"/>
        </w:rPr>
        <w:t xml:space="preserve"> </w:t>
      </w:r>
      <w:proofErr w:type="spellStart"/>
      <w:r>
        <w:rPr>
          <w:rFonts w:ascii="Times New Roman" w:eastAsia="Times New Roman" w:hAnsi="Times New Roman" w:cs="Times New Roman"/>
          <w:i/>
          <w:color w:val="000000"/>
          <w:sz w:val="20"/>
          <w:szCs w:val="20"/>
          <w:highlight w:val="white"/>
        </w:rPr>
        <w:t>apa-apa</w:t>
      </w:r>
      <w:proofErr w:type="spellEnd"/>
      <w:r>
        <w:rPr>
          <w:rFonts w:ascii="Times New Roman" w:eastAsia="Times New Roman" w:hAnsi="Times New Roman" w:cs="Times New Roman"/>
          <w:i/>
          <w:color w:val="000000"/>
          <w:sz w:val="20"/>
          <w:szCs w:val="20"/>
          <w:highlight w:val="white"/>
        </w:rPr>
        <w:t xml:space="preserve"> </w:t>
      </w:r>
      <w:proofErr w:type="spellStart"/>
      <w:r>
        <w:rPr>
          <w:rFonts w:ascii="Times New Roman" w:eastAsia="Times New Roman" w:hAnsi="Times New Roman" w:cs="Times New Roman"/>
          <w:i/>
          <w:color w:val="000000"/>
          <w:sz w:val="20"/>
          <w:szCs w:val="20"/>
          <w:highlight w:val="white"/>
        </w:rPr>
        <w:t>tuntutan</w:t>
      </w:r>
      <w:proofErr w:type="spellEnd"/>
      <w:r>
        <w:rPr>
          <w:rFonts w:ascii="Times New Roman" w:eastAsia="Times New Roman" w:hAnsi="Times New Roman" w:cs="Times New Roman"/>
          <w:i/>
          <w:color w:val="000000"/>
          <w:sz w:val="20"/>
          <w:szCs w:val="20"/>
          <w:highlight w:val="white"/>
        </w:rPr>
        <w:t xml:space="preserve"> </w:t>
      </w:r>
      <w:proofErr w:type="spellStart"/>
      <w:r>
        <w:rPr>
          <w:rFonts w:ascii="Times New Roman" w:eastAsia="Times New Roman" w:hAnsi="Times New Roman" w:cs="Times New Roman"/>
          <w:i/>
          <w:color w:val="000000"/>
          <w:sz w:val="20"/>
          <w:szCs w:val="20"/>
          <w:highlight w:val="white"/>
        </w:rPr>
        <w:t>atau</w:t>
      </w:r>
      <w:proofErr w:type="spellEnd"/>
      <w:r>
        <w:rPr>
          <w:rFonts w:ascii="Times New Roman" w:eastAsia="Times New Roman" w:hAnsi="Times New Roman" w:cs="Times New Roman"/>
          <w:i/>
          <w:color w:val="000000"/>
          <w:sz w:val="20"/>
          <w:szCs w:val="20"/>
          <w:highlight w:val="white"/>
        </w:rPr>
        <w:t xml:space="preserve"> </w:t>
      </w:r>
      <w:proofErr w:type="spellStart"/>
      <w:r>
        <w:rPr>
          <w:rFonts w:ascii="Times New Roman" w:eastAsia="Times New Roman" w:hAnsi="Times New Roman" w:cs="Times New Roman"/>
          <w:i/>
          <w:color w:val="000000"/>
          <w:sz w:val="20"/>
          <w:szCs w:val="20"/>
          <w:highlight w:val="white"/>
        </w:rPr>
        <w:t>pembelaan</w:t>
      </w:r>
      <w:proofErr w:type="spellEnd"/>
      <w:r>
        <w:rPr>
          <w:rFonts w:ascii="Times New Roman" w:eastAsia="Times New Roman" w:hAnsi="Times New Roman" w:cs="Times New Roman"/>
          <w:i/>
          <w:color w:val="000000"/>
          <w:sz w:val="20"/>
          <w:szCs w:val="20"/>
          <w:highlight w:val="white"/>
        </w:rPr>
        <w:t xml:space="preserve"> </w:t>
      </w:r>
      <w:proofErr w:type="spellStart"/>
      <w:r>
        <w:rPr>
          <w:rFonts w:ascii="Times New Roman" w:eastAsia="Times New Roman" w:hAnsi="Times New Roman" w:cs="Times New Roman"/>
          <w:i/>
          <w:color w:val="000000"/>
          <w:sz w:val="20"/>
          <w:szCs w:val="20"/>
          <w:highlight w:val="white"/>
        </w:rPr>
        <w:t>pihak</w:t>
      </w:r>
      <w:proofErr w:type="spellEnd"/>
      <w:r>
        <w:rPr>
          <w:rFonts w:ascii="Times New Roman" w:eastAsia="Times New Roman" w:hAnsi="Times New Roman" w:cs="Times New Roman"/>
          <w:i/>
          <w:color w:val="000000"/>
          <w:sz w:val="20"/>
          <w:szCs w:val="20"/>
          <w:highlight w:val="white"/>
        </w:rPr>
        <w:t xml:space="preserve"> </w:t>
      </w:r>
      <w:proofErr w:type="spellStart"/>
      <w:r>
        <w:rPr>
          <w:rFonts w:ascii="Times New Roman" w:eastAsia="Times New Roman" w:hAnsi="Times New Roman" w:cs="Times New Roman"/>
          <w:i/>
          <w:color w:val="000000"/>
          <w:sz w:val="20"/>
          <w:szCs w:val="20"/>
          <w:highlight w:val="white"/>
        </w:rPr>
        <w:t>lawan</w:t>
      </w:r>
      <w:proofErr w:type="spellEnd"/>
      <w:r>
        <w:rPr>
          <w:rFonts w:ascii="Times New Roman" w:eastAsia="Times New Roman" w:hAnsi="Times New Roman" w:cs="Times New Roman"/>
          <w:i/>
          <w:color w:val="000000"/>
          <w:sz w:val="20"/>
          <w:szCs w:val="20"/>
          <w:highlight w:val="white"/>
        </w:rPr>
        <w:t xml:space="preserve"> </w:t>
      </w:r>
      <w:proofErr w:type="spellStart"/>
      <w:r>
        <w:rPr>
          <w:rFonts w:ascii="Times New Roman" w:eastAsia="Times New Roman" w:hAnsi="Times New Roman" w:cs="Times New Roman"/>
          <w:i/>
          <w:color w:val="000000"/>
          <w:sz w:val="20"/>
          <w:szCs w:val="20"/>
          <w:highlight w:val="white"/>
        </w:rPr>
        <w:t>tidak</w:t>
      </w:r>
      <w:proofErr w:type="spellEnd"/>
      <w:r>
        <w:rPr>
          <w:rFonts w:ascii="Times New Roman" w:eastAsia="Times New Roman" w:hAnsi="Times New Roman" w:cs="Times New Roman"/>
          <w:i/>
          <w:color w:val="000000"/>
          <w:sz w:val="20"/>
          <w:szCs w:val="20"/>
          <w:highlight w:val="white"/>
        </w:rPr>
        <w:t xml:space="preserve"> </w:t>
      </w:r>
      <w:proofErr w:type="spellStart"/>
      <w:r>
        <w:rPr>
          <w:rFonts w:ascii="Times New Roman" w:eastAsia="Times New Roman" w:hAnsi="Times New Roman" w:cs="Times New Roman"/>
          <w:i/>
          <w:color w:val="000000"/>
          <w:sz w:val="20"/>
          <w:szCs w:val="20"/>
          <w:highlight w:val="white"/>
        </w:rPr>
        <w:t>dapat</w:t>
      </w:r>
      <w:proofErr w:type="spellEnd"/>
      <w:r>
        <w:rPr>
          <w:rFonts w:ascii="Times New Roman" w:eastAsia="Times New Roman" w:hAnsi="Times New Roman" w:cs="Times New Roman"/>
          <w:i/>
          <w:color w:val="000000"/>
          <w:sz w:val="20"/>
          <w:szCs w:val="20"/>
          <w:highlight w:val="white"/>
        </w:rPr>
        <w:t xml:space="preserve"> </w:t>
      </w:r>
      <w:proofErr w:type="spellStart"/>
      <w:r>
        <w:rPr>
          <w:rFonts w:ascii="Times New Roman" w:eastAsia="Times New Roman" w:hAnsi="Times New Roman" w:cs="Times New Roman"/>
          <w:i/>
          <w:color w:val="000000"/>
          <w:sz w:val="20"/>
          <w:szCs w:val="20"/>
          <w:highlight w:val="white"/>
        </w:rPr>
        <w:t>dipertahankan</w:t>
      </w:r>
      <w:proofErr w:type="spellEnd"/>
      <w:r>
        <w:rPr>
          <w:rFonts w:ascii="Times New Roman" w:eastAsia="Times New Roman" w:hAnsi="Times New Roman" w:cs="Times New Roman"/>
          <w:i/>
          <w:color w:val="000000"/>
          <w:sz w:val="20"/>
          <w:szCs w:val="20"/>
          <w:highlight w:val="white"/>
        </w:rPr>
        <w:t xml:space="preserve">. </w:t>
      </w:r>
    </w:p>
    <w:p w14:paraId="00000073" w14:textId="77777777" w:rsidR="00E97409" w:rsidRDefault="007741DD" w:rsidP="00690802">
      <w:pPr>
        <w:numPr>
          <w:ilvl w:val="0"/>
          <w:numId w:val="7"/>
        </w:numPr>
        <w:pBdr>
          <w:top w:val="nil"/>
          <w:left w:val="nil"/>
          <w:bottom w:val="nil"/>
          <w:right w:val="nil"/>
          <w:between w:val="nil"/>
        </w:pBdr>
        <w:spacing w:after="0" w:line="240" w:lineRule="auto"/>
        <w:ind w:left="1287" w:hanging="566"/>
        <w:jc w:val="both"/>
        <w:rPr>
          <w:rFonts w:ascii="Times New Roman" w:eastAsia="Times New Roman" w:hAnsi="Times New Roman" w:cs="Times New Roman"/>
          <w:i/>
          <w:color w:val="000000"/>
          <w:sz w:val="20"/>
          <w:szCs w:val="20"/>
          <w:highlight w:val="white"/>
        </w:rPr>
      </w:pPr>
      <w:r>
        <w:rPr>
          <w:rFonts w:ascii="Times New Roman" w:eastAsia="Times New Roman" w:hAnsi="Times New Roman" w:cs="Times New Roman"/>
          <w:i/>
          <w:color w:val="000000"/>
          <w:sz w:val="20"/>
          <w:szCs w:val="20"/>
          <w:highlight w:val="white"/>
        </w:rPr>
        <w:t xml:space="preserve">yang, </w:t>
      </w:r>
      <w:proofErr w:type="spellStart"/>
      <w:r>
        <w:rPr>
          <w:rFonts w:ascii="Times New Roman" w:eastAsia="Times New Roman" w:hAnsi="Times New Roman" w:cs="Times New Roman"/>
          <w:i/>
          <w:color w:val="000000"/>
          <w:sz w:val="20"/>
          <w:szCs w:val="20"/>
          <w:highlight w:val="white"/>
        </w:rPr>
        <w:t>sekiranya</w:t>
      </w:r>
      <w:proofErr w:type="spellEnd"/>
      <w:r>
        <w:rPr>
          <w:rFonts w:ascii="Times New Roman" w:eastAsia="Times New Roman" w:hAnsi="Times New Roman" w:cs="Times New Roman"/>
          <w:i/>
          <w:color w:val="000000"/>
          <w:sz w:val="20"/>
          <w:szCs w:val="20"/>
          <w:highlight w:val="white"/>
        </w:rPr>
        <w:t xml:space="preserve"> </w:t>
      </w:r>
      <w:proofErr w:type="spellStart"/>
      <w:r>
        <w:rPr>
          <w:rFonts w:ascii="Times New Roman" w:eastAsia="Times New Roman" w:hAnsi="Times New Roman" w:cs="Times New Roman"/>
          <w:i/>
          <w:color w:val="000000"/>
          <w:sz w:val="20"/>
          <w:szCs w:val="20"/>
          <w:highlight w:val="white"/>
        </w:rPr>
        <w:t>tidak</w:t>
      </w:r>
      <w:proofErr w:type="spellEnd"/>
      <w:r>
        <w:rPr>
          <w:rFonts w:ascii="Times New Roman" w:eastAsia="Times New Roman" w:hAnsi="Times New Roman" w:cs="Times New Roman"/>
          <w:i/>
          <w:color w:val="000000"/>
          <w:sz w:val="20"/>
          <w:szCs w:val="20"/>
          <w:highlight w:val="white"/>
        </w:rPr>
        <w:t xml:space="preserve"> </w:t>
      </w:r>
      <w:proofErr w:type="spellStart"/>
      <w:r>
        <w:rPr>
          <w:rFonts w:ascii="Times New Roman" w:eastAsia="Times New Roman" w:hAnsi="Times New Roman" w:cs="Times New Roman"/>
          <w:i/>
          <w:color w:val="000000"/>
          <w:sz w:val="20"/>
          <w:szCs w:val="20"/>
          <w:highlight w:val="white"/>
        </w:rPr>
        <w:t>dirayu</w:t>
      </w:r>
      <w:proofErr w:type="spellEnd"/>
      <w:r>
        <w:rPr>
          <w:rFonts w:ascii="Times New Roman" w:eastAsia="Times New Roman" w:hAnsi="Times New Roman" w:cs="Times New Roman"/>
          <w:i/>
          <w:color w:val="000000"/>
          <w:sz w:val="20"/>
          <w:szCs w:val="20"/>
          <w:highlight w:val="white"/>
        </w:rPr>
        <w:t xml:space="preserve"> </w:t>
      </w:r>
      <w:proofErr w:type="spellStart"/>
      <w:r>
        <w:rPr>
          <w:rFonts w:ascii="Times New Roman" w:eastAsia="Times New Roman" w:hAnsi="Times New Roman" w:cs="Times New Roman"/>
          <w:i/>
          <w:color w:val="000000"/>
          <w:sz w:val="20"/>
          <w:szCs w:val="20"/>
          <w:highlight w:val="white"/>
        </w:rPr>
        <w:t>dengan</w:t>
      </w:r>
      <w:proofErr w:type="spellEnd"/>
      <w:r>
        <w:rPr>
          <w:rFonts w:ascii="Times New Roman" w:eastAsia="Times New Roman" w:hAnsi="Times New Roman" w:cs="Times New Roman"/>
          <w:i/>
          <w:color w:val="000000"/>
          <w:sz w:val="20"/>
          <w:szCs w:val="20"/>
          <w:highlight w:val="white"/>
        </w:rPr>
        <w:t xml:space="preserve"> </w:t>
      </w:r>
      <w:proofErr w:type="spellStart"/>
      <w:r>
        <w:rPr>
          <w:rFonts w:ascii="Times New Roman" w:eastAsia="Times New Roman" w:hAnsi="Times New Roman" w:cs="Times New Roman"/>
          <w:i/>
          <w:color w:val="000000"/>
          <w:sz w:val="20"/>
          <w:szCs w:val="20"/>
          <w:highlight w:val="white"/>
        </w:rPr>
        <w:t>khususnya</w:t>
      </w:r>
      <w:proofErr w:type="spellEnd"/>
      <w:r>
        <w:rPr>
          <w:rFonts w:ascii="Times New Roman" w:eastAsia="Times New Roman" w:hAnsi="Times New Roman" w:cs="Times New Roman"/>
          <w:i/>
          <w:color w:val="000000"/>
          <w:sz w:val="20"/>
          <w:szCs w:val="20"/>
          <w:highlight w:val="white"/>
        </w:rPr>
        <w:t xml:space="preserve">, </w:t>
      </w:r>
      <w:proofErr w:type="spellStart"/>
      <w:r>
        <w:rPr>
          <w:rFonts w:ascii="Times New Roman" w:eastAsia="Times New Roman" w:hAnsi="Times New Roman" w:cs="Times New Roman"/>
          <w:i/>
          <w:color w:val="000000"/>
          <w:sz w:val="20"/>
          <w:szCs w:val="20"/>
          <w:highlight w:val="white"/>
        </w:rPr>
        <w:t>mungkin</w:t>
      </w:r>
      <w:proofErr w:type="spellEnd"/>
      <w:r>
        <w:rPr>
          <w:rFonts w:ascii="Times New Roman" w:eastAsia="Times New Roman" w:hAnsi="Times New Roman" w:cs="Times New Roman"/>
          <w:i/>
          <w:color w:val="000000"/>
          <w:sz w:val="20"/>
          <w:szCs w:val="20"/>
          <w:highlight w:val="white"/>
        </w:rPr>
        <w:t xml:space="preserve"> </w:t>
      </w:r>
      <w:proofErr w:type="spellStart"/>
      <w:r>
        <w:rPr>
          <w:rFonts w:ascii="Times New Roman" w:eastAsia="Times New Roman" w:hAnsi="Times New Roman" w:cs="Times New Roman"/>
          <w:i/>
          <w:color w:val="000000"/>
          <w:sz w:val="20"/>
          <w:szCs w:val="20"/>
          <w:highlight w:val="white"/>
        </w:rPr>
        <w:t>menyebabkan</w:t>
      </w:r>
      <w:proofErr w:type="spellEnd"/>
      <w:r>
        <w:rPr>
          <w:rFonts w:ascii="Times New Roman" w:eastAsia="Times New Roman" w:hAnsi="Times New Roman" w:cs="Times New Roman"/>
          <w:i/>
          <w:color w:val="000000"/>
          <w:sz w:val="20"/>
          <w:szCs w:val="20"/>
          <w:highlight w:val="white"/>
        </w:rPr>
        <w:t xml:space="preserve"> </w:t>
      </w:r>
      <w:proofErr w:type="spellStart"/>
      <w:r>
        <w:rPr>
          <w:rFonts w:ascii="Times New Roman" w:eastAsia="Times New Roman" w:hAnsi="Times New Roman" w:cs="Times New Roman"/>
          <w:i/>
          <w:color w:val="000000"/>
          <w:sz w:val="20"/>
          <w:szCs w:val="20"/>
          <w:highlight w:val="white"/>
        </w:rPr>
        <w:t>pihak</w:t>
      </w:r>
      <w:proofErr w:type="spellEnd"/>
      <w:r>
        <w:rPr>
          <w:rFonts w:ascii="Times New Roman" w:eastAsia="Times New Roman" w:hAnsi="Times New Roman" w:cs="Times New Roman"/>
          <w:i/>
          <w:color w:val="000000"/>
          <w:sz w:val="20"/>
          <w:szCs w:val="20"/>
          <w:highlight w:val="white"/>
        </w:rPr>
        <w:t xml:space="preserve"> </w:t>
      </w:r>
      <w:proofErr w:type="spellStart"/>
      <w:r>
        <w:rPr>
          <w:rFonts w:ascii="Times New Roman" w:eastAsia="Times New Roman" w:hAnsi="Times New Roman" w:cs="Times New Roman"/>
          <w:i/>
          <w:color w:val="000000"/>
          <w:sz w:val="20"/>
          <w:szCs w:val="20"/>
          <w:highlight w:val="white"/>
        </w:rPr>
        <w:t>lawan</w:t>
      </w:r>
      <w:proofErr w:type="spellEnd"/>
      <w:r>
        <w:rPr>
          <w:rFonts w:ascii="Times New Roman" w:eastAsia="Times New Roman" w:hAnsi="Times New Roman" w:cs="Times New Roman"/>
          <w:i/>
          <w:color w:val="000000"/>
          <w:sz w:val="20"/>
          <w:szCs w:val="20"/>
          <w:highlight w:val="white"/>
        </w:rPr>
        <w:t xml:space="preserve"> </w:t>
      </w:r>
      <w:proofErr w:type="spellStart"/>
      <w:r>
        <w:rPr>
          <w:rFonts w:ascii="Times New Roman" w:eastAsia="Times New Roman" w:hAnsi="Times New Roman" w:cs="Times New Roman"/>
          <w:i/>
          <w:color w:val="000000"/>
          <w:sz w:val="20"/>
          <w:szCs w:val="20"/>
          <w:highlight w:val="white"/>
        </w:rPr>
        <w:t>tidak</w:t>
      </w:r>
      <w:proofErr w:type="spellEnd"/>
      <w:r>
        <w:rPr>
          <w:rFonts w:ascii="Times New Roman" w:eastAsia="Times New Roman" w:hAnsi="Times New Roman" w:cs="Times New Roman"/>
          <w:i/>
          <w:color w:val="000000"/>
          <w:sz w:val="20"/>
          <w:szCs w:val="20"/>
          <w:highlight w:val="white"/>
        </w:rPr>
        <w:t xml:space="preserve"> </w:t>
      </w:r>
      <w:proofErr w:type="spellStart"/>
      <w:r>
        <w:rPr>
          <w:rFonts w:ascii="Times New Roman" w:eastAsia="Times New Roman" w:hAnsi="Times New Roman" w:cs="Times New Roman"/>
          <w:i/>
          <w:color w:val="000000"/>
          <w:sz w:val="20"/>
          <w:szCs w:val="20"/>
          <w:highlight w:val="white"/>
        </w:rPr>
        <w:t>menyangkakannya</w:t>
      </w:r>
      <w:proofErr w:type="spellEnd"/>
      <w:r>
        <w:rPr>
          <w:rFonts w:ascii="Times New Roman" w:eastAsia="Times New Roman" w:hAnsi="Times New Roman" w:cs="Times New Roman"/>
          <w:i/>
          <w:color w:val="000000"/>
          <w:sz w:val="20"/>
          <w:szCs w:val="20"/>
          <w:highlight w:val="white"/>
        </w:rPr>
        <w:t xml:space="preserve">; </w:t>
      </w:r>
      <w:proofErr w:type="spellStart"/>
      <w:r>
        <w:rPr>
          <w:rFonts w:ascii="Times New Roman" w:eastAsia="Times New Roman" w:hAnsi="Times New Roman" w:cs="Times New Roman"/>
          <w:i/>
          <w:color w:val="000000"/>
          <w:sz w:val="20"/>
          <w:szCs w:val="20"/>
          <w:highlight w:val="white"/>
        </w:rPr>
        <w:t>atau</w:t>
      </w:r>
      <w:proofErr w:type="spellEnd"/>
    </w:p>
    <w:p w14:paraId="00000074" w14:textId="77777777" w:rsidR="00E97409" w:rsidRDefault="007741DD" w:rsidP="00690802">
      <w:pPr>
        <w:numPr>
          <w:ilvl w:val="0"/>
          <w:numId w:val="7"/>
        </w:numPr>
        <w:pBdr>
          <w:top w:val="nil"/>
          <w:left w:val="nil"/>
          <w:bottom w:val="nil"/>
          <w:right w:val="nil"/>
          <w:between w:val="nil"/>
        </w:pBdr>
        <w:spacing w:after="0" w:line="240" w:lineRule="auto"/>
        <w:ind w:left="1287" w:hanging="566"/>
        <w:jc w:val="both"/>
        <w:rPr>
          <w:rFonts w:ascii="Times New Roman" w:eastAsia="Times New Roman" w:hAnsi="Times New Roman" w:cs="Times New Roman"/>
          <w:i/>
          <w:color w:val="000000"/>
          <w:sz w:val="20"/>
          <w:szCs w:val="20"/>
          <w:highlight w:val="white"/>
        </w:rPr>
      </w:pPr>
      <w:r>
        <w:rPr>
          <w:rFonts w:ascii="Times New Roman" w:eastAsia="Times New Roman" w:hAnsi="Times New Roman" w:cs="Times New Roman"/>
          <w:i/>
          <w:color w:val="000000"/>
          <w:sz w:val="20"/>
          <w:szCs w:val="20"/>
          <w:highlight w:val="white"/>
        </w:rPr>
        <w:t xml:space="preserve">yang </w:t>
      </w:r>
      <w:proofErr w:type="spellStart"/>
      <w:r>
        <w:rPr>
          <w:rFonts w:ascii="Times New Roman" w:eastAsia="Times New Roman" w:hAnsi="Times New Roman" w:cs="Times New Roman"/>
          <w:i/>
          <w:color w:val="000000"/>
          <w:sz w:val="20"/>
          <w:szCs w:val="20"/>
          <w:highlight w:val="white"/>
        </w:rPr>
        <w:t>menimbulkan</w:t>
      </w:r>
      <w:proofErr w:type="spellEnd"/>
      <w:r>
        <w:rPr>
          <w:rFonts w:ascii="Times New Roman" w:eastAsia="Times New Roman" w:hAnsi="Times New Roman" w:cs="Times New Roman"/>
          <w:i/>
          <w:color w:val="000000"/>
          <w:sz w:val="20"/>
          <w:szCs w:val="20"/>
          <w:highlight w:val="white"/>
        </w:rPr>
        <w:t xml:space="preserve"> </w:t>
      </w:r>
      <w:proofErr w:type="spellStart"/>
      <w:r>
        <w:rPr>
          <w:rFonts w:ascii="Times New Roman" w:eastAsia="Times New Roman" w:hAnsi="Times New Roman" w:cs="Times New Roman"/>
          <w:i/>
          <w:color w:val="000000"/>
          <w:sz w:val="20"/>
          <w:szCs w:val="20"/>
          <w:highlight w:val="white"/>
        </w:rPr>
        <w:t>isu</w:t>
      </w:r>
      <w:proofErr w:type="spellEnd"/>
      <w:r>
        <w:rPr>
          <w:rFonts w:ascii="Times New Roman" w:eastAsia="Times New Roman" w:hAnsi="Times New Roman" w:cs="Times New Roman"/>
          <w:i/>
          <w:color w:val="000000"/>
          <w:sz w:val="20"/>
          <w:szCs w:val="20"/>
          <w:highlight w:val="white"/>
        </w:rPr>
        <w:t xml:space="preserve"> </w:t>
      </w:r>
      <w:proofErr w:type="spellStart"/>
      <w:r>
        <w:rPr>
          <w:rFonts w:ascii="Times New Roman" w:eastAsia="Times New Roman" w:hAnsi="Times New Roman" w:cs="Times New Roman"/>
          <w:i/>
          <w:color w:val="000000"/>
          <w:sz w:val="20"/>
          <w:szCs w:val="20"/>
          <w:highlight w:val="white"/>
        </w:rPr>
        <w:t>fakta</w:t>
      </w:r>
      <w:proofErr w:type="spellEnd"/>
      <w:r>
        <w:rPr>
          <w:rFonts w:ascii="Times New Roman" w:eastAsia="Times New Roman" w:hAnsi="Times New Roman" w:cs="Times New Roman"/>
          <w:i/>
          <w:color w:val="000000"/>
          <w:sz w:val="20"/>
          <w:szCs w:val="20"/>
          <w:highlight w:val="white"/>
        </w:rPr>
        <w:t xml:space="preserve"> yang </w:t>
      </w:r>
      <w:proofErr w:type="spellStart"/>
      <w:r>
        <w:rPr>
          <w:rFonts w:ascii="Times New Roman" w:eastAsia="Times New Roman" w:hAnsi="Times New Roman" w:cs="Times New Roman"/>
          <w:i/>
          <w:color w:val="000000"/>
          <w:sz w:val="20"/>
          <w:szCs w:val="20"/>
          <w:highlight w:val="white"/>
        </w:rPr>
        <w:t>tidak</w:t>
      </w:r>
      <w:proofErr w:type="spellEnd"/>
      <w:r>
        <w:rPr>
          <w:rFonts w:ascii="Times New Roman" w:eastAsia="Times New Roman" w:hAnsi="Times New Roman" w:cs="Times New Roman"/>
          <w:i/>
          <w:color w:val="000000"/>
          <w:sz w:val="20"/>
          <w:szCs w:val="20"/>
          <w:highlight w:val="white"/>
        </w:rPr>
        <w:t xml:space="preserve"> </w:t>
      </w:r>
      <w:proofErr w:type="spellStart"/>
      <w:r>
        <w:rPr>
          <w:rFonts w:ascii="Times New Roman" w:eastAsia="Times New Roman" w:hAnsi="Times New Roman" w:cs="Times New Roman"/>
          <w:i/>
          <w:color w:val="000000"/>
          <w:sz w:val="20"/>
          <w:szCs w:val="20"/>
          <w:highlight w:val="white"/>
        </w:rPr>
        <w:t>berbangkit</w:t>
      </w:r>
      <w:proofErr w:type="spellEnd"/>
      <w:r>
        <w:rPr>
          <w:rFonts w:ascii="Times New Roman" w:eastAsia="Times New Roman" w:hAnsi="Times New Roman" w:cs="Times New Roman"/>
          <w:i/>
          <w:color w:val="000000"/>
          <w:sz w:val="20"/>
          <w:szCs w:val="20"/>
          <w:highlight w:val="white"/>
        </w:rPr>
        <w:t xml:space="preserve"> </w:t>
      </w:r>
      <w:proofErr w:type="spellStart"/>
      <w:r>
        <w:rPr>
          <w:rFonts w:ascii="Times New Roman" w:eastAsia="Times New Roman" w:hAnsi="Times New Roman" w:cs="Times New Roman"/>
          <w:i/>
          <w:color w:val="000000"/>
          <w:sz w:val="20"/>
          <w:szCs w:val="20"/>
          <w:highlight w:val="white"/>
        </w:rPr>
        <w:t>daripada</w:t>
      </w:r>
      <w:proofErr w:type="spellEnd"/>
      <w:r>
        <w:rPr>
          <w:rFonts w:ascii="Times New Roman" w:eastAsia="Times New Roman" w:hAnsi="Times New Roman" w:cs="Times New Roman"/>
          <w:i/>
          <w:color w:val="000000"/>
          <w:sz w:val="20"/>
          <w:szCs w:val="20"/>
          <w:highlight w:val="white"/>
        </w:rPr>
        <w:t xml:space="preserve"> </w:t>
      </w:r>
      <w:proofErr w:type="spellStart"/>
      <w:r>
        <w:rPr>
          <w:rFonts w:ascii="Times New Roman" w:eastAsia="Times New Roman" w:hAnsi="Times New Roman" w:cs="Times New Roman"/>
          <w:i/>
          <w:color w:val="000000"/>
          <w:sz w:val="20"/>
          <w:szCs w:val="20"/>
          <w:highlight w:val="white"/>
        </w:rPr>
        <w:t>pliding</w:t>
      </w:r>
      <w:proofErr w:type="spellEnd"/>
      <w:r>
        <w:rPr>
          <w:rFonts w:ascii="Times New Roman" w:eastAsia="Times New Roman" w:hAnsi="Times New Roman" w:cs="Times New Roman"/>
          <w:i/>
          <w:color w:val="000000"/>
          <w:sz w:val="20"/>
          <w:szCs w:val="20"/>
          <w:highlight w:val="white"/>
        </w:rPr>
        <w:t xml:space="preserve"> yang </w:t>
      </w:r>
      <w:proofErr w:type="spellStart"/>
      <w:r>
        <w:rPr>
          <w:rFonts w:ascii="Times New Roman" w:eastAsia="Times New Roman" w:hAnsi="Times New Roman" w:cs="Times New Roman"/>
          <w:i/>
          <w:color w:val="000000"/>
          <w:sz w:val="20"/>
          <w:szCs w:val="20"/>
          <w:highlight w:val="white"/>
        </w:rPr>
        <w:t>sebelumnya</w:t>
      </w:r>
      <w:proofErr w:type="spellEnd"/>
      <w:r>
        <w:rPr>
          <w:rFonts w:ascii="Times New Roman" w:eastAsia="Times New Roman" w:hAnsi="Times New Roman" w:cs="Times New Roman"/>
          <w:i/>
          <w:color w:val="000000"/>
          <w:sz w:val="20"/>
          <w:szCs w:val="20"/>
          <w:highlight w:val="white"/>
        </w:rPr>
        <w:t>.”</w:t>
      </w:r>
      <w:r>
        <w:rPr>
          <w:rFonts w:ascii="Times New Roman" w:eastAsia="Times New Roman" w:hAnsi="Times New Roman" w:cs="Times New Roman"/>
          <w:i/>
          <w:color w:val="000000"/>
          <w:sz w:val="20"/>
          <w:szCs w:val="20"/>
          <w:highlight w:val="white"/>
          <w:vertAlign w:val="superscript"/>
        </w:rPr>
        <w:footnoteReference w:id="35"/>
      </w:r>
      <w:r>
        <w:rPr>
          <w:rFonts w:ascii="Times New Roman" w:eastAsia="Times New Roman" w:hAnsi="Times New Roman" w:cs="Times New Roman"/>
          <w:i/>
          <w:color w:val="000000"/>
          <w:sz w:val="20"/>
          <w:szCs w:val="20"/>
          <w:highlight w:val="white"/>
        </w:rPr>
        <w:t xml:space="preserve"> </w:t>
      </w:r>
    </w:p>
    <w:p w14:paraId="00000075" w14:textId="77777777" w:rsidR="00E97409" w:rsidRDefault="00E97409" w:rsidP="00690802">
      <w:pPr>
        <w:pBdr>
          <w:top w:val="nil"/>
          <w:left w:val="nil"/>
          <w:bottom w:val="nil"/>
          <w:right w:val="nil"/>
          <w:between w:val="nil"/>
        </w:pBdr>
        <w:spacing w:line="240" w:lineRule="auto"/>
        <w:ind w:left="567"/>
        <w:jc w:val="both"/>
        <w:rPr>
          <w:rFonts w:ascii="Times New Roman" w:eastAsia="Times New Roman" w:hAnsi="Times New Roman" w:cs="Times New Roman"/>
          <w:i/>
          <w:color w:val="000000"/>
          <w:sz w:val="20"/>
          <w:szCs w:val="20"/>
          <w:highlight w:val="white"/>
        </w:rPr>
      </w:pPr>
    </w:p>
    <w:p w14:paraId="00000076" w14:textId="77777777" w:rsidR="00E97409" w:rsidRDefault="007741DD" w:rsidP="00690802">
      <w:pPr>
        <w:spacing w:line="240" w:lineRule="auto"/>
        <w:ind w:firstLine="567"/>
        <w:jc w:val="both"/>
        <w:rPr>
          <w:rFonts w:ascii="Times New Roman" w:eastAsia="Times New Roman" w:hAnsi="Times New Roman" w:cs="Times New Roman"/>
          <w:sz w:val="24"/>
          <w:szCs w:val="24"/>
          <w:highlight w:val="white"/>
        </w:rPr>
      </w:pPr>
      <w:proofErr w:type="spellStart"/>
      <w:r>
        <w:rPr>
          <w:rFonts w:ascii="Times New Roman" w:eastAsia="Times New Roman" w:hAnsi="Times New Roman" w:cs="Times New Roman"/>
          <w:sz w:val="24"/>
          <w:szCs w:val="24"/>
          <w:highlight w:val="white"/>
        </w:rPr>
        <w:t>Secara</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amnya</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perkara</w:t>
      </w:r>
      <w:proofErr w:type="spellEnd"/>
      <w:r>
        <w:rPr>
          <w:rFonts w:ascii="Times New Roman" w:eastAsia="Times New Roman" w:hAnsi="Times New Roman" w:cs="Times New Roman"/>
          <w:sz w:val="24"/>
          <w:szCs w:val="24"/>
          <w:highlight w:val="white"/>
        </w:rPr>
        <w:t xml:space="preserve"> yang </w:t>
      </w:r>
      <w:proofErr w:type="spellStart"/>
      <w:r>
        <w:rPr>
          <w:rFonts w:ascii="Times New Roman" w:eastAsia="Times New Roman" w:hAnsi="Times New Roman" w:cs="Times New Roman"/>
          <w:sz w:val="24"/>
          <w:szCs w:val="24"/>
          <w:highlight w:val="white"/>
        </w:rPr>
        <w:t>perlu</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dirayu</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dengan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khusus</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dalam</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suatu</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pernyataan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tuntutan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ialah</w:t>
      </w:r>
      <w:proofErr w:type="spellEnd"/>
      <w:r>
        <w:rPr>
          <w:rFonts w:ascii="Times New Roman" w:eastAsia="Times New Roman" w:hAnsi="Times New Roman" w:cs="Times New Roman"/>
          <w:sz w:val="24"/>
          <w:szCs w:val="24"/>
          <w:highlight w:val="white"/>
        </w:rPr>
        <w:t xml:space="preserve">: - </w:t>
      </w:r>
      <w:proofErr w:type="spellStart"/>
      <w:r>
        <w:rPr>
          <w:rFonts w:ascii="Times New Roman" w:eastAsia="Times New Roman" w:hAnsi="Times New Roman" w:cs="Times New Roman"/>
          <w:sz w:val="24"/>
          <w:szCs w:val="24"/>
          <w:highlight w:val="white"/>
        </w:rPr>
        <w:t>i</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Perlaksanaan</w:t>
      </w:r>
      <w:proofErr w:type="spellEnd"/>
      <w:r>
        <w:rPr>
          <w:rFonts w:ascii="Times New Roman" w:eastAsia="Times New Roman" w:hAnsi="Times New Roman" w:cs="Times New Roman"/>
          <w:sz w:val="24"/>
          <w:szCs w:val="24"/>
          <w:highlight w:val="white"/>
        </w:rPr>
        <w:t xml:space="preserve">; ii) </w:t>
      </w:r>
      <w:proofErr w:type="spellStart"/>
      <w:r>
        <w:rPr>
          <w:rFonts w:ascii="Times New Roman" w:eastAsia="Times New Roman" w:hAnsi="Times New Roman" w:cs="Times New Roman"/>
          <w:sz w:val="24"/>
          <w:szCs w:val="24"/>
          <w:highlight w:val="white"/>
        </w:rPr>
        <w:t>Pelepasan</w:t>
      </w:r>
      <w:proofErr w:type="spellEnd"/>
      <w:r>
        <w:rPr>
          <w:rFonts w:ascii="Times New Roman" w:eastAsia="Times New Roman" w:hAnsi="Times New Roman" w:cs="Times New Roman"/>
          <w:sz w:val="24"/>
          <w:szCs w:val="24"/>
          <w:highlight w:val="white"/>
        </w:rPr>
        <w:t xml:space="preserve">; iii) </w:t>
      </w:r>
      <w:proofErr w:type="spellStart"/>
      <w:r>
        <w:rPr>
          <w:rFonts w:ascii="Times New Roman" w:eastAsia="Times New Roman" w:hAnsi="Times New Roman" w:cs="Times New Roman"/>
          <w:sz w:val="24"/>
          <w:szCs w:val="24"/>
          <w:highlight w:val="white"/>
        </w:rPr>
        <w:t>Apa-apa</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statut</w:t>
      </w:r>
      <w:proofErr w:type="spellEnd"/>
      <w:r>
        <w:rPr>
          <w:rFonts w:ascii="Times New Roman" w:eastAsia="Times New Roman" w:hAnsi="Times New Roman" w:cs="Times New Roman"/>
          <w:sz w:val="24"/>
          <w:szCs w:val="24"/>
          <w:highlight w:val="white"/>
        </w:rPr>
        <w:t xml:space="preserve"> had masa yang </w:t>
      </w:r>
      <w:proofErr w:type="spellStart"/>
      <w:r>
        <w:rPr>
          <w:rFonts w:ascii="Times New Roman" w:eastAsia="Times New Roman" w:hAnsi="Times New Roman" w:cs="Times New Roman"/>
          <w:sz w:val="24"/>
          <w:szCs w:val="24"/>
          <w:highlight w:val="white"/>
        </w:rPr>
        <w:t>relevan</w:t>
      </w:r>
      <w:proofErr w:type="spellEnd"/>
      <w:r>
        <w:rPr>
          <w:rFonts w:ascii="Times New Roman" w:eastAsia="Times New Roman" w:hAnsi="Times New Roman" w:cs="Times New Roman"/>
          <w:sz w:val="24"/>
          <w:szCs w:val="24"/>
          <w:highlight w:val="white"/>
        </w:rPr>
        <w:t xml:space="preserve">; iv) Fraud; dan v) </w:t>
      </w:r>
      <w:proofErr w:type="spellStart"/>
      <w:r>
        <w:rPr>
          <w:rFonts w:ascii="Times New Roman" w:eastAsia="Times New Roman" w:hAnsi="Times New Roman" w:cs="Times New Roman"/>
          <w:sz w:val="24"/>
          <w:szCs w:val="24"/>
          <w:highlight w:val="white"/>
        </w:rPr>
        <w:t>Apa-apa</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fakta</w:t>
      </w:r>
      <w:proofErr w:type="spellEnd"/>
      <w:r>
        <w:rPr>
          <w:rFonts w:ascii="Times New Roman" w:eastAsia="Times New Roman" w:hAnsi="Times New Roman" w:cs="Times New Roman"/>
          <w:sz w:val="24"/>
          <w:szCs w:val="24"/>
          <w:highlight w:val="white"/>
        </w:rPr>
        <w:t xml:space="preserve"> yang </w:t>
      </w:r>
      <w:proofErr w:type="spellStart"/>
      <w:r>
        <w:rPr>
          <w:rFonts w:ascii="Times New Roman" w:eastAsia="Times New Roman" w:hAnsi="Times New Roman" w:cs="Times New Roman"/>
          <w:sz w:val="24"/>
          <w:szCs w:val="24"/>
          <w:highlight w:val="white"/>
        </w:rPr>
        <w:t>menunjukkan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kepenyalahan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undang-undang</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Walau</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bagaimanapun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daripada</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bacaan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secara</w:t>
      </w:r>
      <w:proofErr w:type="spellEnd"/>
      <w:r>
        <w:rPr>
          <w:rFonts w:ascii="Times New Roman" w:eastAsia="Times New Roman" w:hAnsi="Times New Roman" w:cs="Times New Roman"/>
          <w:sz w:val="24"/>
          <w:szCs w:val="24"/>
          <w:highlight w:val="white"/>
        </w:rPr>
        <w:t xml:space="preserve"> literal </w:t>
      </w:r>
      <w:proofErr w:type="spellStart"/>
      <w:r>
        <w:rPr>
          <w:rFonts w:ascii="Times New Roman" w:eastAsia="Times New Roman" w:hAnsi="Times New Roman" w:cs="Times New Roman"/>
          <w:sz w:val="24"/>
          <w:szCs w:val="24"/>
          <w:highlight w:val="white"/>
        </w:rPr>
        <w:t>Aturan</w:t>
      </w:r>
      <w:proofErr w:type="spellEnd"/>
      <w:r>
        <w:rPr>
          <w:rFonts w:ascii="Times New Roman" w:eastAsia="Times New Roman" w:hAnsi="Times New Roman" w:cs="Times New Roman"/>
          <w:sz w:val="24"/>
          <w:szCs w:val="24"/>
          <w:highlight w:val="white"/>
        </w:rPr>
        <w:t xml:space="preserve"> 18 </w:t>
      </w:r>
      <w:proofErr w:type="spellStart"/>
      <w:r>
        <w:rPr>
          <w:rFonts w:ascii="Times New Roman" w:eastAsia="Times New Roman" w:hAnsi="Times New Roman" w:cs="Times New Roman"/>
          <w:sz w:val="24"/>
          <w:szCs w:val="24"/>
          <w:highlight w:val="white"/>
        </w:rPr>
        <w:t>Kaedah</w:t>
      </w:r>
      <w:proofErr w:type="spellEnd"/>
      <w:r>
        <w:rPr>
          <w:rFonts w:ascii="Times New Roman" w:eastAsia="Times New Roman" w:hAnsi="Times New Roman" w:cs="Times New Roman"/>
          <w:sz w:val="24"/>
          <w:szCs w:val="24"/>
          <w:highlight w:val="white"/>
        </w:rPr>
        <w:t xml:space="preserve"> 8(1) KKM, </w:t>
      </w:r>
      <w:proofErr w:type="spellStart"/>
      <w:r>
        <w:rPr>
          <w:rFonts w:ascii="Times New Roman" w:eastAsia="Times New Roman" w:hAnsi="Times New Roman" w:cs="Times New Roman"/>
          <w:sz w:val="24"/>
          <w:szCs w:val="24"/>
          <w:highlight w:val="white"/>
        </w:rPr>
        <w:t>senarai</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perkara</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tersebut</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adalah</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lastRenderedPageBreak/>
        <w:t>tidak</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menyeluruh</w:t>
      </w:r>
      <w:proofErr w:type="spellEnd"/>
      <w:r>
        <w:rPr>
          <w:rFonts w:ascii="Times New Roman" w:eastAsia="Times New Roman" w:hAnsi="Times New Roman" w:cs="Times New Roman"/>
          <w:sz w:val="24"/>
          <w:szCs w:val="24"/>
          <w:highlight w:val="white"/>
        </w:rPr>
        <w:t xml:space="preserve"> dan </w:t>
      </w:r>
      <w:proofErr w:type="spellStart"/>
      <w:r>
        <w:rPr>
          <w:rFonts w:ascii="Times New Roman" w:eastAsia="Times New Roman" w:hAnsi="Times New Roman" w:cs="Times New Roman"/>
          <w:sz w:val="24"/>
          <w:szCs w:val="24"/>
          <w:highlight w:val="white"/>
        </w:rPr>
        <w:t>tidak</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terhad</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kepada</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perkara-perkara</w:t>
      </w:r>
      <w:proofErr w:type="spellEnd"/>
      <w:r>
        <w:rPr>
          <w:rFonts w:ascii="Times New Roman" w:eastAsia="Times New Roman" w:hAnsi="Times New Roman" w:cs="Times New Roman"/>
          <w:sz w:val="24"/>
          <w:szCs w:val="24"/>
          <w:highlight w:val="white"/>
        </w:rPr>
        <w:t xml:space="preserve"> yang </w:t>
      </w:r>
      <w:proofErr w:type="spellStart"/>
      <w:r>
        <w:rPr>
          <w:rFonts w:ascii="Times New Roman" w:eastAsia="Times New Roman" w:hAnsi="Times New Roman" w:cs="Times New Roman"/>
          <w:sz w:val="24"/>
          <w:szCs w:val="24"/>
          <w:highlight w:val="white"/>
        </w:rPr>
        <w:t>dinyatakan</w:t>
      </w:r>
      <w:proofErr w:type="spellEnd"/>
      <w:r>
        <w:rPr>
          <w:rFonts w:ascii="Times New Roman" w:eastAsia="Times New Roman" w:hAnsi="Times New Roman" w:cs="Times New Roman"/>
          <w:sz w:val="24"/>
          <w:szCs w:val="24"/>
          <w:highlight w:val="white"/>
        </w:rPr>
        <w:t xml:space="preserve">. Antara </w:t>
      </w:r>
      <w:proofErr w:type="spellStart"/>
      <w:r>
        <w:rPr>
          <w:rFonts w:ascii="Times New Roman" w:eastAsia="Times New Roman" w:hAnsi="Times New Roman" w:cs="Times New Roman"/>
          <w:sz w:val="24"/>
          <w:szCs w:val="24"/>
          <w:highlight w:val="white"/>
        </w:rPr>
        <w:t>contoh</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perkara</w:t>
      </w:r>
      <w:proofErr w:type="spellEnd"/>
      <w:r>
        <w:rPr>
          <w:rFonts w:ascii="Times New Roman" w:eastAsia="Times New Roman" w:hAnsi="Times New Roman" w:cs="Times New Roman"/>
          <w:sz w:val="24"/>
          <w:szCs w:val="24"/>
          <w:highlight w:val="white"/>
        </w:rPr>
        <w:t xml:space="preserve"> yang juga </w:t>
      </w:r>
      <w:proofErr w:type="spellStart"/>
      <w:r>
        <w:rPr>
          <w:rFonts w:ascii="Times New Roman" w:eastAsia="Times New Roman" w:hAnsi="Times New Roman" w:cs="Times New Roman"/>
          <w:sz w:val="24"/>
          <w:szCs w:val="24"/>
          <w:highlight w:val="white"/>
        </w:rPr>
        <w:t>perlu</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dirayu</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adalah</w:t>
      </w:r>
      <w:proofErr w:type="spellEnd"/>
      <w:r>
        <w:rPr>
          <w:rFonts w:ascii="Times New Roman" w:eastAsia="Times New Roman" w:hAnsi="Times New Roman" w:cs="Times New Roman"/>
          <w:sz w:val="24"/>
          <w:szCs w:val="24"/>
          <w:highlight w:val="white"/>
        </w:rPr>
        <w:t>: -</w:t>
      </w:r>
    </w:p>
    <w:p w14:paraId="00000077" w14:textId="77777777" w:rsidR="00E97409" w:rsidRDefault="007741DD" w:rsidP="00690802">
      <w:pPr>
        <w:numPr>
          <w:ilvl w:val="0"/>
          <w:numId w:val="1"/>
        </w:numPr>
        <w:pBdr>
          <w:top w:val="nil"/>
          <w:left w:val="nil"/>
          <w:bottom w:val="nil"/>
          <w:right w:val="nil"/>
          <w:between w:val="nil"/>
        </w:pBdr>
        <w:spacing w:after="0" w:line="240" w:lineRule="auto"/>
        <w:ind w:left="567" w:hanging="567"/>
        <w:jc w:val="both"/>
        <w:rPr>
          <w:rFonts w:ascii="Times New Roman" w:eastAsia="Times New Roman" w:hAnsi="Times New Roman" w:cs="Times New Roman"/>
          <w:color w:val="000000"/>
          <w:sz w:val="24"/>
          <w:szCs w:val="24"/>
          <w:highlight w:val="white"/>
        </w:rPr>
      </w:pPr>
      <w:bookmarkStart w:id="2" w:name="_heading=h.1fob9te" w:colFirst="0" w:colLast="0"/>
      <w:bookmarkEnd w:id="2"/>
      <w:r>
        <w:rPr>
          <w:rFonts w:ascii="Times New Roman" w:eastAsia="Times New Roman" w:hAnsi="Times New Roman" w:cs="Times New Roman"/>
          <w:b/>
          <w:color w:val="000000"/>
          <w:sz w:val="24"/>
          <w:szCs w:val="24"/>
          <w:highlight w:val="white"/>
        </w:rPr>
        <w:t xml:space="preserve">Fitnah </w:t>
      </w:r>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Dalam</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suatu</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kes</w:t>
      </w:r>
      <w:proofErr w:type="spellEnd"/>
      <w:r>
        <w:rPr>
          <w:rFonts w:ascii="Times New Roman" w:eastAsia="Times New Roman" w:hAnsi="Times New Roman" w:cs="Times New Roman"/>
          <w:color w:val="000000"/>
          <w:sz w:val="24"/>
          <w:szCs w:val="24"/>
          <w:highlight w:val="white"/>
        </w:rPr>
        <w:t xml:space="preserve"> fitnah, </w:t>
      </w:r>
      <w:proofErr w:type="spellStart"/>
      <w:r>
        <w:rPr>
          <w:rFonts w:ascii="Times New Roman" w:eastAsia="Times New Roman" w:hAnsi="Times New Roman" w:cs="Times New Roman"/>
          <w:color w:val="000000"/>
          <w:sz w:val="24"/>
          <w:szCs w:val="24"/>
          <w:highlight w:val="white"/>
        </w:rPr>
        <w:t>pihak-pihak</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perlu</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memberikan</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maklumat</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penuh</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seperti</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fakta</w:t>
      </w:r>
      <w:proofErr w:type="spellEnd"/>
      <w:r>
        <w:rPr>
          <w:rFonts w:ascii="Times New Roman" w:eastAsia="Times New Roman" w:hAnsi="Times New Roman" w:cs="Times New Roman"/>
          <w:color w:val="000000"/>
          <w:sz w:val="24"/>
          <w:szCs w:val="24"/>
          <w:highlight w:val="white"/>
        </w:rPr>
        <w:t xml:space="preserve"> dan mana-mana </w:t>
      </w:r>
      <w:proofErr w:type="spellStart"/>
      <w:r>
        <w:rPr>
          <w:rFonts w:ascii="Times New Roman" w:eastAsia="Times New Roman" w:hAnsi="Times New Roman" w:cs="Times New Roman"/>
          <w:color w:val="000000"/>
          <w:sz w:val="24"/>
          <w:szCs w:val="24"/>
          <w:highlight w:val="white"/>
        </w:rPr>
        <w:t>perkara</w:t>
      </w:r>
      <w:proofErr w:type="spellEnd"/>
      <w:r>
        <w:rPr>
          <w:rFonts w:ascii="Times New Roman" w:eastAsia="Times New Roman" w:hAnsi="Times New Roman" w:cs="Times New Roman"/>
          <w:color w:val="000000"/>
          <w:sz w:val="24"/>
          <w:szCs w:val="24"/>
          <w:highlight w:val="white"/>
        </w:rPr>
        <w:t xml:space="preserve"> yang </w:t>
      </w:r>
      <w:proofErr w:type="spellStart"/>
      <w:r>
        <w:rPr>
          <w:rFonts w:ascii="Times New Roman" w:eastAsia="Times New Roman" w:hAnsi="Times New Roman" w:cs="Times New Roman"/>
          <w:color w:val="000000"/>
          <w:sz w:val="24"/>
          <w:szCs w:val="24"/>
          <w:highlight w:val="white"/>
        </w:rPr>
        <w:t>yang</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dia</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sandarkan</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untuk</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menyokong</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tuntutannya</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dalam</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pernyataan</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tuntutan</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Rujukan</w:t>
      </w:r>
      <w:proofErr w:type="spellEnd"/>
      <w:r>
        <w:rPr>
          <w:rFonts w:ascii="Times New Roman" w:eastAsia="Times New Roman" w:hAnsi="Times New Roman" w:cs="Times New Roman"/>
          <w:color w:val="000000"/>
          <w:sz w:val="24"/>
          <w:szCs w:val="24"/>
          <w:highlight w:val="white"/>
        </w:rPr>
        <w:t xml:space="preserve"> juga </w:t>
      </w:r>
      <w:proofErr w:type="spellStart"/>
      <w:r>
        <w:rPr>
          <w:rFonts w:ascii="Times New Roman" w:eastAsia="Times New Roman" w:hAnsi="Times New Roman" w:cs="Times New Roman"/>
          <w:color w:val="000000"/>
          <w:sz w:val="24"/>
          <w:szCs w:val="24"/>
          <w:highlight w:val="white"/>
        </w:rPr>
        <w:t>boleh</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dibuat</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kepada</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Aturan</w:t>
      </w:r>
      <w:proofErr w:type="spellEnd"/>
      <w:r>
        <w:rPr>
          <w:rFonts w:ascii="Times New Roman" w:eastAsia="Times New Roman" w:hAnsi="Times New Roman" w:cs="Times New Roman"/>
          <w:color w:val="000000"/>
          <w:sz w:val="24"/>
          <w:szCs w:val="24"/>
          <w:highlight w:val="white"/>
        </w:rPr>
        <w:t xml:space="preserve"> 78 </w:t>
      </w:r>
      <w:proofErr w:type="spellStart"/>
      <w:r>
        <w:rPr>
          <w:rFonts w:ascii="Times New Roman" w:eastAsia="Times New Roman" w:hAnsi="Times New Roman" w:cs="Times New Roman"/>
          <w:color w:val="000000"/>
          <w:sz w:val="24"/>
          <w:szCs w:val="24"/>
          <w:highlight w:val="white"/>
        </w:rPr>
        <w:t>Kaedah</w:t>
      </w:r>
      <w:proofErr w:type="spellEnd"/>
      <w:r>
        <w:rPr>
          <w:rFonts w:ascii="Times New Roman" w:eastAsia="Times New Roman" w:hAnsi="Times New Roman" w:cs="Times New Roman"/>
          <w:color w:val="000000"/>
          <w:sz w:val="24"/>
          <w:szCs w:val="24"/>
          <w:highlight w:val="white"/>
        </w:rPr>
        <w:t xml:space="preserve"> 3 KKM yang </w:t>
      </w:r>
      <w:proofErr w:type="spellStart"/>
      <w:r>
        <w:rPr>
          <w:rFonts w:ascii="Times New Roman" w:eastAsia="Times New Roman" w:hAnsi="Times New Roman" w:cs="Times New Roman"/>
          <w:color w:val="000000"/>
          <w:sz w:val="24"/>
          <w:szCs w:val="24"/>
          <w:highlight w:val="white"/>
        </w:rPr>
        <w:t>menyenaraikan</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obligasi</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pihak-pihak</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untuk</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memplidkan</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perkara</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Menurut</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kes</w:t>
      </w:r>
      <w:proofErr w:type="spellEnd"/>
      <w:r>
        <w:rPr>
          <w:rFonts w:ascii="Times New Roman" w:eastAsia="Times New Roman" w:hAnsi="Times New Roman" w:cs="Times New Roman"/>
          <w:color w:val="000000"/>
          <w:sz w:val="24"/>
          <w:szCs w:val="24"/>
          <w:highlight w:val="white"/>
        </w:rPr>
        <w:t xml:space="preserve"> </w:t>
      </w:r>
      <w:r>
        <w:rPr>
          <w:rFonts w:ascii="Times New Roman" w:eastAsia="Times New Roman" w:hAnsi="Times New Roman" w:cs="Times New Roman"/>
          <w:b/>
          <w:i/>
          <w:color w:val="000000"/>
          <w:sz w:val="24"/>
          <w:szCs w:val="24"/>
          <w:highlight w:val="white"/>
        </w:rPr>
        <w:t xml:space="preserve">Belt v </w:t>
      </w:r>
      <w:proofErr w:type="spellStart"/>
      <w:r>
        <w:rPr>
          <w:rFonts w:ascii="Times New Roman" w:eastAsia="Times New Roman" w:hAnsi="Times New Roman" w:cs="Times New Roman"/>
          <w:b/>
          <w:i/>
          <w:color w:val="000000"/>
          <w:sz w:val="24"/>
          <w:szCs w:val="24"/>
          <w:highlight w:val="white"/>
        </w:rPr>
        <w:t>Lawles</w:t>
      </w:r>
      <w:proofErr w:type="spellEnd"/>
      <w:r>
        <w:rPr>
          <w:rFonts w:ascii="Times New Roman" w:eastAsia="Times New Roman" w:hAnsi="Times New Roman" w:cs="Times New Roman"/>
          <w:color w:val="000000"/>
          <w:sz w:val="24"/>
          <w:szCs w:val="24"/>
          <w:highlight w:val="white"/>
          <w:vertAlign w:val="superscript"/>
        </w:rPr>
        <w:footnoteReference w:id="36"/>
      </w:r>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seorang</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defendan</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perlu</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memplidkan</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pembelaan</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justifikasi</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atau</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keadaan</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berperlindungan</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bersyarat</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secara</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khusus</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Defendan</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tidak</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boleh</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hanya</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menyangkal</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perkataan</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palsu</w:t>
      </w:r>
      <w:proofErr w:type="spellEnd"/>
      <w:r>
        <w:rPr>
          <w:rFonts w:ascii="Times New Roman" w:eastAsia="Times New Roman" w:hAnsi="Times New Roman" w:cs="Times New Roman"/>
          <w:color w:val="000000"/>
          <w:sz w:val="24"/>
          <w:szCs w:val="24"/>
          <w:highlight w:val="white"/>
        </w:rPr>
        <w:t xml:space="preserve"> dan </w:t>
      </w:r>
      <w:proofErr w:type="spellStart"/>
      <w:r>
        <w:rPr>
          <w:rFonts w:ascii="Times New Roman" w:eastAsia="Times New Roman" w:hAnsi="Times New Roman" w:cs="Times New Roman"/>
          <w:color w:val="000000"/>
          <w:sz w:val="24"/>
          <w:szCs w:val="24"/>
          <w:highlight w:val="white"/>
        </w:rPr>
        <w:t>berniat</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jahat</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dalam</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pernyataan</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tuntutan</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Dalam</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kes</w:t>
      </w:r>
      <w:proofErr w:type="spellEnd"/>
      <w:r>
        <w:rPr>
          <w:rFonts w:ascii="Times New Roman" w:eastAsia="Times New Roman" w:hAnsi="Times New Roman" w:cs="Times New Roman"/>
          <w:color w:val="000000"/>
          <w:sz w:val="24"/>
          <w:szCs w:val="24"/>
          <w:highlight w:val="white"/>
        </w:rPr>
        <w:t xml:space="preserve"> </w:t>
      </w:r>
      <w:r>
        <w:rPr>
          <w:rFonts w:ascii="Times New Roman" w:eastAsia="Times New Roman" w:hAnsi="Times New Roman" w:cs="Times New Roman"/>
          <w:b/>
          <w:i/>
          <w:color w:val="000000"/>
          <w:sz w:val="24"/>
          <w:szCs w:val="24"/>
          <w:highlight w:val="white"/>
        </w:rPr>
        <w:t xml:space="preserve">Tan Seng </w:t>
      </w:r>
      <w:proofErr w:type="spellStart"/>
      <w:r>
        <w:rPr>
          <w:rFonts w:ascii="Times New Roman" w:eastAsia="Times New Roman" w:hAnsi="Times New Roman" w:cs="Times New Roman"/>
          <w:b/>
          <w:i/>
          <w:color w:val="000000"/>
          <w:sz w:val="24"/>
          <w:szCs w:val="24"/>
          <w:highlight w:val="white"/>
        </w:rPr>
        <w:t>Hin</w:t>
      </w:r>
      <w:proofErr w:type="spellEnd"/>
      <w:r>
        <w:rPr>
          <w:rFonts w:ascii="Times New Roman" w:eastAsia="Times New Roman" w:hAnsi="Times New Roman" w:cs="Times New Roman"/>
          <w:b/>
          <w:i/>
          <w:color w:val="000000"/>
          <w:sz w:val="24"/>
          <w:szCs w:val="24"/>
          <w:highlight w:val="white"/>
        </w:rPr>
        <w:t xml:space="preserve"> v Editor of ‘See Hua Daily News’</w:t>
      </w:r>
      <w:r>
        <w:rPr>
          <w:rFonts w:ascii="Times New Roman" w:eastAsia="Times New Roman" w:hAnsi="Times New Roman" w:cs="Times New Roman"/>
          <w:color w:val="000000"/>
          <w:sz w:val="24"/>
          <w:szCs w:val="24"/>
          <w:highlight w:val="white"/>
          <w:vertAlign w:val="superscript"/>
        </w:rPr>
        <w:footnoteReference w:id="37"/>
      </w:r>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mahkamah</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telah</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mendapati</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bahawa</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pliding</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gagal</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untuk</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memenuhi</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tatacara</w:t>
      </w:r>
      <w:proofErr w:type="spellEnd"/>
      <w:r>
        <w:rPr>
          <w:rFonts w:ascii="Times New Roman" w:eastAsia="Times New Roman" w:hAnsi="Times New Roman" w:cs="Times New Roman"/>
          <w:color w:val="000000"/>
          <w:sz w:val="24"/>
          <w:szCs w:val="24"/>
          <w:highlight w:val="white"/>
        </w:rPr>
        <w:t xml:space="preserve"> yang </w:t>
      </w:r>
      <w:proofErr w:type="spellStart"/>
      <w:r>
        <w:rPr>
          <w:rFonts w:ascii="Times New Roman" w:eastAsia="Times New Roman" w:hAnsi="Times New Roman" w:cs="Times New Roman"/>
          <w:color w:val="000000"/>
          <w:sz w:val="24"/>
          <w:szCs w:val="24"/>
          <w:highlight w:val="white"/>
        </w:rPr>
        <w:t>perlu</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dipatuhi</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berkenaan</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dengan</w:t>
      </w:r>
      <w:proofErr w:type="spellEnd"/>
      <w:r>
        <w:rPr>
          <w:rFonts w:ascii="Times New Roman" w:eastAsia="Times New Roman" w:hAnsi="Times New Roman" w:cs="Times New Roman"/>
          <w:color w:val="000000"/>
          <w:sz w:val="24"/>
          <w:szCs w:val="24"/>
          <w:highlight w:val="white"/>
        </w:rPr>
        <w:t xml:space="preserve"> saman fitnah dan </w:t>
      </w:r>
      <w:proofErr w:type="spellStart"/>
      <w:r>
        <w:rPr>
          <w:rFonts w:ascii="Times New Roman" w:eastAsia="Times New Roman" w:hAnsi="Times New Roman" w:cs="Times New Roman"/>
          <w:color w:val="000000"/>
          <w:sz w:val="24"/>
          <w:szCs w:val="24"/>
          <w:highlight w:val="white"/>
        </w:rPr>
        <w:t>indorsmen</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Mahkamah</w:t>
      </w:r>
      <w:proofErr w:type="spellEnd"/>
      <w:r>
        <w:rPr>
          <w:rFonts w:ascii="Times New Roman" w:eastAsia="Times New Roman" w:hAnsi="Times New Roman" w:cs="Times New Roman"/>
          <w:color w:val="000000"/>
          <w:sz w:val="24"/>
          <w:szCs w:val="24"/>
          <w:highlight w:val="white"/>
        </w:rPr>
        <w:t xml:space="preserve"> juga </w:t>
      </w:r>
      <w:proofErr w:type="spellStart"/>
      <w:r>
        <w:rPr>
          <w:rFonts w:ascii="Times New Roman" w:eastAsia="Times New Roman" w:hAnsi="Times New Roman" w:cs="Times New Roman"/>
          <w:color w:val="000000"/>
          <w:sz w:val="24"/>
          <w:szCs w:val="24"/>
          <w:highlight w:val="white"/>
        </w:rPr>
        <w:t>gagal</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untuk</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mengenal</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pasti</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secara</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jelas</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fakta</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mengikut</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undang-undang</w:t>
      </w:r>
      <w:proofErr w:type="spellEnd"/>
      <w:r>
        <w:rPr>
          <w:rFonts w:ascii="Times New Roman" w:eastAsia="Times New Roman" w:hAnsi="Times New Roman" w:cs="Times New Roman"/>
          <w:color w:val="000000"/>
          <w:sz w:val="24"/>
          <w:szCs w:val="24"/>
          <w:highlight w:val="white"/>
        </w:rPr>
        <w:t xml:space="preserve"> yang </w:t>
      </w:r>
      <w:proofErr w:type="spellStart"/>
      <w:r>
        <w:rPr>
          <w:rFonts w:ascii="Times New Roman" w:eastAsia="Times New Roman" w:hAnsi="Times New Roman" w:cs="Times New Roman"/>
          <w:color w:val="000000"/>
          <w:sz w:val="24"/>
          <w:szCs w:val="24"/>
          <w:highlight w:val="white"/>
        </w:rPr>
        <w:t>perlu</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dibuktikan</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dalam</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pliding</w:t>
      </w:r>
      <w:proofErr w:type="spellEnd"/>
      <w:r>
        <w:rPr>
          <w:rFonts w:ascii="Times New Roman" w:eastAsia="Times New Roman" w:hAnsi="Times New Roman" w:cs="Times New Roman"/>
          <w:color w:val="000000"/>
          <w:sz w:val="24"/>
          <w:szCs w:val="24"/>
          <w:highlight w:val="white"/>
        </w:rPr>
        <w:t xml:space="preserve"> yang </w:t>
      </w:r>
      <w:proofErr w:type="spellStart"/>
      <w:r>
        <w:rPr>
          <w:rFonts w:ascii="Times New Roman" w:eastAsia="Times New Roman" w:hAnsi="Times New Roman" w:cs="Times New Roman"/>
          <w:color w:val="000000"/>
          <w:sz w:val="24"/>
          <w:szCs w:val="24"/>
          <w:highlight w:val="white"/>
        </w:rPr>
        <w:t>merupakan</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suatu</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keperluan</w:t>
      </w:r>
      <w:proofErr w:type="spellEnd"/>
      <w:r>
        <w:rPr>
          <w:rFonts w:ascii="Times New Roman" w:eastAsia="Times New Roman" w:hAnsi="Times New Roman" w:cs="Times New Roman"/>
          <w:color w:val="000000"/>
          <w:sz w:val="24"/>
          <w:szCs w:val="24"/>
          <w:highlight w:val="white"/>
        </w:rPr>
        <w:t xml:space="preserve"> di </w:t>
      </w:r>
      <w:proofErr w:type="spellStart"/>
      <w:r>
        <w:rPr>
          <w:rFonts w:ascii="Times New Roman" w:eastAsia="Times New Roman" w:hAnsi="Times New Roman" w:cs="Times New Roman"/>
          <w:color w:val="000000"/>
          <w:sz w:val="24"/>
          <w:szCs w:val="24"/>
          <w:highlight w:val="white"/>
        </w:rPr>
        <w:t>bawah</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Aturan</w:t>
      </w:r>
      <w:proofErr w:type="spellEnd"/>
      <w:r>
        <w:rPr>
          <w:rFonts w:ascii="Times New Roman" w:eastAsia="Times New Roman" w:hAnsi="Times New Roman" w:cs="Times New Roman"/>
          <w:color w:val="000000"/>
          <w:sz w:val="24"/>
          <w:szCs w:val="24"/>
          <w:highlight w:val="white"/>
        </w:rPr>
        <w:t xml:space="preserve"> 78 </w:t>
      </w:r>
      <w:proofErr w:type="spellStart"/>
      <w:r>
        <w:rPr>
          <w:rFonts w:ascii="Times New Roman" w:eastAsia="Times New Roman" w:hAnsi="Times New Roman" w:cs="Times New Roman"/>
          <w:color w:val="000000"/>
          <w:sz w:val="24"/>
          <w:szCs w:val="24"/>
          <w:highlight w:val="white"/>
        </w:rPr>
        <w:t>Kaedah</w:t>
      </w:r>
      <w:proofErr w:type="spellEnd"/>
      <w:r>
        <w:rPr>
          <w:rFonts w:ascii="Times New Roman" w:eastAsia="Times New Roman" w:hAnsi="Times New Roman" w:cs="Times New Roman"/>
          <w:color w:val="000000"/>
          <w:sz w:val="24"/>
          <w:szCs w:val="24"/>
          <w:highlight w:val="white"/>
        </w:rPr>
        <w:t xml:space="preserve"> 3 KKM. </w:t>
      </w:r>
    </w:p>
    <w:p w14:paraId="00000078" w14:textId="77777777" w:rsidR="00E97409" w:rsidRDefault="00E97409" w:rsidP="00690802">
      <w:pPr>
        <w:pBdr>
          <w:top w:val="nil"/>
          <w:left w:val="nil"/>
          <w:bottom w:val="nil"/>
          <w:right w:val="nil"/>
          <w:between w:val="nil"/>
        </w:pBdr>
        <w:spacing w:after="0" w:line="240" w:lineRule="auto"/>
        <w:ind w:left="567" w:hanging="567"/>
        <w:jc w:val="both"/>
        <w:rPr>
          <w:rFonts w:ascii="Times New Roman" w:eastAsia="Times New Roman" w:hAnsi="Times New Roman" w:cs="Times New Roman"/>
          <w:color w:val="000000"/>
          <w:sz w:val="24"/>
          <w:szCs w:val="24"/>
          <w:highlight w:val="white"/>
        </w:rPr>
      </w:pPr>
    </w:p>
    <w:p w14:paraId="00000079" w14:textId="77777777" w:rsidR="00E97409" w:rsidRDefault="007741DD" w:rsidP="00690802">
      <w:pPr>
        <w:numPr>
          <w:ilvl w:val="0"/>
          <w:numId w:val="1"/>
        </w:numPr>
        <w:pBdr>
          <w:top w:val="nil"/>
          <w:left w:val="nil"/>
          <w:bottom w:val="nil"/>
          <w:right w:val="nil"/>
          <w:between w:val="nil"/>
        </w:pBdr>
        <w:spacing w:after="0" w:line="240" w:lineRule="auto"/>
        <w:ind w:left="567" w:hanging="567"/>
        <w:jc w:val="both"/>
        <w:rPr>
          <w:rFonts w:ascii="Times New Roman" w:eastAsia="Times New Roman" w:hAnsi="Times New Roman" w:cs="Times New Roman"/>
          <w:color w:val="000000"/>
          <w:sz w:val="24"/>
          <w:szCs w:val="24"/>
          <w:highlight w:val="white"/>
        </w:rPr>
      </w:pPr>
      <w:bookmarkStart w:id="3" w:name="_heading=h.3znysh7" w:colFirst="0" w:colLast="0"/>
      <w:bookmarkEnd w:id="3"/>
      <w:proofErr w:type="spellStart"/>
      <w:r>
        <w:rPr>
          <w:rFonts w:ascii="Times New Roman" w:eastAsia="Times New Roman" w:hAnsi="Times New Roman" w:cs="Times New Roman"/>
          <w:b/>
          <w:color w:val="000000"/>
          <w:sz w:val="24"/>
          <w:szCs w:val="24"/>
          <w:highlight w:val="white"/>
        </w:rPr>
        <w:t>Estopel</w:t>
      </w:r>
      <w:proofErr w:type="spellEnd"/>
      <w:r>
        <w:rPr>
          <w:rFonts w:ascii="Times New Roman" w:eastAsia="Times New Roman" w:hAnsi="Times New Roman" w:cs="Times New Roman"/>
          <w:color w:val="000000"/>
          <w:sz w:val="24"/>
          <w:szCs w:val="24"/>
          <w:highlight w:val="white"/>
        </w:rPr>
        <w:t xml:space="preserve"> – </w:t>
      </w:r>
      <w:proofErr w:type="spellStart"/>
      <w:r>
        <w:rPr>
          <w:rFonts w:ascii="Times New Roman" w:eastAsia="Times New Roman" w:hAnsi="Times New Roman" w:cs="Times New Roman"/>
          <w:color w:val="000000"/>
          <w:sz w:val="24"/>
          <w:szCs w:val="24"/>
          <w:highlight w:val="white"/>
        </w:rPr>
        <w:t>Estopel</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perlu</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diplidkan</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secara</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spesifik</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sz w:val="24"/>
          <w:szCs w:val="24"/>
          <w:highlight w:val="white"/>
        </w:rPr>
        <w:t>Berbeza</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dengan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situasi</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dalam</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kes</w:t>
      </w:r>
      <w:proofErr w:type="spellEnd"/>
      <w:r>
        <w:rPr>
          <w:rFonts w:ascii="Times New Roman" w:eastAsia="Times New Roman" w:hAnsi="Times New Roman" w:cs="Times New Roman"/>
          <w:color w:val="000000"/>
          <w:sz w:val="24"/>
          <w:szCs w:val="24"/>
          <w:highlight w:val="white"/>
        </w:rPr>
        <w:t xml:space="preserve"> </w:t>
      </w:r>
      <w:r>
        <w:rPr>
          <w:rFonts w:ascii="Times New Roman" w:eastAsia="Times New Roman" w:hAnsi="Times New Roman" w:cs="Times New Roman"/>
          <w:b/>
          <w:i/>
          <w:color w:val="000000"/>
          <w:sz w:val="24"/>
          <w:szCs w:val="24"/>
          <w:highlight w:val="white"/>
        </w:rPr>
        <w:t>Coppinger v Norton</w:t>
      </w:r>
      <w:r>
        <w:rPr>
          <w:rFonts w:ascii="Times New Roman" w:eastAsia="Times New Roman" w:hAnsi="Times New Roman" w:cs="Times New Roman"/>
          <w:i/>
          <w:color w:val="000000"/>
          <w:sz w:val="24"/>
          <w:szCs w:val="24"/>
          <w:highlight w:val="white"/>
          <w:vertAlign w:val="superscript"/>
        </w:rPr>
        <w:footnoteReference w:id="38"/>
      </w:r>
      <w:r>
        <w:rPr>
          <w:rFonts w:ascii="Times New Roman" w:eastAsia="Times New Roman" w:hAnsi="Times New Roman" w:cs="Times New Roman"/>
          <w:color w:val="000000"/>
          <w:sz w:val="24"/>
          <w:szCs w:val="24"/>
          <w:highlight w:val="white"/>
        </w:rPr>
        <w:t xml:space="preserve">, King's Bench Division </w:t>
      </w:r>
      <w:proofErr w:type="spellStart"/>
      <w:r>
        <w:rPr>
          <w:rFonts w:ascii="Times New Roman" w:eastAsia="Times New Roman" w:hAnsi="Times New Roman" w:cs="Times New Roman"/>
          <w:color w:val="000000"/>
          <w:sz w:val="24"/>
          <w:szCs w:val="24"/>
          <w:highlight w:val="white"/>
        </w:rPr>
        <w:t>memutuskan</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bahawa</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sekiranya</w:t>
      </w:r>
      <w:proofErr w:type="spellEnd"/>
      <w:r>
        <w:rPr>
          <w:rFonts w:ascii="Times New Roman" w:eastAsia="Times New Roman" w:hAnsi="Times New Roman" w:cs="Times New Roman"/>
          <w:color w:val="000000"/>
          <w:sz w:val="24"/>
          <w:szCs w:val="24"/>
          <w:highlight w:val="white"/>
        </w:rPr>
        <w:t xml:space="preserve"> salah </w:t>
      </w:r>
      <w:proofErr w:type="spellStart"/>
      <w:r>
        <w:rPr>
          <w:rFonts w:ascii="Times New Roman" w:eastAsia="Times New Roman" w:hAnsi="Times New Roman" w:cs="Times New Roman"/>
          <w:color w:val="000000"/>
          <w:sz w:val="24"/>
          <w:szCs w:val="24"/>
          <w:highlight w:val="white"/>
        </w:rPr>
        <w:t>satu</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p</w:t>
      </w:r>
      <w:r>
        <w:rPr>
          <w:rFonts w:ascii="Times New Roman" w:eastAsia="Times New Roman" w:hAnsi="Times New Roman" w:cs="Times New Roman"/>
          <w:sz w:val="24"/>
          <w:szCs w:val="24"/>
          <w:highlight w:val="white"/>
        </w:rPr>
        <w:t>ihak</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gagal</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untuk</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menyatakan</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fakta</w:t>
      </w:r>
      <w:proofErr w:type="spellEnd"/>
      <w:r>
        <w:rPr>
          <w:rFonts w:ascii="Times New Roman" w:eastAsia="Times New Roman" w:hAnsi="Times New Roman" w:cs="Times New Roman"/>
          <w:color w:val="000000"/>
          <w:sz w:val="24"/>
          <w:szCs w:val="24"/>
          <w:highlight w:val="white"/>
        </w:rPr>
        <w:t xml:space="preserve"> material </w:t>
      </w:r>
      <w:proofErr w:type="spellStart"/>
      <w:r>
        <w:rPr>
          <w:rFonts w:ascii="Times New Roman" w:eastAsia="Times New Roman" w:hAnsi="Times New Roman" w:cs="Times New Roman"/>
          <w:color w:val="000000"/>
          <w:sz w:val="24"/>
          <w:szCs w:val="24"/>
          <w:highlight w:val="white"/>
        </w:rPr>
        <w:t>dalam</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pliding</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tetapi</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sekiranya</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fakta</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tersebut</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tidak</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menyebabkan</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pihak</w:t>
      </w:r>
      <w:proofErr w:type="spellEnd"/>
      <w:r>
        <w:rPr>
          <w:rFonts w:ascii="Times New Roman" w:eastAsia="Times New Roman" w:hAnsi="Times New Roman" w:cs="Times New Roman"/>
          <w:color w:val="000000"/>
          <w:sz w:val="24"/>
          <w:szCs w:val="24"/>
          <w:highlight w:val="white"/>
        </w:rPr>
        <w:t xml:space="preserve"> lain </w:t>
      </w:r>
      <w:proofErr w:type="spellStart"/>
      <w:r>
        <w:rPr>
          <w:rFonts w:ascii="Times New Roman" w:eastAsia="Times New Roman" w:hAnsi="Times New Roman" w:cs="Times New Roman"/>
          <w:color w:val="000000"/>
          <w:sz w:val="24"/>
          <w:szCs w:val="24"/>
          <w:highlight w:val="white"/>
        </w:rPr>
        <w:t>terkejut</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atau</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memprejudis</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pihak</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lain</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mahkamah</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boleh</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menggunakan</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kuasa</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budi</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bicaranya</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untuk</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membenarkan</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maklumat</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tersebut</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untuk</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kepentingan</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keadilan</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seperti</w:t>
      </w:r>
      <w:proofErr w:type="spellEnd"/>
      <w:r>
        <w:rPr>
          <w:rFonts w:ascii="Times New Roman" w:eastAsia="Times New Roman" w:hAnsi="Times New Roman" w:cs="Times New Roman"/>
          <w:color w:val="000000"/>
          <w:sz w:val="24"/>
          <w:szCs w:val="24"/>
          <w:highlight w:val="white"/>
        </w:rPr>
        <w:t xml:space="preserve"> yang </w:t>
      </w:r>
      <w:proofErr w:type="spellStart"/>
      <w:r>
        <w:rPr>
          <w:rFonts w:ascii="Times New Roman" w:eastAsia="Times New Roman" w:hAnsi="Times New Roman" w:cs="Times New Roman"/>
          <w:color w:val="000000"/>
          <w:sz w:val="24"/>
          <w:szCs w:val="24"/>
          <w:highlight w:val="white"/>
        </w:rPr>
        <w:t>diputuskan</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dalam</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kes</w:t>
      </w:r>
      <w:proofErr w:type="spellEnd"/>
      <w:r>
        <w:rPr>
          <w:rFonts w:ascii="Times New Roman" w:eastAsia="Times New Roman" w:hAnsi="Times New Roman" w:cs="Times New Roman"/>
          <w:color w:val="000000"/>
          <w:sz w:val="24"/>
          <w:szCs w:val="24"/>
          <w:highlight w:val="white"/>
        </w:rPr>
        <w:t xml:space="preserve"> </w:t>
      </w:r>
      <w:r>
        <w:rPr>
          <w:rFonts w:ascii="Times New Roman" w:eastAsia="Times New Roman" w:hAnsi="Times New Roman" w:cs="Times New Roman"/>
          <w:b/>
          <w:i/>
          <w:color w:val="000000"/>
          <w:sz w:val="24"/>
          <w:szCs w:val="24"/>
          <w:highlight w:val="white"/>
        </w:rPr>
        <w:t xml:space="preserve">Boustead Trading (1985) </w:t>
      </w:r>
      <w:proofErr w:type="spellStart"/>
      <w:r>
        <w:rPr>
          <w:rFonts w:ascii="Times New Roman" w:eastAsia="Times New Roman" w:hAnsi="Times New Roman" w:cs="Times New Roman"/>
          <w:b/>
          <w:i/>
          <w:color w:val="000000"/>
          <w:sz w:val="24"/>
          <w:szCs w:val="24"/>
          <w:highlight w:val="white"/>
        </w:rPr>
        <w:t>Sdn</w:t>
      </w:r>
      <w:proofErr w:type="spellEnd"/>
      <w:r>
        <w:rPr>
          <w:rFonts w:ascii="Times New Roman" w:eastAsia="Times New Roman" w:hAnsi="Times New Roman" w:cs="Times New Roman"/>
          <w:b/>
          <w:i/>
          <w:color w:val="000000"/>
          <w:sz w:val="24"/>
          <w:szCs w:val="24"/>
          <w:highlight w:val="white"/>
        </w:rPr>
        <w:t xml:space="preserve"> </w:t>
      </w:r>
      <w:proofErr w:type="spellStart"/>
      <w:r>
        <w:rPr>
          <w:rFonts w:ascii="Times New Roman" w:eastAsia="Times New Roman" w:hAnsi="Times New Roman" w:cs="Times New Roman"/>
          <w:b/>
          <w:i/>
          <w:color w:val="000000"/>
          <w:sz w:val="24"/>
          <w:szCs w:val="24"/>
          <w:highlight w:val="white"/>
        </w:rPr>
        <w:t>Bhd</w:t>
      </w:r>
      <w:proofErr w:type="spellEnd"/>
      <w:r>
        <w:rPr>
          <w:rFonts w:ascii="Times New Roman" w:eastAsia="Times New Roman" w:hAnsi="Times New Roman" w:cs="Times New Roman"/>
          <w:b/>
          <w:i/>
          <w:color w:val="000000"/>
          <w:sz w:val="24"/>
          <w:szCs w:val="24"/>
          <w:highlight w:val="white"/>
        </w:rPr>
        <w:t xml:space="preserve"> v Arab Malaysian Merchant Bank </w:t>
      </w:r>
      <w:proofErr w:type="spellStart"/>
      <w:r>
        <w:rPr>
          <w:rFonts w:ascii="Times New Roman" w:eastAsia="Times New Roman" w:hAnsi="Times New Roman" w:cs="Times New Roman"/>
          <w:b/>
          <w:i/>
          <w:color w:val="000000"/>
          <w:sz w:val="24"/>
          <w:szCs w:val="24"/>
          <w:highlight w:val="white"/>
        </w:rPr>
        <w:t>Bhd</w:t>
      </w:r>
      <w:proofErr w:type="spellEnd"/>
      <w:r>
        <w:rPr>
          <w:rFonts w:ascii="Times New Roman" w:eastAsia="Times New Roman" w:hAnsi="Times New Roman" w:cs="Times New Roman"/>
          <w:i/>
          <w:color w:val="000000"/>
          <w:sz w:val="24"/>
          <w:szCs w:val="24"/>
          <w:highlight w:val="white"/>
          <w:vertAlign w:val="superscript"/>
        </w:rPr>
        <w:footnoteReference w:id="39"/>
      </w:r>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Mahkamah</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dalam</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kes</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ini</w:t>
      </w:r>
      <w:proofErr w:type="spellEnd"/>
      <w:r>
        <w:rPr>
          <w:rFonts w:ascii="Times New Roman" w:eastAsia="Times New Roman" w:hAnsi="Times New Roman" w:cs="Times New Roman"/>
          <w:color w:val="000000"/>
          <w:sz w:val="24"/>
          <w:szCs w:val="24"/>
          <w:highlight w:val="white"/>
        </w:rPr>
        <w:t xml:space="preserve"> juga </w:t>
      </w:r>
      <w:proofErr w:type="spellStart"/>
      <w:r>
        <w:rPr>
          <w:rFonts w:ascii="Times New Roman" w:eastAsia="Times New Roman" w:hAnsi="Times New Roman" w:cs="Times New Roman"/>
          <w:color w:val="000000"/>
          <w:sz w:val="24"/>
          <w:szCs w:val="24"/>
          <w:highlight w:val="white"/>
        </w:rPr>
        <w:t>memutuskan</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pihak-pihak</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wajar</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untuk</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menggunakan</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perkataan</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estopel</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dalam</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pliding</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mereka</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walaupun</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ketidakgunaan</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perkataan</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tersebut</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tidak</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akan</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merosakkan</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kes</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mereka</w:t>
      </w:r>
      <w:proofErr w:type="spellEnd"/>
      <w:r>
        <w:rPr>
          <w:rFonts w:ascii="Times New Roman" w:eastAsia="Times New Roman" w:hAnsi="Times New Roman" w:cs="Times New Roman"/>
          <w:color w:val="000000"/>
          <w:sz w:val="24"/>
          <w:szCs w:val="24"/>
          <w:highlight w:val="white"/>
        </w:rPr>
        <w:t xml:space="preserve"> kerana </w:t>
      </w:r>
      <w:proofErr w:type="spellStart"/>
      <w:r>
        <w:rPr>
          <w:rFonts w:ascii="Times New Roman" w:eastAsia="Times New Roman" w:hAnsi="Times New Roman" w:cs="Times New Roman"/>
          <w:color w:val="000000"/>
          <w:sz w:val="24"/>
          <w:szCs w:val="24"/>
          <w:highlight w:val="white"/>
        </w:rPr>
        <w:t>mahkamah</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mempunyai</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bidang</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kuasa</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untuk</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mengambil</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kira</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keseluruhan</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keadaan</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kes</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untuk</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membenarkan</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pliding</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tersebut</w:t>
      </w:r>
      <w:proofErr w:type="spellEnd"/>
      <w:r>
        <w:rPr>
          <w:rFonts w:ascii="Times New Roman" w:eastAsia="Times New Roman" w:hAnsi="Times New Roman" w:cs="Times New Roman"/>
          <w:color w:val="000000"/>
          <w:sz w:val="24"/>
          <w:szCs w:val="24"/>
          <w:highlight w:val="white"/>
        </w:rPr>
        <w:t xml:space="preserve">. Keputusan </w:t>
      </w:r>
      <w:proofErr w:type="spellStart"/>
      <w:r>
        <w:rPr>
          <w:rFonts w:ascii="Times New Roman" w:eastAsia="Times New Roman" w:hAnsi="Times New Roman" w:cs="Times New Roman"/>
          <w:color w:val="000000"/>
          <w:sz w:val="24"/>
          <w:szCs w:val="24"/>
          <w:highlight w:val="white"/>
        </w:rPr>
        <w:t>dalam</w:t>
      </w:r>
      <w:proofErr w:type="spellEnd"/>
      <w:r>
        <w:rPr>
          <w:rFonts w:ascii="Times New Roman" w:eastAsia="Times New Roman" w:hAnsi="Times New Roman" w:cs="Times New Roman"/>
          <w:color w:val="000000"/>
          <w:sz w:val="24"/>
          <w:szCs w:val="24"/>
          <w:highlight w:val="white"/>
        </w:rPr>
        <w:t xml:space="preserve"> Boustead juga </w:t>
      </w:r>
      <w:proofErr w:type="spellStart"/>
      <w:r>
        <w:rPr>
          <w:rFonts w:ascii="Times New Roman" w:eastAsia="Times New Roman" w:hAnsi="Times New Roman" w:cs="Times New Roman"/>
          <w:color w:val="000000"/>
          <w:sz w:val="24"/>
          <w:szCs w:val="24"/>
          <w:highlight w:val="white"/>
        </w:rPr>
        <w:t>telah</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dirujuk</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dalam</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kes</w:t>
      </w:r>
      <w:proofErr w:type="spellEnd"/>
      <w:r>
        <w:rPr>
          <w:rFonts w:ascii="Times New Roman" w:eastAsia="Times New Roman" w:hAnsi="Times New Roman" w:cs="Times New Roman"/>
          <w:color w:val="000000"/>
          <w:sz w:val="24"/>
          <w:szCs w:val="24"/>
          <w:highlight w:val="white"/>
        </w:rPr>
        <w:t xml:space="preserve"> </w:t>
      </w:r>
      <w:r>
        <w:rPr>
          <w:rFonts w:ascii="Times New Roman" w:eastAsia="Times New Roman" w:hAnsi="Times New Roman" w:cs="Times New Roman"/>
          <w:b/>
          <w:i/>
          <w:color w:val="000000"/>
          <w:sz w:val="24"/>
          <w:szCs w:val="24"/>
          <w:highlight w:val="white"/>
        </w:rPr>
        <w:t xml:space="preserve">Richland Trade &amp; Development </w:t>
      </w:r>
      <w:proofErr w:type="spellStart"/>
      <w:r>
        <w:rPr>
          <w:rFonts w:ascii="Times New Roman" w:eastAsia="Times New Roman" w:hAnsi="Times New Roman" w:cs="Times New Roman"/>
          <w:b/>
          <w:i/>
          <w:color w:val="000000"/>
          <w:sz w:val="24"/>
          <w:szCs w:val="24"/>
          <w:highlight w:val="white"/>
        </w:rPr>
        <w:t>Sdn</w:t>
      </w:r>
      <w:proofErr w:type="spellEnd"/>
      <w:r>
        <w:rPr>
          <w:rFonts w:ascii="Times New Roman" w:eastAsia="Times New Roman" w:hAnsi="Times New Roman" w:cs="Times New Roman"/>
          <w:b/>
          <w:i/>
          <w:color w:val="000000"/>
          <w:sz w:val="24"/>
          <w:szCs w:val="24"/>
          <w:highlight w:val="white"/>
        </w:rPr>
        <w:t xml:space="preserve"> </w:t>
      </w:r>
      <w:proofErr w:type="spellStart"/>
      <w:r>
        <w:rPr>
          <w:rFonts w:ascii="Times New Roman" w:eastAsia="Times New Roman" w:hAnsi="Times New Roman" w:cs="Times New Roman"/>
          <w:b/>
          <w:i/>
          <w:color w:val="000000"/>
          <w:sz w:val="24"/>
          <w:szCs w:val="24"/>
          <w:highlight w:val="white"/>
        </w:rPr>
        <w:t>Bhd</w:t>
      </w:r>
      <w:proofErr w:type="spellEnd"/>
      <w:r>
        <w:rPr>
          <w:rFonts w:ascii="Times New Roman" w:eastAsia="Times New Roman" w:hAnsi="Times New Roman" w:cs="Times New Roman"/>
          <w:b/>
          <w:i/>
          <w:color w:val="000000"/>
          <w:sz w:val="24"/>
          <w:szCs w:val="24"/>
          <w:highlight w:val="white"/>
        </w:rPr>
        <w:t xml:space="preserve"> v United Malayan Banking Corp. </w:t>
      </w:r>
      <w:proofErr w:type="spellStart"/>
      <w:r>
        <w:rPr>
          <w:rFonts w:ascii="Times New Roman" w:eastAsia="Times New Roman" w:hAnsi="Times New Roman" w:cs="Times New Roman"/>
          <w:b/>
          <w:i/>
          <w:color w:val="000000"/>
          <w:sz w:val="24"/>
          <w:szCs w:val="24"/>
          <w:highlight w:val="white"/>
        </w:rPr>
        <w:t>Bhd</w:t>
      </w:r>
      <w:proofErr w:type="spellEnd"/>
      <w:r>
        <w:rPr>
          <w:rFonts w:ascii="Times New Roman" w:eastAsia="Times New Roman" w:hAnsi="Times New Roman" w:cs="Times New Roman"/>
          <w:i/>
          <w:color w:val="000000"/>
          <w:sz w:val="24"/>
          <w:szCs w:val="24"/>
          <w:highlight w:val="white"/>
          <w:vertAlign w:val="superscript"/>
        </w:rPr>
        <w:footnoteReference w:id="40"/>
      </w:r>
      <w:r>
        <w:rPr>
          <w:rFonts w:ascii="Times New Roman" w:eastAsia="Times New Roman" w:hAnsi="Times New Roman" w:cs="Times New Roman"/>
          <w:color w:val="000000"/>
          <w:sz w:val="24"/>
          <w:szCs w:val="24"/>
          <w:highlight w:val="white"/>
        </w:rPr>
        <w:t xml:space="preserve">. </w:t>
      </w:r>
    </w:p>
    <w:p w14:paraId="0000007A" w14:textId="77777777" w:rsidR="00E97409" w:rsidRDefault="00E97409" w:rsidP="00690802">
      <w:pPr>
        <w:pBdr>
          <w:top w:val="nil"/>
          <w:left w:val="nil"/>
          <w:bottom w:val="nil"/>
          <w:right w:val="nil"/>
          <w:between w:val="nil"/>
        </w:pBdr>
        <w:spacing w:after="0" w:line="240" w:lineRule="auto"/>
        <w:ind w:left="567" w:hanging="567"/>
        <w:jc w:val="both"/>
        <w:rPr>
          <w:rFonts w:ascii="Times New Roman" w:eastAsia="Times New Roman" w:hAnsi="Times New Roman" w:cs="Times New Roman"/>
          <w:b/>
          <w:color w:val="000000"/>
          <w:sz w:val="24"/>
          <w:szCs w:val="24"/>
          <w:highlight w:val="white"/>
        </w:rPr>
      </w:pPr>
    </w:p>
    <w:p w14:paraId="0000007B" w14:textId="77777777" w:rsidR="00E97409" w:rsidRDefault="007741DD" w:rsidP="00690802">
      <w:pPr>
        <w:numPr>
          <w:ilvl w:val="0"/>
          <w:numId w:val="1"/>
        </w:numPr>
        <w:pBdr>
          <w:top w:val="nil"/>
          <w:left w:val="nil"/>
          <w:bottom w:val="nil"/>
          <w:right w:val="nil"/>
          <w:between w:val="nil"/>
        </w:pBdr>
        <w:spacing w:after="0" w:line="240" w:lineRule="auto"/>
        <w:ind w:left="567" w:hanging="567"/>
        <w:jc w:val="both"/>
        <w:rPr>
          <w:rFonts w:ascii="Times New Roman" w:eastAsia="Times New Roman" w:hAnsi="Times New Roman" w:cs="Times New Roman"/>
          <w:color w:val="000000"/>
          <w:sz w:val="24"/>
          <w:szCs w:val="24"/>
          <w:highlight w:val="white"/>
        </w:rPr>
      </w:pPr>
      <w:bookmarkStart w:id="4" w:name="_heading=h.2et92p0" w:colFirst="0" w:colLast="0"/>
      <w:bookmarkEnd w:id="4"/>
      <w:proofErr w:type="spellStart"/>
      <w:r>
        <w:rPr>
          <w:rFonts w:ascii="Times New Roman" w:eastAsia="Times New Roman" w:hAnsi="Times New Roman" w:cs="Times New Roman"/>
          <w:b/>
          <w:color w:val="000000"/>
          <w:sz w:val="24"/>
          <w:szCs w:val="24"/>
          <w:highlight w:val="white"/>
        </w:rPr>
        <w:t>Pecah</w:t>
      </w:r>
      <w:proofErr w:type="spellEnd"/>
      <w:r>
        <w:rPr>
          <w:rFonts w:ascii="Times New Roman" w:eastAsia="Times New Roman" w:hAnsi="Times New Roman" w:cs="Times New Roman"/>
          <w:b/>
          <w:color w:val="000000"/>
          <w:sz w:val="24"/>
          <w:szCs w:val="24"/>
          <w:highlight w:val="white"/>
        </w:rPr>
        <w:t xml:space="preserve"> </w:t>
      </w:r>
      <w:proofErr w:type="spellStart"/>
      <w:r>
        <w:rPr>
          <w:rFonts w:ascii="Times New Roman" w:eastAsia="Times New Roman" w:hAnsi="Times New Roman" w:cs="Times New Roman"/>
          <w:b/>
          <w:color w:val="000000"/>
          <w:sz w:val="24"/>
          <w:szCs w:val="24"/>
          <w:highlight w:val="white"/>
        </w:rPr>
        <w:t>amanah</w:t>
      </w:r>
      <w:proofErr w:type="spellEnd"/>
      <w:r>
        <w:rPr>
          <w:rFonts w:ascii="Times New Roman" w:eastAsia="Times New Roman" w:hAnsi="Times New Roman" w:cs="Times New Roman"/>
          <w:b/>
          <w:color w:val="000000"/>
          <w:sz w:val="24"/>
          <w:szCs w:val="24"/>
          <w:highlight w:val="white"/>
        </w:rPr>
        <w:t xml:space="preserve"> dan </w:t>
      </w:r>
      <w:proofErr w:type="spellStart"/>
      <w:r>
        <w:rPr>
          <w:rFonts w:ascii="Times New Roman" w:eastAsia="Times New Roman" w:hAnsi="Times New Roman" w:cs="Times New Roman"/>
          <w:b/>
          <w:sz w:val="24"/>
          <w:szCs w:val="24"/>
          <w:highlight w:val="white"/>
        </w:rPr>
        <w:t>pelanggaran</w:t>
      </w:r>
      <w:proofErr w:type="spellEnd"/>
      <w:r>
        <w:rPr>
          <w:rFonts w:ascii="Times New Roman" w:eastAsia="Times New Roman" w:hAnsi="Times New Roman" w:cs="Times New Roman"/>
          <w:b/>
          <w:color w:val="000000"/>
          <w:sz w:val="24"/>
          <w:szCs w:val="24"/>
          <w:highlight w:val="white"/>
        </w:rPr>
        <w:t xml:space="preserve"> </w:t>
      </w:r>
      <w:proofErr w:type="spellStart"/>
      <w:r>
        <w:rPr>
          <w:rFonts w:ascii="Times New Roman" w:eastAsia="Times New Roman" w:hAnsi="Times New Roman" w:cs="Times New Roman"/>
          <w:b/>
          <w:sz w:val="24"/>
          <w:szCs w:val="24"/>
          <w:highlight w:val="white"/>
        </w:rPr>
        <w:t>hak</w:t>
      </w:r>
      <w:proofErr w:type="spellEnd"/>
      <w:r>
        <w:rPr>
          <w:rFonts w:ascii="Times New Roman" w:eastAsia="Times New Roman" w:hAnsi="Times New Roman" w:cs="Times New Roman"/>
          <w:b/>
          <w:sz w:val="24"/>
          <w:szCs w:val="24"/>
          <w:highlight w:val="white"/>
        </w:rPr>
        <w:t xml:space="preserve"> </w:t>
      </w:r>
      <w:proofErr w:type="spellStart"/>
      <w:r>
        <w:rPr>
          <w:rFonts w:ascii="Times New Roman" w:eastAsia="Times New Roman" w:hAnsi="Times New Roman" w:cs="Times New Roman"/>
          <w:b/>
          <w:sz w:val="24"/>
          <w:szCs w:val="24"/>
          <w:highlight w:val="white"/>
        </w:rPr>
        <w:t>cipta</w:t>
      </w:r>
      <w:proofErr w:type="spellEnd"/>
      <w:r>
        <w:rPr>
          <w:rFonts w:ascii="Times New Roman" w:eastAsia="Times New Roman" w:hAnsi="Times New Roman" w:cs="Times New Roman"/>
          <w:color w:val="000000"/>
          <w:sz w:val="24"/>
          <w:szCs w:val="24"/>
          <w:highlight w:val="white"/>
        </w:rPr>
        <w:t xml:space="preserve"> – </w:t>
      </w:r>
      <w:proofErr w:type="spellStart"/>
      <w:r>
        <w:rPr>
          <w:rFonts w:ascii="Times New Roman" w:eastAsia="Times New Roman" w:hAnsi="Times New Roman" w:cs="Times New Roman"/>
          <w:color w:val="000000"/>
          <w:sz w:val="24"/>
          <w:szCs w:val="24"/>
          <w:highlight w:val="white"/>
        </w:rPr>
        <w:t>Dalam</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kes</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b/>
          <w:i/>
          <w:color w:val="000000"/>
          <w:sz w:val="24"/>
          <w:szCs w:val="24"/>
          <w:highlight w:val="white"/>
        </w:rPr>
        <w:t>Hytrac</w:t>
      </w:r>
      <w:proofErr w:type="spellEnd"/>
      <w:r>
        <w:rPr>
          <w:rFonts w:ascii="Times New Roman" w:eastAsia="Times New Roman" w:hAnsi="Times New Roman" w:cs="Times New Roman"/>
          <w:b/>
          <w:i/>
          <w:color w:val="000000"/>
          <w:sz w:val="24"/>
          <w:szCs w:val="24"/>
          <w:highlight w:val="white"/>
        </w:rPr>
        <w:t xml:space="preserve"> Conveyors Ltd v </w:t>
      </w:r>
      <w:r>
        <w:rPr>
          <w:rFonts w:ascii="Times New Roman" w:eastAsia="Times New Roman" w:hAnsi="Times New Roman" w:cs="Times New Roman"/>
          <w:b/>
          <w:i/>
          <w:sz w:val="24"/>
          <w:szCs w:val="24"/>
          <w:highlight w:val="white"/>
        </w:rPr>
        <w:t>Converters</w:t>
      </w:r>
      <w:r>
        <w:rPr>
          <w:rFonts w:ascii="Times New Roman" w:eastAsia="Times New Roman" w:hAnsi="Times New Roman" w:cs="Times New Roman"/>
          <w:b/>
          <w:i/>
          <w:color w:val="000000"/>
          <w:sz w:val="24"/>
          <w:szCs w:val="24"/>
          <w:highlight w:val="white"/>
        </w:rPr>
        <w:t xml:space="preserve"> International Ltd</w:t>
      </w:r>
      <w:r>
        <w:rPr>
          <w:rFonts w:ascii="Times New Roman" w:eastAsia="Times New Roman" w:hAnsi="Times New Roman" w:cs="Times New Roman"/>
          <w:i/>
          <w:color w:val="000000"/>
          <w:sz w:val="24"/>
          <w:szCs w:val="24"/>
          <w:highlight w:val="white"/>
          <w:vertAlign w:val="superscript"/>
        </w:rPr>
        <w:footnoteReference w:id="41"/>
      </w:r>
      <w:r>
        <w:rPr>
          <w:rFonts w:ascii="Times New Roman" w:eastAsia="Times New Roman" w:hAnsi="Times New Roman" w:cs="Times New Roman"/>
          <w:i/>
          <w:color w:val="000000"/>
          <w:sz w:val="24"/>
          <w:szCs w:val="24"/>
          <w:highlight w:val="white"/>
        </w:rPr>
        <w:t>,</w:t>
      </w:r>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plaintif</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dalam</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kes</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ini</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telah</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mengambil</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sebuah</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perintah</w:t>
      </w:r>
      <w:proofErr w:type="spellEnd"/>
      <w:r>
        <w:rPr>
          <w:rFonts w:ascii="Times New Roman" w:eastAsia="Times New Roman" w:hAnsi="Times New Roman" w:cs="Times New Roman"/>
          <w:color w:val="000000"/>
          <w:sz w:val="24"/>
          <w:szCs w:val="24"/>
          <w:highlight w:val="white"/>
        </w:rPr>
        <w:t xml:space="preserve"> Anton </w:t>
      </w:r>
      <w:proofErr w:type="spellStart"/>
      <w:r>
        <w:rPr>
          <w:rFonts w:ascii="Times New Roman" w:eastAsia="Times New Roman" w:hAnsi="Times New Roman" w:cs="Times New Roman"/>
          <w:color w:val="000000"/>
          <w:sz w:val="24"/>
          <w:szCs w:val="24"/>
          <w:highlight w:val="white"/>
        </w:rPr>
        <w:t>Piller</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sebelum</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mengeluarkan</w:t>
      </w:r>
      <w:proofErr w:type="spellEnd"/>
      <w:r>
        <w:rPr>
          <w:rFonts w:ascii="Times New Roman" w:eastAsia="Times New Roman" w:hAnsi="Times New Roman" w:cs="Times New Roman"/>
          <w:color w:val="000000"/>
          <w:sz w:val="24"/>
          <w:szCs w:val="24"/>
          <w:highlight w:val="white"/>
        </w:rPr>
        <w:t xml:space="preserve"> writ </w:t>
      </w:r>
      <w:proofErr w:type="spellStart"/>
      <w:r>
        <w:rPr>
          <w:rFonts w:ascii="Times New Roman" w:eastAsia="Times New Roman" w:hAnsi="Times New Roman" w:cs="Times New Roman"/>
          <w:color w:val="000000"/>
          <w:sz w:val="24"/>
          <w:szCs w:val="24"/>
          <w:highlight w:val="white"/>
        </w:rPr>
        <w:t>terhadap</w:t>
      </w:r>
      <w:proofErr w:type="spellEnd"/>
      <w:r>
        <w:rPr>
          <w:rFonts w:ascii="Times New Roman" w:eastAsia="Times New Roman" w:hAnsi="Times New Roman" w:cs="Times New Roman"/>
          <w:color w:val="000000"/>
          <w:sz w:val="24"/>
          <w:szCs w:val="24"/>
          <w:highlight w:val="white"/>
        </w:rPr>
        <w:t xml:space="preserve"> 10 orang </w:t>
      </w:r>
      <w:proofErr w:type="spellStart"/>
      <w:r>
        <w:rPr>
          <w:rFonts w:ascii="Times New Roman" w:eastAsia="Times New Roman" w:hAnsi="Times New Roman" w:cs="Times New Roman"/>
          <w:color w:val="000000"/>
          <w:sz w:val="24"/>
          <w:szCs w:val="24"/>
          <w:highlight w:val="white"/>
        </w:rPr>
        <w:t>defendan</w:t>
      </w:r>
      <w:proofErr w:type="spellEnd"/>
      <w:r>
        <w:rPr>
          <w:rFonts w:ascii="Times New Roman" w:eastAsia="Times New Roman" w:hAnsi="Times New Roman" w:cs="Times New Roman"/>
          <w:color w:val="000000"/>
          <w:sz w:val="24"/>
          <w:szCs w:val="24"/>
          <w:highlight w:val="white"/>
        </w:rPr>
        <w:t xml:space="preserve">. Writ </w:t>
      </w:r>
      <w:proofErr w:type="spellStart"/>
      <w:r>
        <w:rPr>
          <w:rFonts w:ascii="Times New Roman" w:eastAsia="Times New Roman" w:hAnsi="Times New Roman" w:cs="Times New Roman"/>
          <w:color w:val="000000"/>
          <w:sz w:val="24"/>
          <w:szCs w:val="24"/>
          <w:highlight w:val="white"/>
        </w:rPr>
        <w:t>tersebut</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telah</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diserahkan</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kepada</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defendan-defendan</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dalam</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kes</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ini</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sehari</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selepas</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itu</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tetapi</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color w:val="000000"/>
          <w:sz w:val="24"/>
          <w:szCs w:val="24"/>
          <w:highlight w:val="white"/>
        </w:rPr>
        <w:t>pernyataan</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tuntutan</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tidak</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diserahkan</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kepada</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mereka</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sehingga</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selepas</w:t>
      </w:r>
      <w:proofErr w:type="spellEnd"/>
      <w:r>
        <w:rPr>
          <w:rFonts w:ascii="Times New Roman" w:eastAsia="Times New Roman" w:hAnsi="Times New Roman" w:cs="Times New Roman"/>
          <w:color w:val="000000"/>
          <w:sz w:val="24"/>
          <w:szCs w:val="24"/>
          <w:highlight w:val="white"/>
        </w:rPr>
        <w:t xml:space="preserve"> 12 </w:t>
      </w:r>
      <w:proofErr w:type="spellStart"/>
      <w:r>
        <w:rPr>
          <w:rFonts w:ascii="Times New Roman" w:eastAsia="Times New Roman" w:hAnsi="Times New Roman" w:cs="Times New Roman"/>
          <w:color w:val="000000"/>
          <w:sz w:val="24"/>
          <w:szCs w:val="24"/>
          <w:highlight w:val="white"/>
        </w:rPr>
        <w:t>minggu</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daripada</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penyerahan</w:t>
      </w:r>
      <w:proofErr w:type="spellEnd"/>
      <w:r>
        <w:rPr>
          <w:rFonts w:ascii="Times New Roman" w:eastAsia="Times New Roman" w:hAnsi="Times New Roman" w:cs="Times New Roman"/>
          <w:color w:val="000000"/>
          <w:sz w:val="24"/>
          <w:szCs w:val="24"/>
          <w:highlight w:val="white"/>
        </w:rPr>
        <w:t xml:space="preserve"> writ. </w:t>
      </w:r>
      <w:proofErr w:type="spellStart"/>
      <w:r>
        <w:rPr>
          <w:rFonts w:ascii="Times New Roman" w:eastAsia="Times New Roman" w:hAnsi="Times New Roman" w:cs="Times New Roman"/>
          <w:color w:val="000000"/>
          <w:sz w:val="24"/>
          <w:szCs w:val="24"/>
          <w:highlight w:val="white"/>
        </w:rPr>
        <w:t>Dalam</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memutuskan</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kes</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ini</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mahkamah</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menjelaskan</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tindakan</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plaintif</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adalah</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tidak</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betul</w:t>
      </w:r>
      <w:proofErr w:type="spellEnd"/>
      <w:r>
        <w:rPr>
          <w:rFonts w:ascii="Times New Roman" w:eastAsia="Times New Roman" w:hAnsi="Times New Roman" w:cs="Times New Roman"/>
          <w:color w:val="000000"/>
          <w:sz w:val="24"/>
          <w:szCs w:val="24"/>
          <w:highlight w:val="white"/>
        </w:rPr>
        <w:t xml:space="preserve"> dan </w:t>
      </w:r>
      <w:proofErr w:type="spellStart"/>
      <w:r>
        <w:rPr>
          <w:rFonts w:ascii="Times New Roman" w:eastAsia="Times New Roman" w:hAnsi="Times New Roman" w:cs="Times New Roman"/>
          <w:color w:val="000000"/>
          <w:sz w:val="24"/>
          <w:szCs w:val="24"/>
          <w:highlight w:val="white"/>
        </w:rPr>
        <w:t>plaintif</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seharusnya</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memulakan</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tindakan</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ini</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tanpa</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mengetahui</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butiran</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dalam</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pernyataan</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tuntutannya</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sehingga</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selepas</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selesainya</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prosiding</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lastRenderedPageBreak/>
        <w:t>interlokutori</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Dalam</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suatu</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kes</w:t>
      </w:r>
      <w:proofErr w:type="spellEnd"/>
      <w:r>
        <w:rPr>
          <w:rFonts w:ascii="Times New Roman" w:eastAsia="Times New Roman" w:hAnsi="Times New Roman" w:cs="Times New Roman"/>
          <w:color w:val="000000"/>
          <w:sz w:val="24"/>
          <w:szCs w:val="24"/>
          <w:highlight w:val="white"/>
        </w:rPr>
        <w:t xml:space="preserve"> yang </w:t>
      </w:r>
      <w:proofErr w:type="spellStart"/>
      <w:r>
        <w:rPr>
          <w:rFonts w:ascii="Times New Roman" w:eastAsia="Times New Roman" w:hAnsi="Times New Roman" w:cs="Times New Roman"/>
          <w:color w:val="000000"/>
          <w:sz w:val="24"/>
          <w:szCs w:val="24"/>
          <w:highlight w:val="white"/>
        </w:rPr>
        <w:t>melibatkan</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pecah</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amanah</w:t>
      </w:r>
      <w:proofErr w:type="spellEnd"/>
      <w:r>
        <w:rPr>
          <w:rFonts w:ascii="Times New Roman" w:eastAsia="Times New Roman" w:hAnsi="Times New Roman" w:cs="Times New Roman"/>
          <w:color w:val="000000"/>
          <w:sz w:val="24"/>
          <w:szCs w:val="24"/>
          <w:highlight w:val="white"/>
        </w:rPr>
        <w:t xml:space="preserve"> dan </w:t>
      </w:r>
      <w:proofErr w:type="spellStart"/>
      <w:r>
        <w:rPr>
          <w:rFonts w:ascii="Times New Roman" w:eastAsia="Times New Roman" w:hAnsi="Times New Roman" w:cs="Times New Roman"/>
          <w:sz w:val="24"/>
          <w:szCs w:val="24"/>
          <w:highlight w:val="white"/>
        </w:rPr>
        <w:t>pelanggaran</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hak</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cipta</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plaintif</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perlu</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memaklumkan</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tuntutannya</w:t>
      </w:r>
      <w:proofErr w:type="spellEnd"/>
      <w:r>
        <w:rPr>
          <w:rFonts w:ascii="Times New Roman" w:eastAsia="Times New Roman" w:hAnsi="Times New Roman" w:cs="Times New Roman"/>
          <w:color w:val="000000"/>
          <w:sz w:val="24"/>
          <w:szCs w:val="24"/>
          <w:highlight w:val="white"/>
        </w:rPr>
        <w:t xml:space="preserve"> dan </w:t>
      </w:r>
      <w:proofErr w:type="spellStart"/>
      <w:r>
        <w:rPr>
          <w:rFonts w:ascii="Times New Roman" w:eastAsia="Times New Roman" w:hAnsi="Times New Roman" w:cs="Times New Roman"/>
          <w:color w:val="000000"/>
          <w:sz w:val="24"/>
          <w:szCs w:val="24"/>
          <w:highlight w:val="white"/>
        </w:rPr>
        <w:t>jika</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butiran</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sz w:val="24"/>
          <w:szCs w:val="24"/>
          <w:highlight w:val="white"/>
        </w:rPr>
        <w:t>mengenai</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konspirasi</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ingin</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dibangkitkan</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plaintif</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perlu</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membangkitkannya</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dalam</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pernyataan</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tuntutan</w:t>
      </w:r>
      <w:proofErr w:type="spellEnd"/>
      <w:r>
        <w:rPr>
          <w:rFonts w:ascii="Times New Roman" w:eastAsia="Times New Roman" w:hAnsi="Times New Roman" w:cs="Times New Roman"/>
          <w:color w:val="000000"/>
          <w:sz w:val="24"/>
          <w:szCs w:val="24"/>
          <w:highlight w:val="white"/>
        </w:rPr>
        <w:t xml:space="preserve"> pada </w:t>
      </w:r>
      <w:proofErr w:type="spellStart"/>
      <w:r>
        <w:rPr>
          <w:rFonts w:ascii="Times New Roman" w:eastAsia="Times New Roman" w:hAnsi="Times New Roman" w:cs="Times New Roman"/>
          <w:color w:val="000000"/>
          <w:sz w:val="24"/>
          <w:szCs w:val="24"/>
          <w:highlight w:val="white"/>
        </w:rPr>
        <w:t>mulanya</w:t>
      </w:r>
      <w:proofErr w:type="spellEnd"/>
      <w:r>
        <w:rPr>
          <w:rFonts w:ascii="Times New Roman" w:eastAsia="Times New Roman" w:hAnsi="Times New Roman" w:cs="Times New Roman"/>
          <w:color w:val="000000"/>
          <w:sz w:val="24"/>
          <w:szCs w:val="24"/>
          <w:highlight w:val="white"/>
        </w:rPr>
        <w:t xml:space="preserve"> dan </w:t>
      </w:r>
      <w:proofErr w:type="spellStart"/>
      <w:r>
        <w:rPr>
          <w:rFonts w:ascii="Times New Roman" w:eastAsia="Times New Roman" w:hAnsi="Times New Roman" w:cs="Times New Roman"/>
          <w:color w:val="000000"/>
          <w:sz w:val="24"/>
          <w:szCs w:val="24"/>
          <w:highlight w:val="white"/>
        </w:rPr>
        <w:t>bukan</w:t>
      </w:r>
      <w:proofErr w:type="spellEnd"/>
      <w:r>
        <w:rPr>
          <w:rFonts w:ascii="Times New Roman" w:eastAsia="Times New Roman" w:hAnsi="Times New Roman" w:cs="Times New Roman"/>
          <w:color w:val="000000"/>
          <w:sz w:val="24"/>
          <w:szCs w:val="24"/>
          <w:highlight w:val="white"/>
        </w:rPr>
        <w:t xml:space="preserve"> pada </w:t>
      </w:r>
      <w:proofErr w:type="spellStart"/>
      <w:r>
        <w:rPr>
          <w:rFonts w:ascii="Times New Roman" w:eastAsia="Times New Roman" w:hAnsi="Times New Roman" w:cs="Times New Roman"/>
          <w:color w:val="000000"/>
          <w:sz w:val="24"/>
          <w:szCs w:val="24"/>
          <w:highlight w:val="white"/>
        </w:rPr>
        <w:t>peringkat</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kemudian</w:t>
      </w:r>
      <w:proofErr w:type="spellEnd"/>
      <w:r>
        <w:rPr>
          <w:rFonts w:ascii="Times New Roman" w:eastAsia="Times New Roman" w:hAnsi="Times New Roman" w:cs="Times New Roman"/>
          <w:color w:val="000000"/>
          <w:sz w:val="24"/>
          <w:szCs w:val="24"/>
          <w:highlight w:val="white"/>
        </w:rPr>
        <w:t xml:space="preserve">. Di Malaysia, Vincent Ng Kim </w:t>
      </w:r>
      <w:proofErr w:type="spellStart"/>
      <w:r>
        <w:rPr>
          <w:rFonts w:ascii="Times New Roman" w:eastAsia="Times New Roman" w:hAnsi="Times New Roman" w:cs="Times New Roman"/>
          <w:color w:val="000000"/>
          <w:sz w:val="24"/>
          <w:szCs w:val="24"/>
          <w:highlight w:val="white"/>
        </w:rPr>
        <w:t>Khoay</w:t>
      </w:r>
      <w:proofErr w:type="spellEnd"/>
      <w:r>
        <w:rPr>
          <w:rFonts w:ascii="Times New Roman" w:eastAsia="Times New Roman" w:hAnsi="Times New Roman" w:cs="Times New Roman"/>
          <w:color w:val="000000"/>
          <w:sz w:val="24"/>
          <w:szCs w:val="24"/>
          <w:highlight w:val="white"/>
        </w:rPr>
        <w:t xml:space="preserve"> J </w:t>
      </w:r>
      <w:proofErr w:type="spellStart"/>
      <w:r>
        <w:rPr>
          <w:rFonts w:ascii="Times New Roman" w:eastAsia="Times New Roman" w:hAnsi="Times New Roman" w:cs="Times New Roman"/>
          <w:color w:val="000000"/>
          <w:sz w:val="24"/>
          <w:szCs w:val="24"/>
          <w:highlight w:val="white"/>
        </w:rPr>
        <w:t>dalam</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b/>
          <w:i/>
          <w:color w:val="000000"/>
          <w:sz w:val="24"/>
          <w:szCs w:val="24"/>
          <w:highlight w:val="white"/>
        </w:rPr>
        <w:t>Te</w:t>
      </w:r>
      <w:proofErr w:type="spellEnd"/>
      <w:r>
        <w:rPr>
          <w:rFonts w:ascii="Times New Roman" w:eastAsia="Times New Roman" w:hAnsi="Times New Roman" w:cs="Times New Roman"/>
          <w:b/>
          <w:i/>
          <w:color w:val="000000"/>
          <w:sz w:val="24"/>
          <w:szCs w:val="24"/>
          <w:highlight w:val="white"/>
        </w:rPr>
        <w:t xml:space="preserve"> Cheng Hoi v </w:t>
      </w:r>
      <w:proofErr w:type="spellStart"/>
      <w:r>
        <w:rPr>
          <w:rFonts w:ascii="Times New Roman" w:eastAsia="Times New Roman" w:hAnsi="Times New Roman" w:cs="Times New Roman"/>
          <w:b/>
          <w:i/>
          <w:color w:val="000000"/>
          <w:sz w:val="24"/>
          <w:szCs w:val="24"/>
          <w:highlight w:val="white"/>
        </w:rPr>
        <w:t>Peh</w:t>
      </w:r>
      <w:proofErr w:type="spellEnd"/>
      <w:r>
        <w:rPr>
          <w:rFonts w:ascii="Times New Roman" w:eastAsia="Times New Roman" w:hAnsi="Times New Roman" w:cs="Times New Roman"/>
          <w:b/>
          <w:i/>
          <w:color w:val="000000"/>
          <w:sz w:val="24"/>
          <w:szCs w:val="24"/>
          <w:highlight w:val="white"/>
        </w:rPr>
        <w:t xml:space="preserve"> </w:t>
      </w:r>
      <w:proofErr w:type="spellStart"/>
      <w:r>
        <w:rPr>
          <w:rFonts w:ascii="Times New Roman" w:eastAsia="Times New Roman" w:hAnsi="Times New Roman" w:cs="Times New Roman"/>
          <w:b/>
          <w:i/>
          <w:color w:val="000000"/>
          <w:sz w:val="24"/>
          <w:szCs w:val="24"/>
          <w:highlight w:val="white"/>
        </w:rPr>
        <w:t>Im</w:t>
      </w:r>
      <w:proofErr w:type="spellEnd"/>
      <w:r>
        <w:rPr>
          <w:rFonts w:ascii="Times New Roman" w:eastAsia="Times New Roman" w:hAnsi="Times New Roman" w:cs="Times New Roman"/>
          <w:b/>
          <w:i/>
          <w:color w:val="000000"/>
          <w:sz w:val="24"/>
          <w:szCs w:val="24"/>
          <w:highlight w:val="white"/>
        </w:rPr>
        <w:t xml:space="preserve"> </w:t>
      </w:r>
      <w:proofErr w:type="spellStart"/>
      <w:r>
        <w:rPr>
          <w:rFonts w:ascii="Times New Roman" w:eastAsia="Times New Roman" w:hAnsi="Times New Roman" w:cs="Times New Roman"/>
          <w:b/>
          <w:i/>
          <w:color w:val="000000"/>
          <w:sz w:val="24"/>
          <w:szCs w:val="24"/>
          <w:highlight w:val="white"/>
        </w:rPr>
        <w:t>Kweng</w:t>
      </w:r>
      <w:proofErr w:type="spellEnd"/>
      <w:r>
        <w:rPr>
          <w:rFonts w:ascii="Times New Roman" w:eastAsia="Times New Roman" w:hAnsi="Times New Roman" w:cs="Times New Roman"/>
          <w:i/>
          <w:color w:val="000000"/>
          <w:sz w:val="24"/>
          <w:szCs w:val="24"/>
          <w:highlight w:val="white"/>
          <w:vertAlign w:val="superscript"/>
        </w:rPr>
        <w:footnoteReference w:id="42"/>
      </w:r>
      <w:r>
        <w:rPr>
          <w:rFonts w:ascii="Times New Roman" w:eastAsia="Times New Roman" w:hAnsi="Times New Roman" w:cs="Times New Roman"/>
          <w:i/>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telah</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menolak</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tuntutan</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plaintif</w:t>
      </w:r>
      <w:proofErr w:type="spellEnd"/>
      <w:r>
        <w:rPr>
          <w:rFonts w:ascii="Times New Roman" w:eastAsia="Times New Roman" w:hAnsi="Times New Roman" w:cs="Times New Roman"/>
          <w:color w:val="000000"/>
          <w:sz w:val="24"/>
          <w:szCs w:val="24"/>
          <w:highlight w:val="white"/>
        </w:rPr>
        <w:t xml:space="preserve"> kerana </w:t>
      </w:r>
      <w:proofErr w:type="spellStart"/>
      <w:r>
        <w:rPr>
          <w:rFonts w:ascii="Times New Roman" w:eastAsia="Times New Roman" w:hAnsi="Times New Roman" w:cs="Times New Roman"/>
          <w:color w:val="000000"/>
          <w:sz w:val="24"/>
          <w:szCs w:val="24"/>
          <w:highlight w:val="white"/>
        </w:rPr>
        <w:t>terdapat</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kelewatan</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selama</w:t>
      </w:r>
      <w:proofErr w:type="spellEnd"/>
      <w:r>
        <w:rPr>
          <w:rFonts w:ascii="Times New Roman" w:eastAsia="Times New Roman" w:hAnsi="Times New Roman" w:cs="Times New Roman"/>
          <w:color w:val="000000"/>
          <w:sz w:val="24"/>
          <w:szCs w:val="24"/>
          <w:highlight w:val="white"/>
        </w:rPr>
        <w:t xml:space="preserve"> 3 </w:t>
      </w:r>
      <w:proofErr w:type="spellStart"/>
      <w:r>
        <w:rPr>
          <w:rFonts w:ascii="Times New Roman" w:eastAsia="Times New Roman" w:hAnsi="Times New Roman" w:cs="Times New Roman"/>
          <w:color w:val="000000"/>
          <w:sz w:val="24"/>
          <w:szCs w:val="24"/>
          <w:highlight w:val="white"/>
        </w:rPr>
        <w:t>tahun</w:t>
      </w:r>
      <w:proofErr w:type="spellEnd"/>
      <w:r>
        <w:rPr>
          <w:rFonts w:ascii="Times New Roman" w:eastAsia="Times New Roman" w:hAnsi="Times New Roman" w:cs="Times New Roman"/>
          <w:color w:val="000000"/>
          <w:sz w:val="24"/>
          <w:szCs w:val="24"/>
          <w:highlight w:val="white"/>
        </w:rPr>
        <w:t xml:space="preserve"> oleh </w:t>
      </w:r>
      <w:proofErr w:type="spellStart"/>
      <w:r>
        <w:rPr>
          <w:rFonts w:ascii="Times New Roman" w:eastAsia="Times New Roman" w:hAnsi="Times New Roman" w:cs="Times New Roman"/>
          <w:color w:val="000000"/>
          <w:sz w:val="24"/>
          <w:szCs w:val="24"/>
          <w:highlight w:val="white"/>
        </w:rPr>
        <w:t>plaintif</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dalam</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memfailkan</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pernyataan</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tuntutan</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Jangka</w:t>
      </w:r>
      <w:proofErr w:type="spellEnd"/>
      <w:r>
        <w:rPr>
          <w:rFonts w:ascii="Times New Roman" w:eastAsia="Times New Roman" w:hAnsi="Times New Roman" w:cs="Times New Roman"/>
          <w:color w:val="000000"/>
          <w:sz w:val="24"/>
          <w:szCs w:val="24"/>
          <w:highlight w:val="white"/>
        </w:rPr>
        <w:t xml:space="preserve"> masa yang </w:t>
      </w:r>
      <w:proofErr w:type="spellStart"/>
      <w:r>
        <w:rPr>
          <w:rFonts w:ascii="Times New Roman" w:eastAsia="Times New Roman" w:hAnsi="Times New Roman" w:cs="Times New Roman"/>
          <w:color w:val="000000"/>
          <w:sz w:val="24"/>
          <w:szCs w:val="24"/>
          <w:highlight w:val="white"/>
        </w:rPr>
        <w:t>panjang</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ini</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adalah</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terlalu</w:t>
      </w:r>
      <w:proofErr w:type="spellEnd"/>
      <w:r>
        <w:rPr>
          <w:rFonts w:ascii="Times New Roman" w:eastAsia="Times New Roman" w:hAnsi="Times New Roman" w:cs="Times New Roman"/>
          <w:color w:val="000000"/>
          <w:sz w:val="24"/>
          <w:szCs w:val="24"/>
          <w:highlight w:val="white"/>
        </w:rPr>
        <w:t xml:space="preserve"> lama, </w:t>
      </w:r>
      <w:proofErr w:type="spellStart"/>
      <w:r>
        <w:rPr>
          <w:rFonts w:ascii="Times New Roman" w:eastAsia="Times New Roman" w:hAnsi="Times New Roman" w:cs="Times New Roman"/>
          <w:color w:val="000000"/>
          <w:sz w:val="24"/>
          <w:szCs w:val="24"/>
          <w:highlight w:val="white"/>
        </w:rPr>
        <w:t>melampau</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berlebihan</w:t>
      </w:r>
      <w:proofErr w:type="spellEnd"/>
      <w:r>
        <w:rPr>
          <w:rFonts w:ascii="Times New Roman" w:eastAsia="Times New Roman" w:hAnsi="Times New Roman" w:cs="Times New Roman"/>
          <w:color w:val="000000"/>
          <w:sz w:val="24"/>
          <w:szCs w:val="24"/>
          <w:highlight w:val="white"/>
        </w:rPr>
        <w:t xml:space="preserve"> dan </w:t>
      </w:r>
      <w:proofErr w:type="spellStart"/>
      <w:r>
        <w:rPr>
          <w:rFonts w:ascii="Times New Roman" w:eastAsia="Times New Roman" w:hAnsi="Times New Roman" w:cs="Times New Roman"/>
          <w:color w:val="000000"/>
          <w:sz w:val="24"/>
          <w:szCs w:val="24"/>
          <w:highlight w:val="white"/>
        </w:rPr>
        <w:t>tidak</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boleh</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dimaafkan</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mengikut</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keadaan</w:t>
      </w:r>
      <w:proofErr w:type="spellEnd"/>
      <w:r>
        <w:rPr>
          <w:rFonts w:ascii="Times New Roman" w:eastAsia="Times New Roman" w:hAnsi="Times New Roman" w:cs="Times New Roman"/>
          <w:color w:val="000000"/>
          <w:sz w:val="24"/>
          <w:szCs w:val="24"/>
          <w:highlight w:val="white"/>
        </w:rPr>
        <w:t xml:space="preserve">. </w:t>
      </w:r>
    </w:p>
    <w:p w14:paraId="0000007C" w14:textId="77777777" w:rsidR="00E97409" w:rsidRDefault="00E97409" w:rsidP="00690802">
      <w:pPr>
        <w:pBdr>
          <w:top w:val="nil"/>
          <w:left w:val="nil"/>
          <w:bottom w:val="nil"/>
          <w:right w:val="nil"/>
          <w:between w:val="nil"/>
        </w:pBdr>
        <w:spacing w:after="0" w:line="240" w:lineRule="auto"/>
        <w:ind w:left="720"/>
        <w:jc w:val="both"/>
        <w:rPr>
          <w:rFonts w:ascii="Times New Roman" w:eastAsia="Times New Roman" w:hAnsi="Times New Roman" w:cs="Times New Roman"/>
          <w:sz w:val="24"/>
          <w:szCs w:val="24"/>
          <w:highlight w:val="white"/>
        </w:rPr>
      </w:pPr>
      <w:bookmarkStart w:id="5" w:name="_heading=h.ijy948v9q0rl" w:colFirst="0" w:colLast="0"/>
      <w:bookmarkEnd w:id="5"/>
    </w:p>
    <w:p w14:paraId="0000007D" w14:textId="77777777" w:rsidR="00E97409" w:rsidRDefault="007741DD" w:rsidP="00690802">
      <w:pPr>
        <w:spacing w:line="240" w:lineRule="auto"/>
        <w:jc w:val="center"/>
        <w:rPr>
          <w:rFonts w:ascii="Times New Roman" w:eastAsia="Times New Roman" w:hAnsi="Times New Roman" w:cs="Times New Roman"/>
          <w:b/>
          <w:highlight w:val="white"/>
        </w:rPr>
      </w:pPr>
      <w:proofErr w:type="spellStart"/>
      <w:r>
        <w:rPr>
          <w:rFonts w:ascii="Times New Roman" w:eastAsia="Times New Roman" w:hAnsi="Times New Roman" w:cs="Times New Roman"/>
          <w:b/>
          <w:highlight w:val="white"/>
        </w:rPr>
        <w:t>Perkara</w:t>
      </w:r>
      <w:proofErr w:type="spellEnd"/>
      <w:r>
        <w:rPr>
          <w:rFonts w:ascii="Times New Roman" w:eastAsia="Times New Roman" w:hAnsi="Times New Roman" w:cs="Times New Roman"/>
          <w:b/>
          <w:highlight w:val="white"/>
        </w:rPr>
        <w:t xml:space="preserve"> yang </w:t>
      </w:r>
      <w:proofErr w:type="spellStart"/>
      <w:r>
        <w:rPr>
          <w:rFonts w:ascii="Times New Roman" w:eastAsia="Times New Roman" w:hAnsi="Times New Roman" w:cs="Times New Roman"/>
          <w:b/>
          <w:highlight w:val="white"/>
        </w:rPr>
        <w:t>perlu</w:t>
      </w:r>
      <w:proofErr w:type="spellEnd"/>
      <w:r>
        <w:rPr>
          <w:rFonts w:ascii="Times New Roman" w:eastAsia="Times New Roman" w:hAnsi="Times New Roman" w:cs="Times New Roman"/>
          <w:b/>
          <w:highlight w:val="white"/>
        </w:rPr>
        <w:t xml:space="preserve"> </w:t>
      </w:r>
      <w:proofErr w:type="spellStart"/>
      <w:r>
        <w:rPr>
          <w:rFonts w:ascii="Times New Roman" w:eastAsia="Times New Roman" w:hAnsi="Times New Roman" w:cs="Times New Roman"/>
          <w:b/>
          <w:highlight w:val="white"/>
        </w:rPr>
        <w:t>dirayu</w:t>
      </w:r>
      <w:proofErr w:type="spellEnd"/>
      <w:r>
        <w:rPr>
          <w:rFonts w:ascii="Times New Roman" w:eastAsia="Times New Roman" w:hAnsi="Times New Roman" w:cs="Times New Roman"/>
          <w:b/>
          <w:highlight w:val="white"/>
        </w:rPr>
        <w:t xml:space="preserve"> </w:t>
      </w:r>
      <w:proofErr w:type="spellStart"/>
      <w:r>
        <w:rPr>
          <w:rFonts w:ascii="Times New Roman" w:eastAsia="Times New Roman" w:hAnsi="Times New Roman" w:cs="Times New Roman"/>
          <w:b/>
          <w:highlight w:val="white"/>
        </w:rPr>
        <w:t>dengan</w:t>
      </w:r>
      <w:proofErr w:type="spellEnd"/>
      <w:r>
        <w:rPr>
          <w:rFonts w:ascii="Times New Roman" w:eastAsia="Times New Roman" w:hAnsi="Times New Roman" w:cs="Times New Roman"/>
          <w:b/>
          <w:highlight w:val="white"/>
        </w:rPr>
        <w:t xml:space="preserve"> </w:t>
      </w:r>
      <w:proofErr w:type="spellStart"/>
      <w:r>
        <w:rPr>
          <w:rFonts w:ascii="Times New Roman" w:eastAsia="Times New Roman" w:hAnsi="Times New Roman" w:cs="Times New Roman"/>
          <w:b/>
          <w:highlight w:val="white"/>
        </w:rPr>
        <w:t>khususnya</w:t>
      </w:r>
      <w:proofErr w:type="spellEnd"/>
      <w:r>
        <w:rPr>
          <w:rFonts w:ascii="Times New Roman" w:eastAsia="Times New Roman" w:hAnsi="Times New Roman" w:cs="Times New Roman"/>
          <w:b/>
          <w:highlight w:val="white"/>
        </w:rPr>
        <w:t xml:space="preserve"> di United Kingdom</w:t>
      </w:r>
    </w:p>
    <w:p w14:paraId="0000007E" w14:textId="77777777" w:rsidR="00E97409" w:rsidRDefault="007741DD" w:rsidP="00690802">
      <w:pPr>
        <w:spacing w:line="240" w:lineRule="auto"/>
        <w:ind w:firstLine="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Di United Kingdom, </w:t>
      </w:r>
      <w:proofErr w:type="spellStart"/>
      <w:r>
        <w:rPr>
          <w:rFonts w:ascii="Times New Roman" w:eastAsia="Times New Roman" w:hAnsi="Times New Roman" w:cs="Times New Roman"/>
          <w:sz w:val="24"/>
          <w:szCs w:val="24"/>
          <w:highlight w:val="white"/>
        </w:rPr>
        <w:t>peruntukan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untuk</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perkara</w:t>
      </w:r>
      <w:proofErr w:type="spellEnd"/>
      <w:r>
        <w:rPr>
          <w:rFonts w:ascii="Times New Roman" w:eastAsia="Times New Roman" w:hAnsi="Times New Roman" w:cs="Times New Roman"/>
          <w:sz w:val="24"/>
          <w:szCs w:val="24"/>
          <w:highlight w:val="white"/>
        </w:rPr>
        <w:t xml:space="preserve"> yang </w:t>
      </w:r>
      <w:proofErr w:type="spellStart"/>
      <w:r>
        <w:rPr>
          <w:rFonts w:ascii="Times New Roman" w:eastAsia="Times New Roman" w:hAnsi="Times New Roman" w:cs="Times New Roman"/>
          <w:sz w:val="24"/>
          <w:szCs w:val="24"/>
          <w:highlight w:val="white"/>
        </w:rPr>
        <w:t>perlu</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dirayu</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dengan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khususnya</w:t>
      </w:r>
      <w:proofErr w:type="spellEnd"/>
      <w:r>
        <w:rPr>
          <w:rFonts w:ascii="Times New Roman" w:eastAsia="Times New Roman" w:hAnsi="Times New Roman" w:cs="Times New Roman"/>
          <w:sz w:val="24"/>
          <w:szCs w:val="24"/>
          <w:highlight w:val="white"/>
        </w:rPr>
        <w:t xml:space="preserve"> di United Kingdom </w:t>
      </w:r>
      <w:proofErr w:type="spellStart"/>
      <w:r>
        <w:rPr>
          <w:rFonts w:ascii="Times New Roman" w:eastAsia="Times New Roman" w:hAnsi="Times New Roman" w:cs="Times New Roman"/>
          <w:sz w:val="24"/>
          <w:szCs w:val="24"/>
          <w:highlight w:val="white"/>
        </w:rPr>
        <w:t>ialah</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Aturan</w:t>
      </w:r>
      <w:proofErr w:type="spellEnd"/>
      <w:r>
        <w:rPr>
          <w:rFonts w:ascii="Times New Roman" w:eastAsia="Times New Roman" w:hAnsi="Times New Roman" w:cs="Times New Roman"/>
          <w:sz w:val="24"/>
          <w:szCs w:val="24"/>
          <w:highlight w:val="white"/>
        </w:rPr>
        <w:t xml:space="preserve"> 18 </w:t>
      </w:r>
      <w:proofErr w:type="spellStart"/>
      <w:r>
        <w:rPr>
          <w:rFonts w:ascii="Times New Roman" w:eastAsia="Times New Roman" w:hAnsi="Times New Roman" w:cs="Times New Roman"/>
          <w:sz w:val="24"/>
          <w:szCs w:val="24"/>
          <w:highlight w:val="white"/>
        </w:rPr>
        <w:t>Kaedah</w:t>
      </w:r>
      <w:proofErr w:type="spellEnd"/>
      <w:r>
        <w:rPr>
          <w:rFonts w:ascii="Times New Roman" w:eastAsia="Times New Roman" w:hAnsi="Times New Roman" w:cs="Times New Roman"/>
          <w:sz w:val="24"/>
          <w:szCs w:val="24"/>
          <w:highlight w:val="white"/>
        </w:rPr>
        <w:t xml:space="preserve"> 8 Rules of the Supreme Court (‘RSC’). </w:t>
      </w:r>
      <w:proofErr w:type="spellStart"/>
      <w:r>
        <w:rPr>
          <w:rFonts w:ascii="Times New Roman" w:eastAsia="Times New Roman" w:hAnsi="Times New Roman" w:cs="Times New Roman"/>
          <w:sz w:val="24"/>
          <w:szCs w:val="24"/>
          <w:highlight w:val="white"/>
        </w:rPr>
        <w:t>Namun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demikian</w:t>
      </w:r>
      <w:proofErr w:type="spellEnd"/>
      <w:r>
        <w:rPr>
          <w:rFonts w:ascii="Times New Roman" w:eastAsia="Times New Roman" w:hAnsi="Times New Roman" w:cs="Times New Roman"/>
          <w:sz w:val="24"/>
          <w:szCs w:val="24"/>
          <w:highlight w:val="white"/>
        </w:rPr>
        <w:t xml:space="preserve">, Rules of the Supreme Court </w:t>
      </w:r>
      <w:proofErr w:type="spellStart"/>
      <w:r>
        <w:rPr>
          <w:rFonts w:ascii="Times New Roman" w:eastAsia="Times New Roman" w:hAnsi="Times New Roman" w:cs="Times New Roman"/>
          <w:sz w:val="24"/>
          <w:szCs w:val="24"/>
          <w:highlight w:val="white"/>
        </w:rPr>
        <w:t>telah</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dimansuhkan</w:t>
      </w:r>
      <w:proofErr w:type="spellEnd"/>
      <w:r>
        <w:rPr>
          <w:rFonts w:ascii="Times New Roman" w:eastAsia="Times New Roman" w:hAnsi="Times New Roman" w:cs="Times New Roman"/>
          <w:sz w:val="24"/>
          <w:szCs w:val="24"/>
          <w:highlight w:val="white"/>
        </w:rPr>
        <w:t xml:space="preserve"> dan </w:t>
      </w:r>
      <w:proofErr w:type="spellStart"/>
      <w:r>
        <w:rPr>
          <w:rFonts w:ascii="Times New Roman" w:eastAsia="Times New Roman" w:hAnsi="Times New Roman" w:cs="Times New Roman"/>
          <w:sz w:val="24"/>
          <w:szCs w:val="24"/>
          <w:highlight w:val="white"/>
        </w:rPr>
        <w:t>telah</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digantikan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dengan</w:t>
      </w:r>
      <w:proofErr w:type="spellEnd"/>
      <w:r>
        <w:rPr>
          <w:rFonts w:ascii="Times New Roman" w:eastAsia="Times New Roman" w:hAnsi="Times New Roman" w:cs="Times New Roman"/>
          <w:sz w:val="24"/>
          <w:szCs w:val="24"/>
          <w:highlight w:val="white"/>
        </w:rPr>
        <w:t xml:space="preserve"> Civil Procedure Rules 1998 (‘CPR’). </w:t>
      </w:r>
      <w:proofErr w:type="spellStart"/>
      <w:r>
        <w:rPr>
          <w:rFonts w:ascii="Times New Roman" w:eastAsia="Times New Roman" w:hAnsi="Times New Roman" w:cs="Times New Roman"/>
          <w:sz w:val="24"/>
          <w:szCs w:val="24"/>
          <w:highlight w:val="white"/>
        </w:rPr>
        <w:t>Kini</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undang-undang</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ini</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jelas</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digariskan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bawah</w:t>
      </w:r>
      <w:proofErr w:type="spellEnd"/>
      <w:r>
        <w:rPr>
          <w:rFonts w:ascii="Times New Roman" w:eastAsia="Times New Roman" w:hAnsi="Times New Roman" w:cs="Times New Roman"/>
          <w:sz w:val="24"/>
          <w:szCs w:val="24"/>
          <w:highlight w:val="white"/>
        </w:rPr>
        <w:t xml:space="preserve"> Part 16 CPR Statements of Case dan Practice Direction 16. </w:t>
      </w:r>
      <w:proofErr w:type="spellStart"/>
      <w:r>
        <w:rPr>
          <w:rFonts w:ascii="Times New Roman" w:eastAsia="Times New Roman" w:hAnsi="Times New Roman" w:cs="Times New Roman"/>
          <w:sz w:val="24"/>
          <w:szCs w:val="24"/>
          <w:highlight w:val="white"/>
        </w:rPr>
        <w:t>Terdapat</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beberapa</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perbezaan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utama</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peruntukan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ini</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dalam</w:t>
      </w:r>
      <w:proofErr w:type="spellEnd"/>
      <w:r>
        <w:rPr>
          <w:rFonts w:ascii="Times New Roman" w:eastAsia="Times New Roman" w:hAnsi="Times New Roman" w:cs="Times New Roman"/>
          <w:sz w:val="24"/>
          <w:szCs w:val="24"/>
          <w:highlight w:val="white"/>
        </w:rPr>
        <w:t xml:space="preserve"> RSC </w:t>
      </w:r>
      <w:proofErr w:type="spellStart"/>
      <w:r>
        <w:rPr>
          <w:rFonts w:ascii="Times New Roman" w:eastAsia="Times New Roman" w:hAnsi="Times New Roman" w:cs="Times New Roman"/>
          <w:sz w:val="24"/>
          <w:szCs w:val="24"/>
          <w:highlight w:val="white"/>
        </w:rPr>
        <w:t>dengan</w:t>
      </w:r>
      <w:proofErr w:type="spellEnd"/>
      <w:r>
        <w:rPr>
          <w:rFonts w:ascii="Times New Roman" w:eastAsia="Times New Roman" w:hAnsi="Times New Roman" w:cs="Times New Roman"/>
          <w:sz w:val="24"/>
          <w:szCs w:val="24"/>
          <w:highlight w:val="white"/>
        </w:rPr>
        <w:t xml:space="preserve"> CPR: - </w:t>
      </w:r>
      <w:proofErr w:type="spellStart"/>
      <w:r>
        <w:rPr>
          <w:rFonts w:ascii="Times New Roman" w:eastAsia="Times New Roman" w:hAnsi="Times New Roman" w:cs="Times New Roman"/>
          <w:sz w:val="24"/>
          <w:szCs w:val="24"/>
          <w:highlight w:val="white"/>
        </w:rPr>
        <w:t>i</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pernyataan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kes</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perlu</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disahkan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dengan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sebuah</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pernyataan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kebenaran</w:t>
      </w:r>
      <w:proofErr w:type="spellEnd"/>
      <w:r>
        <w:rPr>
          <w:rFonts w:ascii="Times New Roman" w:eastAsia="Times New Roman" w:hAnsi="Times New Roman" w:cs="Times New Roman"/>
          <w:sz w:val="24"/>
          <w:szCs w:val="24"/>
          <w:highlight w:val="white"/>
        </w:rPr>
        <w:t xml:space="preserve">; dan ii) </w:t>
      </w:r>
      <w:proofErr w:type="spellStart"/>
      <w:r>
        <w:rPr>
          <w:rFonts w:ascii="Times New Roman" w:eastAsia="Times New Roman" w:hAnsi="Times New Roman" w:cs="Times New Roman"/>
          <w:sz w:val="24"/>
          <w:szCs w:val="24"/>
          <w:highlight w:val="white"/>
        </w:rPr>
        <w:t>pernyataan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pembelaan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perlulah</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menyeluruh</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dalam</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menjawab</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butiran-butiran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tuntutan</w:t>
      </w:r>
      <w:proofErr w:type="spellEnd"/>
      <w:r>
        <w:rPr>
          <w:rFonts w:ascii="Times New Roman" w:eastAsia="Times New Roman" w:hAnsi="Times New Roman" w:cs="Times New Roman"/>
          <w:sz w:val="24"/>
          <w:szCs w:val="24"/>
          <w:highlight w:val="white"/>
        </w:rPr>
        <w:t>/</w:t>
      </w:r>
      <w:proofErr w:type="spellStart"/>
      <w:r>
        <w:rPr>
          <w:rFonts w:ascii="Times New Roman" w:eastAsia="Times New Roman" w:hAnsi="Times New Roman" w:cs="Times New Roman"/>
          <w:sz w:val="24"/>
          <w:szCs w:val="24"/>
          <w:highlight w:val="white"/>
        </w:rPr>
        <w:t>pernyataan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tuntutan</w:t>
      </w:r>
      <w:proofErr w:type="spellEnd"/>
      <w:r>
        <w:rPr>
          <w:rFonts w:ascii="Times New Roman" w:eastAsia="Times New Roman" w:hAnsi="Times New Roman" w:cs="Times New Roman"/>
          <w:sz w:val="24"/>
          <w:szCs w:val="24"/>
          <w:highlight w:val="white"/>
        </w:rPr>
        <w:t xml:space="preserve"> dan </w:t>
      </w:r>
      <w:proofErr w:type="spellStart"/>
      <w:r>
        <w:rPr>
          <w:rFonts w:ascii="Times New Roman" w:eastAsia="Times New Roman" w:hAnsi="Times New Roman" w:cs="Times New Roman"/>
          <w:sz w:val="24"/>
          <w:szCs w:val="24"/>
          <w:highlight w:val="white"/>
        </w:rPr>
        <w:t>penafian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ringkas</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terhadap</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dakwaan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tidak</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akan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mencukupi</w:t>
      </w:r>
      <w:proofErr w:type="spellEnd"/>
      <w:r>
        <w:rPr>
          <w:rFonts w:ascii="Times New Roman" w:eastAsia="Times New Roman" w:hAnsi="Times New Roman" w:cs="Times New Roman"/>
          <w:sz w:val="24"/>
          <w:szCs w:val="24"/>
          <w:highlight w:val="white"/>
        </w:rPr>
        <w:t xml:space="preserve">. </w:t>
      </w:r>
    </w:p>
    <w:p w14:paraId="0000007F" w14:textId="3CFE0FF3" w:rsidR="00E97409" w:rsidRDefault="007741DD" w:rsidP="00690802">
      <w:pPr>
        <w:spacing w:line="240" w:lineRule="auto"/>
        <w:ind w:firstLine="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Part 16.4 </w:t>
      </w:r>
      <w:r w:rsidR="00690802">
        <w:rPr>
          <w:rFonts w:ascii="Times New Roman" w:eastAsia="Times New Roman" w:hAnsi="Times New Roman" w:cs="Times New Roman"/>
          <w:sz w:val="24"/>
          <w:szCs w:val="24"/>
          <w:highlight w:val="white"/>
        </w:rPr>
        <w:t>CPR</w:t>
      </w:r>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adalah</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ditetapkan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seperti</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berikut</w:t>
      </w:r>
      <w:proofErr w:type="spellEnd"/>
      <w:r>
        <w:rPr>
          <w:rFonts w:ascii="Times New Roman" w:eastAsia="Times New Roman" w:hAnsi="Times New Roman" w:cs="Times New Roman"/>
          <w:sz w:val="24"/>
          <w:szCs w:val="24"/>
          <w:highlight w:val="white"/>
        </w:rPr>
        <w:t xml:space="preserve">: - </w:t>
      </w:r>
    </w:p>
    <w:p w14:paraId="00000080" w14:textId="77777777" w:rsidR="00E97409" w:rsidRDefault="007741DD" w:rsidP="00690802">
      <w:pPr>
        <w:spacing w:after="0" w:line="240" w:lineRule="auto"/>
        <w:ind w:firstLine="720"/>
        <w:jc w:val="both"/>
        <w:rPr>
          <w:rFonts w:ascii="Times New Roman" w:eastAsia="Times New Roman" w:hAnsi="Times New Roman" w:cs="Times New Roman"/>
          <w:i/>
          <w:sz w:val="20"/>
          <w:szCs w:val="20"/>
          <w:highlight w:val="white"/>
        </w:rPr>
      </w:pPr>
      <w:r>
        <w:rPr>
          <w:rFonts w:ascii="Times New Roman" w:eastAsia="Times New Roman" w:hAnsi="Times New Roman" w:cs="Times New Roman"/>
          <w:i/>
          <w:sz w:val="20"/>
          <w:szCs w:val="20"/>
          <w:highlight w:val="white"/>
        </w:rPr>
        <w:t>“Contents of the particulars of claim</w:t>
      </w:r>
    </w:p>
    <w:p w14:paraId="00000081" w14:textId="77777777" w:rsidR="00E97409" w:rsidRDefault="007741DD" w:rsidP="00690802">
      <w:pPr>
        <w:spacing w:after="0" w:line="240" w:lineRule="auto"/>
        <w:ind w:firstLine="720"/>
        <w:jc w:val="both"/>
        <w:rPr>
          <w:rFonts w:ascii="Times New Roman" w:eastAsia="Times New Roman" w:hAnsi="Times New Roman" w:cs="Times New Roman"/>
          <w:i/>
          <w:sz w:val="20"/>
          <w:szCs w:val="20"/>
          <w:highlight w:val="white"/>
        </w:rPr>
      </w:pPr>
      <w:r>
        <w:rPr>
          <w:rFonts w:ascii="Times New Roman" w:eastAsia="Times New Roman" w:hAnsi="Times New Roman" w:cs="Times New Roman"/>
          <w:i/>
          <w:sz w:val="20"/>
          <w:szCs w:val="20"/>
          <w:highlight w:val="white"/>
        </w:rPr>
        <w:t>16.4</w:t>
      </w:r>
    </w:p>
    <w:p w14:paraId="00000082" w14:textId="77777777" w:rsidR="00E97409" w:rsidRDefault="007741DD" w:rsidP="00690802">
      <w:pPr>
        <w:spacing w:after="0" w:line="240" w:lineRule="auto"/>
        <w:ind w:firstLine="720"/>
        <w:jc w:val="both"/>
        <w:rPr>
          <w:rFonts w:ascii="Times New Roman" w:eastAsia="Times New Roman" w:hAnsi="Times New Roman" w:cs="Times New Roman"/>
          <w:i/>
          <w:sz w:val="20"/>
          <w:szCs w:val="20"/>
          <w:highlight w:val="white"/>
        </w:rPr>
      </w:pPr>
      <w:r>
        <w:rPr>
          <w:rFonts w:ascii="Times New Roman" w:eastAsia="Times New Roman" w:hAnsi="Times New Roman" w:cs="Times New Roman"/>
          <w:i/>
          <w:sz w:val="20"/>
          <w:szCs w:val="20"/>
          <w:highlight w:val="white"/>
        </w:rPr>
        <w:t>(1) Particulars of claim must include –</w:t>
      </w:r>
    </w:p>
    <w:p w14:paraId="00000083" w14:textId="77777777" w:rsidR="00E97409" w:rsidRDefault="007741DD" w:rsidP="00690802">
      <w:pPr>
        <w:spacing w:after="0" w:line="240" w:lineRule="auto"/>
        <w:ind w:firstLine="720"/>
        <w:jc w:val="both"/>
        <w:rPr>
          <w:rFonts w:ascii="Times New Roman" w:eastAsia="Times New Roman" w:hAnsi="Times New Roman" w:cs="Times New Roman"/>
          <w:b/>
          <w:i/>
          <w:sz w:val="20"/>
          <w:szCs w:val="20"/>
          <w:highlight w:val="white"/>
        </w:rPr>
      </w:pPr>
      <w:r>
        <w:rPr>
          <w:rFonts w:ascii="Times New Roman" w:eastAsia="Times New Roman" w:hAnsi="Times New Roman" w:cs="Times New Roman"/>
          <w:b/>
          <w:i/>
          <w:sz w:val="20"/>
          <w:szCs w:val="20"/>
          <w:highlight w:val="white"/>
        </w:rPr>
        <w:t>(a) a concise statement of the facts on which the claimant relies;</w:t>
      </w:r>
    </w:p>
    <w:p w14:paraId="00000084" w14:textId="77777777" w:rsidR="00E97409" w:rsidRDefault="007741DD" w:rsidP="00690802">
      <w:pPr>
        <w:spacing w:after="0" w:line="240" w:lineRule="auto"/>
        <w:ind w:left="720"/>
        <w:jc w:val="both"/>
        <w:rPr>
          <w:rFonts w:ascii="Times New Roman" w:eastAsia="Times New Roman" w:hAnsi="Times New Roman" w:cs="Times New Roman"/>
          <w:b/>
          <w:i/>
          <w:sz w:val="20"/>
          <w:szCs w:val="20"/>
          <w:highlight w:val="white"/>
        </w:rPr>
      </w:pPr>
      <w:r>
        <w:rPr>
          <w:rFonts w:ascii="Times New Roman" w:eastAsia="Times New Roman" w:hAnsi="Times New Roman" w:cs="Times New Roman"/>
          <w:b/>
          <w:i/>
          <w:sz w:val="20"/>
          <w:szCs w:val="20"/>
          <w:highlight w:val="white"/>
        </w:rPr>
        <w:t>(b) if the claimant is seeking interest, a statement to that effect and the details set out in paragraph (2);</w:t>
      </w:r>
    </w:p>
    <w:p w14:paraId="00000085" w14:textId="77777777" w:rsidR="00E97409" w:rsidRDefault="007741DD" w:rsidP="00690802">
      <w:pPr>
        <w:spacing w:after="0" w:line="240" w:lineRule="auto"/>
        <w:ind w:left="720"/>
        <w:jc w:val="both"/>
        <w:rPr>
          <w:rFonts w:ascii="Times New Roman" w:eastAsia="Times New Roman" w:hAnsi="Times New Roman" w:cs="Times New Roman"/>
          <w:b/>
          <w:i/>
          <w:sz w:val="20"/>
          <w:szCs w:val="20"/>
          <w:highlight w:val="white"/>
        </w:rPr>
      </w:pPr>
      <w:r>
        <w:rPr>
          <w:rFonts w:ascii="Times New Roman" w:eastAsia="Times New Roman" w:hAnsi="Times New Roman" w:cs="Times New Roman"/>
          <w:b/>
          <w:i/>
          <w:sz w:val="20"/>
          <w:szCs w:val="20"/>
          <w:highlight w:val="white"/>
        </w:rPr>
        <w:t>(c) if the claimant is seeking aggravated damages or exemplary damages, a statement to that effect and his grounds for claiming them;</w:t>
      </w:r>
    </w:p>
    <w:p w14:paraId="00000086" w14:textId="77777777" w:rsidR="00E97409" w:rsidRDefault="007741DD" w:rsidP="00690802">
      <w:pPr>
        <w:spacing w:after="0" w:line="240" w:lineRule="auto"/>
        <w:ind w:left="720"/>
        <w:jc w:val="both"/>
        <w:rPr>
          <w:rFonts w:ascii="Times New Roman" w:eastAsia="Times New Roman" w:hAnsi="Times New Roman" w:cs="Times New Roman"/>
          <w:b/>
          <w:i/>
          <w:sz w:val="20"/>
          <w:szCs w:val="20"/>
          <w:highlight w:val="white"/>
        </w:rPr>
      </w:pPr>
      <w:r>
        <w:rPr>
          <w:rFonts w:ascii="Times New Roman" w:eastAsia="Times New Roman" w:hAnsi="Times New Roman" w:cs="Times New Roman"/>
          <w:b/>
          <w:i/>
          <w:sz w:val="20"/>
          <w:szCs w:val="20"/>
          <w:highlight w:val="white"/>
        </w:rPr>
        <w:t>(d) if the claimant is seeking provisional damages, a statement to that effect and his grounds for claiming them; and</w:t>
      </w:r>
    </w:p>
    <w:p w14:paraId="00000087" w14:textId="77777777" w:rsidR="00E97409" w:rsidRDefault="007741DD" w:rsidP="00690802">
      <w:pPr>
        <w:spacing w:after="0" w:line="240" w:lineRule="auto"/>
        <w:ind w:firstLine="720"/>
        <w:jc w:val="both"/>
        <w:rPr>
          <w:rFonts w:ascii="Times New Roman" w:eastAsia="Times New Roman" w:hAnsi="Times New Roman" w:cs="Times New Roman"/>
          <w:b/>
          <w:i/>
          <w:sz w:val="20"/>
          <w:szCs w:val="20"/>
          <w:highlight w:val="white"/>
        </w:rPr>
      </w:pPr>
      <w:r>
        <w:rPr>
          <w:rFonts w:ascii="Times New Roman" w:eastAsia="Times New Roman" w:hAnsi="Times New Roman" w:cs="Times New Roman"/>
          <w:b/>
          <w:i/>
          <w:sz w:val="20"/>
          <w:szCs w:val="20"/>
          <w:highlight w:val="white"/>
        </w:rPr>
        <w:t>(e) such other matters as may be set out in a practice direction.</w:t>
      </w:r>
    </w:p>
    <w:p w14:paraId="00000088" w14:textId="77777777" w:rsidR="00E97409" w:rsidRDefault="00E97409" w:rsidP="00690802">
      <w:pPr>
        <w:spacing w:after="0" w:line="240" w:lineRule="auto"/>
        <w:ind w:left="720"/>
        <w:jc w:val="both"/>
        <w:rPr>
          <w:rFonts w:ascii="Times New Roman" w:eastAsia="Times New Roman" w:hAnsi="Times New Roman" w:cs="Times New Roman"/>
          <w:i/>
          <w:sz w:val="20"/>
          <w:szCs w:val="20"/>
          <w:highlight w:val="white"/>
        </w:rPr>
      </w:pPr>
    </w:p>
    <w:p w14:paraId="00000089" w14:textId="77777777" w:rsidR="00E97409" w:rsidRDefault="007741DD" w:rsidP="00690802">
      <w:pPr>
        <w:spacing w:after="0" w:line="240" w:lineRule="auto"/>
        <w:ind w:left="720"/>
        <w:jc w:val="both"/>
        <w:rPr>
          <w:rFonts w:ascii="Times New Roman" w:eastAsia="Times New Roman" w:hAnsi="Times New Roman" w:cs="Times New Roman"/>
          <w:i/>
          <w:sz w:val="20"/>
          <w:szCs w:val="20"/>
          <w:highlight w:val="white"/>
        </w:rPr>
      </w:pPr>
      <w:r>
        <w:rPr>
          <w:rFonts w:ascii="Times New Roman" w:eastAsia="Times New Roman" w:hAnsi="Times New Roman" w:cs="Times New Roman"/>
          <w:i/>
          <w:sz w:val="20"/>
          <w:szCs w:val="20"/>
          <w:highlight w:val="white"/>
        </w:rPr>
        <w:t>(2) If the claimant is seeking interest he must –</w:t>
      </w:r>
    </w:p>
    <w:p w14:paraId="0000008A" w14:textId="77777777" w:rsidR="00E97409" w:rsidRDefault="007741DD" w:rsidP="00690802">
      <w:pPr>
        <w:spacing w:after="0" w:line="240" w:lineRule="auto"/>
        <w:ind w:left="720"/>
        <w:jc w:val="both"/>
        <w:rPr>
          <w:rFonts w:ascii="Times New Roman" w:eastAsia="Times New Roman" w:hAnsi="Times New Roman" w:cs="Times New Roman"/>
          <w:i/>
          <w:sz w:val="20"/>
          <w:szCs w:val="20"/>
          <w:highlight w:val="white"/>
        </w:rPr>
      </w:pPr>
      <w:r>
        <w:rPr>
          <w:rFonts w:ascii="Times New Roman" w:eastAsia="Times New Roman" w:hAnsi="Times New Roman" w:cs="Times New Roman"/>
          <w:i/>
          <w:sz w:val="20"/>
          <w:szCs w:val="20"/>
          <w:highlight w:val="white"/>
        </w:rPr>
        <w:t>(a) state whether he is doing so –</w:t>
      </w:r>
    </w:p>
    <w:p w14:paraId="0000008B" w14:textId="77777777" w:rsidR="00E97409" w:rsidRDefault="007741DD" w:rsidP="00690802">
      <w:pPr>
        <w:spacing w:after="0" w:line="240" w:lineRule="auto"/>
        <w:ind w:left="720"/>
        <w:jc w:val="both"/>
        <w:rPr>
          <w:rFonts w:ascii="Times New Roman" w:eastAsia="Times New Roman" w:hAnsi="Times New Roman" w:cs="Times New Roman"/>
          <w:i/>
          <w:sz w:val="20"/>
          <w:szCs w:val="20"/>
          <w:highlight w:val="white"/>
        </w:rPr>
      </w:pPr>
      <w:r>
        <w:rPr>
          <w:rFonts w:ascii="Times New Roman" w:eastAsia="Times New Roman" w:hAnsi="Times New Roman" w:cs="Times New Roman"/>
          <w:i/>
          <w:sz w:val="20"/>
          <w:szCs w:val="20"/>
          <w:highlight w:val="white"/>
        </w:rPr>
        <w:t>(</w:t>
      </w:r>
      <w:proofErr w:type="spellStart"/>
      <w:r>
        <w:rPr>
          <w:rFonts w:ascii="Times New Roman" w:eastAsia="Times New Roman" w:hAnsi="Times New Roman" w:cs="Times New Roman"/>
          <w:i/>
          <w:sz w:val="20"/>
          <w:szCs w:val="20"/>
          <w:highlight w:val="white"/>
        </w:rPr>
        <w:t>i</w:t>
      </w:r>
      <w:proofErr w:type="spellEnd"/>
      <w:r>
        <w:rPr>
          <w:rFonts w:ascii="Times New Roman" w:eastAsia="Times New Roman" w:hAnsi="Times New Roman" w:cs="Times New Roman"/>
          <w:i/>
          <w:sz w:val="20"/>
          <w:szCs w:val="20"/>
          <w:highlight w:val="white"/>
        </w:rPr>
        <w:t>) under the terms of a contract;</w:t>
      </w:r>
    </w:p>
    <w:p w14:paraId="0000008C" w14:textId="77777777" w:rsidR="00E97409" w:rsidRDefault="007741DD" w:rsidP="00690802">
      <w:pPr>
        <w:spacing w:after="0" w:line="240" w:lineRule="auto"/>
        <w:ind w:left="720"/>
        <w:jc w:val="both"/>
        <w:rPr>
          <w:rFonts w:ascii="Times New Roman" w:eastAsia="Times New Roman" w:hAnsi="Times New Roman" w:cs="Times New Roman"/>
          <w:i/>
          <w:sz w:val="20"/>
          <w:szCs w:val="20"/>
          <w:highlight w:val="white"/>
        </w:rPr>
      </w:pPr>
      <w:r>
        <w:rPr>
          <w:rFonts w:ascii="Times New Roman" w:eastAsia="Times New Roman" w:hAnsi="Times New Roman" w:cs="Times New Roman"/>
          <w:i/>
          <w:sz w:val="20"/>
          <w:szCs w:val="20"/>
          <w:highlight w:val="white"/>
        </w:rPr>
        <w:t>(ii) under an enactment and if so which; or</w:t>
      </w:r>
    </w:p>
    <w:p w14:paraId="0000008D" w14:textId="77777777" w:rsidR="00E97409" w:rsidRDefault="007741DD" w:rsidP="00690802">
      <w:pPr>
        <w:spacing w:after="0" w:line="240" w:lineRule="auto"/>
        <w:ind w:left="720"/>
        <w:jc w:val="both"/>
        <w:rPr>
          <w:rFonts w:ascii="Times New Roman" w:eastAsia="Times New Roman" w:hAnsi="Times New Roman" w:cs="Times New Roman"/>
          <w:i/>
          <w:sz w:val="20"/>
          <w:szCs w:val="20"/>
          <w:highlight w:val="white"/>
        </w:rPr>
      </w:pPr>
      <w:r>
        <w:rPr>
          <w:rFonts w:ascii="Times New Roman" w:eastAsia="Times New Roman" w:hAnsi="Times New Roman" w:cs="Times New Roman"/>
          <w:i/>
          <w:sz w:val="20"/>
          <w:szCs w:val="20"/>
          <w:highlight w:val="white"/>
        </w:rPr>
        <w:t xml:space="preserve">(iii) on some other basis and if </w:t>
      </w:r>
      <w:proofErr w:type="gramStart"/>
      <w:r>
        <w:rPr>
          <w:rFonts w:ascii="Times New Roman" w:eastAsia="Times New Roman" w:hAnsi="Times New Roman" w:cs="Times New Roman"/>
          <w:i/>
          <w:sz w:val="20"/>
          <w:szCs w:val="20"/>
          <w:highlight w:val="white"/>
        </w:rPr>
        <w:t>so</w:t>
      </w:r>
      <w:proofErr w:type="gramEnd"/>
      <w:r>
        <w:rPr>
          <w:rFonts w:ascii="Times New Roman" w:eastAsia="Times New Roman" w:hAnsi="Times New Roman" w:cs="Times New Roman"/>
          <w:i/>
          <w:sz w:val="20"/>
          <w:szCs w:val="20"/>
          <w:highlight w:val="white"/>
        </w:rPr>
        <w:t xml:space="preserve"> what that basis is; and</w:t>
      </w:r>
    </w:p>
    <w:p w14:paraId="0000008E" w14:textId="77777777" w:rsidR="00E97409" w:rsidRDefault="007741DD" w:rsidP="00690802">
      <w:pPr>
        <w:spacing w:after="0" w:line="240" w:lineRule="auto"/>
        <w:ind w:left="720"/>
        <w:jc w:val="both"/>
        <w:rPr>
          <w:rFonts w:ascii="Times New Roman" w:eastAsia="Times New Roman" w:hAnsi="Times New Roman" w:cs="Times New Roman"/>
          <w:i/>
          <w:sz w:val="20"/>
          <w:szCs w:val="20"/>
          <w:highlight w:val="white"/>
        </w:rPr>
      </w:pPr>
      <w:r>
        <w:rPr>
          <w:rFonts w:ascii="Times New Roman" w:eastAsia="Times New Roman" w:hAnsi="Times New Roman" w:cs="Times New Roman"/>
          <w:i/>
          <w:sz w:val="20"/>
          <w:szCs w:val="20"/>
          <w:highlight w:val="white"/>
        </w:rPr>
        <w:t>(b) if the claim is for a specified amount of money, state –</w:t>
      </w:r>
    </w:p>
    <w:p w14:paraId="0000008F" w14:textId="77777777" w:rsidR="00E97409" w:rsidRDefault="007741DD" w:rsidP="00690802">
      <w:pPr>
        <w:spacing w:after="0" w:line="240" w:lineRule="auto"/>
        <w:ind w:left="720"/>
        <w:jc w:val="both"/>
        <w:rPr>
          <w:rFonts w:ascii="Times New Roman" w:eastAsia="Times New Roman" w:hAnsi="Times New Roman" w:cs="Times New Roman"/>
          <w:i/>
          <w:sz w:val="20"/>
          <w:szCs w:val="20"/>
          <w:highlight w:val="white"/>
        </w:rPr>
      </w:pPr>
      <w:r>
        <w:rPr>
          <w:rFonts w:ascii="Times New Roman" w:eastAsia="Times New Roman" w:hAnsi="Times New Roman" w:cs="Times New Roman"/>
          <w:i/>
          <w:sz w:val="20"/>
          <w:szCs w:val="20"/>
          <w:highlight w:val="white"/>
        </w:rPr>
        <w:t>(</w:t>
      </w:r>
      <w:proofErr w:type="spellStart"/>
      <w:r>
        <w:rPr>
          <w:rFonts w:ascii="Times New Roman" w:eastAsia="Times New Roman" w:hAnsi="Times New Roman" w:cs="Times New Roman"/>
          <w:i/>
          <w:sz w:val="20"/>
          <w:szCs w:val="20"/>
          <w:highlight w:val="white"/>
        </w:rPr>
        <w:t>i</w:t>
      </w:r>
      <w:proofErr w:type="spellEnd"/>
      <w:r>
        <w:rPr>
          <w:rFonts w:ascii="Times New Roman" w:eastAsia="Times New Roman" w:hAnsi="Times New Roman" w:cs="Times New Roman"/>
          <w:i/>
          <w:sz w:val="20"/>
          <w:szCs w:val="20"/>
          <w:highlight w:val="white"/>
        </w:rPr>
        <w:t>) the percentage rate at which interest is claimed;</w:t>
      </w:r>
    </w:p>
    <w:p w14:paraId="00000090" w14:textId="77777777" w:rsidR="00E97409" w:rsidRDefault="007741DD" w:rsidP="00690802">
      <w:pPr>
        <w:spacing w:after="0" w:line="240" w:lineRule="auto"/>
        <w:ind w:left="720"/>
        <w:jc w:val="both"/>
        <w:rPr>
          <w:rFonts w:ascii="Times New Roman" w:eastAsia="Times New Roman" w:hAnsi="Times New Roman" w:cs="Times New Roman"/>
          <w:i/>
          <w:sz w:val="20"/>
          <w:szCs w:val="20"/>
          <w:highlight w:val="white"/>
        </w:rPr>
      </w:pPr>
      <w:r>
        <w:rPr>
          <w:rFonts w:ascii="Times New Roman" w:eastAsia="Times New Roman" w:hAnsi="Times New Roman" w:cs="Times New Roman"/>
          <w:i/>
          <w:sz w:val="20"/>
          <w:szCs w:val="20"/>
          <w:highlight w:val="white"/>
        </w:rPr>
        <w:t>(ii) the date from which it is claimed;</w:t>
      </w:r>
    </w:p>
    <w:p w14:paraId="00000091" w14:textId="77777777" w:rsidR="00E97409" w:rsidRDefault="007741DD" w:rsidP="00690802">
      <w:pPr>
        <w:spacing w:after="0" w:line="240" w:lineRule="auto"/>
        <w:ind w:left="720"/>
        <w:jc w:val="both"/>
        <w:rPr>
          <w:rFonts w:ascii="Times New Roman" w:eastAsia="Times New Roman" w:hAnsi="Times New Roman" w:cs="Times New Roman"/>
          <w:i/>
          <w:sz w:val="20"/>
          <w:szCs w:val="20"/>
          <w:highlight w:val="white"/>
        </w:rPr>
      </w:pPr>
      <w:r>
        <w:rPr>
          <w:rFonts w:ascii="Times New Roman" w:eastAsia="Times New Roman" w:hAnsi="Times New Roman" w:cs="Times New Roman"/>
          <w:i/>
          <w:sz w:val="20"/>
          <w:szCs w:val="20"/>
          <w:highlight w:val="white"/>
        </w:rPr>
        <w:t>(iii) the date to which it is calculated, which must not be later than the date on which the claim form is issued;</w:t>
      </w:r>
    </w:p>
    <w:p w14:paraId="00000092" w14:textId="77777777" w:rsidR="00E97409" w:rsidRDefault="007741DD" w:rsidP="00690802">
      <w:pPr>
        <w:spacing w:after="0" w:line="240" w:lineRule="auto"/>
        <w:ind w:left="720"/>
        <w:jc w:val="both"/>
        <w:rPr>
          <w:rFonts w:ascii="Times New Roman" w:eastAsia="Times New Roman" w:hAnsi="Times New Roman" w:cs="Times New Roman"/>
          <w:i/>
          <w:sz w:val="20"/>
          <w:szCs w:val="20"/>
          <w:highlight w:val="white"/>
        </w:rPr>
      </w:pPr>
      <w:r>
        <w:rPr>
          <w:rFonts w:ascii="Times New Roman" w:eastAsia="Times New Roman" w:hAnsi="Times New Roman" w:cs="Times New Roman"/>
          <w:i/>
          <w:sz w:val="20"/>
          <w:szCs w:val="20"/>
          <w:highlight w:val="white"/>
        </w:rPr>
        <w:t>(iv) the total amount of interest claimed to the date of calculation; and</w:t>
      </w:r>
    </w:p>
    <w:p w14:paraId="00000093" w14:textId="77777777" w:rsidR="00E97409" w:rsidRDefault="007741DD" w:rsidP="00690802">
      <w:pPr>
        <w:spacing w:after="0" w:line="240" w:lineRule="auto"/>
        <w:ind w:left="720"/>
        <w:jc w:val="both"/>
        <w:rPr>
          <w:rFonts w:ascii="Times New Roman" w:eastAsia="Times New Roman" w:hAnsi="Times New Roman" w:cs="Times New Roman"/>
          <w:i/>
          <w:sz w:val="20"/>
          <w:szCs w:val="20"/>
          <w:highlight w:val="white"/>
        </w:rPr>
      </w:pPr>
      <w:r>
        <w:rPr>
          <w:rFonts w:ascii="Times New Roman" w:eastAsia="Times New Roman" w:hAnsi="Times New Roman" w:cs="Times New Roman"/>
          <w:i/>
          <w:sz w:val="20"/>
          <w:szCs w:val="20"/>
          <w:highlight w:val="white"/>
        </w:rPr>
        <w:t>(v) the daily rate at which interest accrues after that date.”</w:t>
      </w:r>
      <w:r>
        <w:rPr>
          <w:rFonts w:ascii="Times New Roman" w:eastAsia="Times New Roman" w:hAnsi="Times New Roman" w:cs="Times New Roman"/>
          <w:i/>
          <w:sz w:val="20"/>
          <w:szCs w:val="20"/>
          <w:highlight w:val="white"/>
          <w:vertAlign w:val="superscript"/>
        </w:rPr>
        <w:footnoteReference w:id="43"/>
      </w:r>
      <w:r>
        <w:rPr>
          <w:rFonts w:ascii="Times New Roman" w:eastAsia="Times New Roman" w:hAnsi="Times New Roman" w:cs="Times New Roman"/>
          <w:i/>
          <w:sz w:val="20"/>
          <w:szCs w:val="20"/>
          <w:highlight w:val="white"/>
        </w:rPr>
        <w:t xml:space="preserve"> </w:t>
      </w:r>
    </w:p>
    <w:p w14:paraId="00000094" w14:textId="77777777" w:rsidR="00E97409" w:rsidRDefault="00E97409" w:rsidP="00690802">
      <w:pPr>
        <w:spacing w:after="0" w:line="240" w:lineRule="auto"/>
        <w:jc w:val="both"/>
        <w:rPr>
          <w:rFonts w:ascii="Times New Roman" w:eastAsia="Times New Roman" w:hAnsi="Times New Roman" w:cs="Times New Roman"/>
          <w:i/>
          <w:sz w:val="20"/>
          <w:szCs w:val="20"/>
          <w:highlight w:val="white"/>
        </w:rPr>
      </w:pPr>
    </w:p>
    <w:p w14:paraId="00000095" w14:textId="77777777" w:rsidR="00E97409" w:rsidRDefault="007741DD" w:rsidP="00690802">
      <w:pPr>
        <w:spacing w:line="240" w:lineRule="auto"/>
        <w:ind w:firstLine="720"/>
        <w:jc w:val="both"/>
        <w:rPr>
          <w:rFonts w:ascii="Times New Roman" w:eastAsia="Times New Roman" w:hAnsi="Times New Roman" w:cs="Times New Roman"/>
          <w:sz w:val="24"/>
          <w:szCs w:val="24"/>
          <w:highlight w:val="white"/>
        </w:rPr>
      </w:pPr>
      <w:proofErr w:type="spellStart"/>
      <w:r>
        <w:rPr>
          <w:rFonts w:ascii="Times New Roman" w:eastAsia="Times New Roman" w:hAnsi="Times New Roman" w:cs="Times New Roman"/>
          <w:sz w:val="24"/>
          <w:szCs w:val="24"/>
          <w:highlight w:val="white"/>
        </w:rPr>
        <w:t>Berikutan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dengan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perkara</w:t>
      </w:r>
      <w:proofErr w:type="spellEnd"/>
      <w:r>
        <w:rPr>
          <w:rFonts w:ascii="Times New Roman" w:eastAsia="Times New Roman" w:hAnsi="Times New Roman" w:cs="Times New Roman"/>
          <w:sz w:val="24"/>
          <w:szCs w:val="24"/>
          <w:highlight w:val="white"/>
        </w:rPr>
        <w:t xml:space="preserve"> d) Part 16.4 CPR, </w:t>
      </w:r>
      <w:proofErr w:type="spellStart"/>
      <w:r>
        <w:rPr>
          <w:rFonts w:ascii="Times New Roman" w:eastAsia="Times New Roman" w:hAnsi="Times New Roman" w:cs="Times New Roman"/>
          <w:sz w:val="24"/>
          <w:szCs w:val="24"/>
          <w:highlight w:val="white"/>
        </w:rPr>
        <w:t>rujukan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boleh</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dibuat</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dalam</w:t>
      </w:r>
      <w:proofErr w:type="spellEnd"/>
      <w:r>
        <w:rPr>
          <w:rFonts w:ascii="Times New Roman" w:eastAsia="Times New Roman" w:hAnsi="Times New Roman" w:cs="Times New Roman"/>
          <w:sz w:val="24"/>
          <w:szCs w:val="24"/>
          <w:highlight w:val="white"/>
        </w:rPr>
        <w:t xml:space="preserve"> Practice Direction 16, </w:t>
      </w:r>
      <w:proofErr w:type="spellStart"/>
      <w:r>
        <w:rPr>
          <w:rFonts w:ascii="Times New Roman" w:eastAsia="Times New Roman" w:hAnsi="Times New Roman" w:cs="Times New Roman"/>
          <w:sz w:val="24"/>
          <w:szCs w:val="24"/>
          <w:highlight w:val="white"/>
        </w:rPr>
        <w:t>Perkara</w:t>
      </w:r>
      <w:proofErr w:type="spellEnd"/>
      <w:r>
        <w:rPr>
          <w:rFonts w:ascii="Times New Roman" w:eastAsia="Times New Roman" w:hAnsi="Times New Roman" w:cs="Times New Roman"/>
          <w:sz w:val="24"/>
          <w:szCs w:val="24"/>
          <w:highlight w:val="white"/>
        </w:rPr>
        <w:t xml:space="preserve"> 8.2: -</w:t>
      </w:r>
    </w:p>
    <w:p w14:paraId="00000096" w14:textId="77777777" w:rsidR="00E97409" w:rsidRDefault="007741DD" w:rsidP="00690802">
      <w:pPr>
        <w:spacing w:after="0" w:line="240" w:lineRule="auto"/>
        <w:ind w:firstLine="720"/>
        <w:jc w:val="both"/>
        <w:rPr>
          <w:rFonts w:ascii="Times New Roman" w:eastAsia="Times New Roman" w:hAnsi="Times New Roman" w:cs="Times New Roman"/>
          <w:i/>
          <w:sz w:val="20"/>
          <w:szCs w:val="20"/>
          <w:highlight w:val="white"/>
        </w:rPr>
      </w:pPr>
      <w:r>
        <w:rPr>
          <w:rFonts w:ascii="Times New Roman" w:eastAsia="Times New Roman" w:hAnsi="Times New Roman" w:cs="Times New Roman"/>
          <w:i/>
          <w:sz w:val="20"/>
          <w:szCs w:val="20"/>
          <w:highlight w:val="white"/>
        </w:rPr>
        <w:t>“Matters which must be specifically set out in the particulars of claim if relied on</w:t>
      </w:r>
    </w:p>
    <w:p w14:paraId="00000097" w14:textId="77777777" w:rsidR="00E97409" w:rsidRDefault="007741DD" w:rsidP="00690802">
      <w:pPr>
        <w:spacing w:after="0" w:line="240" w:lineRule="auto"/>
        <w:ind w:left="720"/>
        <w:jc w:val="both"/>
        <w:rPr>
          <w:rFonts w:ascii="Times New Roman" w:eastAsia="Times New Roman" w:hAnsi="Times New Roman" w:cs="Times New Roman"/>
          <w:i/>
          <w:sz w:val="20"/>
          <w:szCs w:val="20"/>
          <w:highlight w:val="white"/>
        </w:rPr>
      </w:pPr>
      <w:r>
        <w:rPr>
          <w:rFonts w:ascii="Times New Roman" w:eastAsia="Times New Roman" w:hAnsi="Times New Roman" w:cs="Times New Roman"/>
          <w:i/>
          <w:sz w:val="20"/>
          <w:szCs w:val="20"/>
          <w:highlight w:val="white"/>
        </w:rPr>
        <w:lastRenderedPageBreak/>
        <w:t>8.2 The claimant must specifically set out the following matters in his particulars of claim where he wishes to rely on them in support of his claim:</w:t>
      </w:r>
    </w:p>
    <w:p w14:paraId="00000098" w14:textId="77777777" w:rsidR="00E97409" w:rsidRDefault="007741DD" w:rsidP="00690802">
      <w:pPr>
        <w:spacing w:after="0" w:line="240" w:lineRule="auto"/>
        <w:ind w:left="720"/>
        <w:jc w:val="both"/>
        <w:rPr>
          <w:rFonts w:ascii="Times New Roman" w:eastAsia="Times New Roman" w:hAnsi="Times New Roman" w:cs="Times New Roman"/>
          <w:b/>
          <w:i/>
          <w:sz w:val="20"/>
          <w:szCs w:val="20"/>
          <w:highlight w:val="white"/>
        </w:rPr>
      </w:pPr>
      <w:r>
        <w:rPr>
          <w:rFonts w:ascii="Times New Roman" w:eastAsia="Times New Roman" w:hAnsi="Times New Roman" w:cs="Times New Roman"/>
          <w:b/>
          <w:i/>
          <w:sz w:val="20"/>
          <w:szCs w:val="20"/>
          <w:highlight w:val="white"/>
        </w:rPr>
        <w:t>(1) any allegation of fraud,</w:t>
      </w:r>
    </w:p>
    <w:p w14:paraId="00000099" w14:textId="77777777" w:rsidR="00E97409" w:rsidRDefault="007741DD" w:rsidP="00690802">
      <w:pPr>
        <w:spacing w:after="0" w:line="240" w:lineRule="auto"/>
        <w:ind w:left="720"/>
        <w:jc w:val="both"/>
        <w:rPr>
          <w:rFonts w:ascii="Times New Roman" w:eastAsia="Times New Roman" w:hAnsi="Times New Roman" w:cs="Times New Roman"/>
          <w:b/>
          <w:i/>
          <w:sz w:val="20"/>
          <w:szCs w:val="20"/>
          <w:highlight w:val="white"/>
        </w:rPr>
      </w:pPr>
      <w:r>
        <w:rPr>
          <w:rFonts w:ascii="Times New Roman" w:eastAsia="Times New Roman" w:hAnsi="Times New Roman" w:cs="Times New Roman"/>
          <w:b/>
          <w:i/>
          <w:sz w:val="20"/>
          <w:szCs w:val="20"/>
          <w:highlight w:val="white"/>
        </w:rPr>
        <w:t>(2) the fact of any illegality,</w:t>
      </w:r>
    </w:p>
    <w:p w14:paraId="0000009A" w14:textId="77777777" w:rsidR="00E97409" w:rsidRDefault="007741DD" w:rsidP="00690802">
      <w:pPr>
        <w:spacing w:after="0" w:line="240" w:lineRule="auto"/>
        <w:ind w:left="720"/>
        <w:jc w:val="both"/>
        <w:rPr>
          <w:rFonts w:ascii="Times New Roman" w:eastAsia="Times New Roman" w:hAnsi="Times New Roman" w:cs="Times New Roman"/>
          <w:b/>
          <w:i/>
          <w:sz w:val="20"/>
          <w:szCs w:val="20"/>
          <w:highlight w:val="white"/>
        </w:rPr>
      </w:pPr>
      <w:r>
        <w:rPr>
          <w:rFonts w:ascii="Times New Roman" w:eastAsia="Times New Roman" w:hAnsi="Times New Roman" w:cs="Times New Roman"/>
          <w:b/>
          <w:i/>
          <w:sz w:val="20"/>
          <w:szCs w:val="20"/>
          <w:highlight w:val="white"/>
        </w:rPr>
        <w:t>(3) details of any misrepresentation,</w:t>
      </w:r>
    </w:p>
    <w:p w14:paraId="0000009B" w14:textId="77777777" w:rsidR="00E97409" w:rsidRDefault="007741DD" w:rsidP="00690802">
      <w:pPr>
        <w:spacing w:after="0" w:line="240" w:lineRule="auto"/>
        <w:ind w:left="720"/>
        <w:jc w:val="both"/>
        <w:rPr>
          <w:rFonts w:ascii="Times New Roman" w:eastAsia="Times New Roman" w:hAnsi="Times New Roman" w:cs="Times New Roman"/>
          <w:b/>
          <w:i/>
          <w:sz w:val="20"/>
          <w:szCs w:val="20"/>
          <w:highlight w:val="white"/>
        </w:rPr>
      </w:pPr>
      <w:r>
        <w:rPr>
          <w:rFonts w:ascii="Times New Roman" w:eastAsia="Times New Roman" w:hAnsi="Times New Roman" w:cs="Times New Roman"/>
          <w:b/>
          <w:i/>
          <w:sz w:val="20"/>
          <w:szCs w:val="20"/>
          <w:highlight w:val="white"/>
        </w:rPr>
        <w:t>(4) details of all breaches of trust,</w:t>
      </w:r>
    </w:p>
    <w:p w14:paraId="0000009C" w14:textId="77777777" w:rsidR="00E97409" w:rsidRDefault="007741DD" w:rsidP="00690802">
      <w:pPr>
        <w:spacing w:after="0" w:line="240" w:lineRule="auto"/>
        <w:ind w:left="720"/>
        <w:jc w:val="both"/>
        <w:rPr>
          <w:rFonts w:ascii="Times New Roman" w:eastAsia="Times New Roman" w:hAnsi="Times New Roman" w:cs="Times New Roman"/>
          <w:b/>
          <w:i/>
          <w:sz w:val="20"/>
          <w:szCs w:val="20"/>
          <w:highlight w:val="white"/>
        </w:rPr>
      </w:pPr>
      <w:r>
        <w:rPr>
          <w:rFonts w:ascii="Times New Roman" w:eastAsia="Times New Roman" w:hAnsi="Times New Roman" w:cs="Times New Roman"/>
          <w:b/>
          <w:i/>
          <w:sz w:val="20"/>
          <w:szCs w:val="20"/>
          <w:highlight w:val="white"/>
        </w:rPr>
        <w:t>(5) notice or knowledge of a fact,</w:t>
      </w:r>
    </w:p>
    <w:p w14:paraId="0000009D" w14:textId="77777777" w:rsidR="00E97409" w:rsidRDefault="007741DD" w:rsidP="00690802">
      <w:pPr>
        <w:spacing w:after="0" w:line="240" w:lineRule="auto"/>
        <w:ind w:left="720"/>
        <w:jc w:val="both"/>
        <w:rPr>
          <w:rFonts w:ascii="Times New Roman" w:eastAsia="Times New Roman" w:hAnsi="Times New Roman" w:cs="Times New Roman"/>
          <w:b/>
          <w:i/>
          <w:sz w:val="20"/>
          <w:szCs w:val="20"/>
          <w:highlight w:val="white"/>
        </w:rPr>
      </w:pPr>
      <w:r>
        <w:rPr>
          <w:rFonts w:ascii="Times New Roman" w:eastAsia="Times New Roman" w:hAnsi="Times New Roman" w:cs="Times New Roman"/>
          <w:b/>
          <w:i/>
          <w:sz w:val="20"/>
          <w:szCs w:val="20"/>
          <w:highlight w:val="white"/>
        </w:rPr>
        <w:t>(6) details of unsoundness of mind or undue influence,</w:t>
      </w:r>
    </w:p>
    <w:p w14:paraId="0000009E" w14:textId="77777777" w:rsidR="00E97409" w:rsidRDefault="007741DD" w:rsidP="00690802">
      <w:pPr>
        <w:spacing w:after="0" w:line="240" w:lineRule="auto"/>
        <w:ind w:left="720"/>
        <w:jc w:val="both"/>
        <w:rPr>
          <w:rFonts w:ascii="Times New Roman" w:eastAsia="Times New Roman" w:hAnsi="Times New Roman" w:cs="Times New Roman"/>
          <w:b/>
          <w:i/>
          <w:sz w:val="20"/>
          <w:szCs w:val="20"/>
          <w:highlight w:val="white"/>
        </w:rPr>
      </w:pPr>
      <w:r>
        <w:rPr>
          <w:rFonts w:ascii="Times New Roman" w:eastAsia="Times New Roman" w:hAnsi="Times New Roman" w:cs="Times New Roman"/>
          <w:b/>
          <w:i/>
          <w:sz w:val="20"/>
          <w:szCs w:val="20"/>
          <w:highlight w:val="white"/>
        </w:rPr>
        <w:t>(7) details of wilful default, and</w:t>
      </w:r>
    </w:p>
    <w:p w14:paraId="0000009F" w14:textId="77777777" w:rsidR="00E97409" w:rsidRDefault="007741DD" w:rsidP="00690802">
      <w:pPr>
        <w:spacing w:after="0" w:line="240" w:lineRule="auto"/>
        <w:ind w:left="720"/>
        <w:jc w:val="both"/>
        <w:rPr>
          <w:rFonts w:ascii="Times New Roman" w:eastAsia="Times New Roman" w:hAnsi="Times New Roman" w:cs="Times New Roman"/>
          <w:i/>
          <w:sz w:val="20"/>
          <w:szCs w:val="20"/>
          <w:highlight w:val="white"/>
          <w:vertAlign w:val="superscript"/>
        </w:rPr>
      </w:pPr>
      <w:r>
        <w:rPr>
          <w:rFonts w:ascii="Times New Roman" w:eastAsia="Times New Roman" w:hAnsi="Times New Roman" w:cs="Times New Roman"/>
          <w:b/>
          <w:i/>
          <w:sz w:val="20"/>
          <w:szCs w:val="20"/>
          <w:highlight w:val="white"/>
        </w:rPr>
        <w:t>(8) any facts relating to a claim for mitigation expenditure</w:t>
      </w:r>
      <w:r>
        <w:rPr>
          <w:rFonts w:ascii="Times New Roman" w:eastAsia="Times New Roman" w:hAnsi="Times New Roman" w:cs="Times New Roman"/>
          <w:i/>
          <w:sz w:val="20"/>
          <w:szCs w:val="20"/>
          <w:highlight w:val="white"/>
        </w:rPr>
        <w:t>.”</w:t>
      </w:r>
      <w:r>
        <w:rPr>
          <w:rFonts w:ascii="Times New Roman" w:eastAsia="Times New Roman" w:hAnsi="Times New Roman" w:cs="Times New Roman"/>
          <w:i/>
          <w:sz w:val="20"/>
          <w:szCs w:val="20"/>
          <w:highlight w:val="white"/>
          <w:vertAlign w:val="superscript"/>
        </w:rPr>
        <w:footnoteReference w:id="44"/>
      </w:r>
    </w:p>
    <w:p w14:paraId="000000A0" w14:textId="77777777" w:rsidR="00E97409" w:rsidRDefault="00E97409" w:rsidP="00690802">
      <w:pPr>
        <w:spacing w:after="0" w:line="240" w:lineRule="auto"/>
        <w:ind w:left="720"/>
        <w:jc w:val="both"/>
        <w:rPr>
          <w:rFonts w:ascii="Times New Roman" w:eastAsia="Times New Roman" w:hAnsi="Times New Roman" w:cs="Times New Roman"/>
          <w:i/>
          <w:sz w:val="24"/>
          <w:szCs w:val="24"/>
          <w:highlight w:val="white"/>
          <w:vertAlign w:val="superscript"/>
        </w:rPr>
      </w:pPr>
    </w:p>
    <w:p w14:paraId="000000A1" w14:textId="77777777" w:rsidR="00E97409" w:rsidRDefault="007741DD" w:rsidP="00690802">
      <w:pPr>
        <w:spacing w:line="240" w:lineRule="auto"/>
        <w:ind w:firstLine="567"/>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Sama </w:t>
      </w:r>
      <w:proofErr w:type="spellStart"/>
      <w:r>
        <w:rPr>
          <w:rFonts w:ascii="Times New Roman" w:eastAsia="Times New Roman" w:hAnsi="Times New Roman" w:cs="Times New Roman"/>
          <w:sz w:val="24"/>
          <w:szCs w:val="24"/>
          <w:highlight w:val="white"/>
        </w:rPr>
        <w:t>seperti</w:t>
      </w:r>
      <w:proofErr w:type="spellEnd"/>
      <w:r>
        <w:rPr>
          <w:rFonts w:ascii="Times New Roman" w:eastAsia="Times New Roman" w:hAnsi="Times New Roman" w:cs="Times New Roman"/>
          <w:sz w:val="24"/>
          <w:szCs w:val="24"/>
          <w:highlight w:val="white"/>
        </w:rPr>
        <w:t xml:space="preserve"> KKM, </w:t>
      </w:r>
      <w:proofErr w:type="spellStart"/>
      <w:r>
        <w:rPr>
          <w:rFonts w:ascii="Times New Roman" w:eastAsia="Times New Roman" w:hAnsi="Times New Roman" w:cs="Times New Roman"/>
          <w:sz w:val="24"/>
          <w:szCs w:val="24"/>
          <w:highlight w:val="white"/>
        </w:rPr>
        <w:t>senarai</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perkara</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tersebut</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adalah</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tidak</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menyeluruh</w:t>
      </w:r>
      <w:proofErr w:type="spellEnd"/>
      <w:r>
        <w:rPr>
          <w:rFonts w:ascii="Times New Roman" w:eastAsia="Times New Roman" w:hAnsi="Times New Roman" w:cs="Times New Roman"/>
          <w:sz w:val="24"/>
          <w:szCs w:val="24"/>
          <w:highlight w:val="white"/>
        </w:rPr>
        <w:t xml:space="preserve"> dan </w:t>
      </w:r>
      <w:proofErr w:type="spellStart"/>
      <w:r>
        <w:rPr>
          <w:rFonts w:ascii="Times New Roman" w:eastAsia="Times New Roman" w:hAnsi="Times New Roman" w:cs="Times New Roman"/>
          <w:sz w:val="24"/>
          <w:szCs w:val="24"/>
          <w:highlight w:val="white"/>
        </w:rPr>
        <w:t>tidak</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terhad</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kepada</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perkara-perkara</w:t>
      </w:r>
      <w:proofErr w:type="spellEnd"/>
      <w:r>
        <w:rPr>
          <w:rFonts w:ascii="Times New Roman" w:eastAsia="Times New Roman" w:hAnsi="Times New Roman" w:cs="Times New Roman"/>
          <w:sz w:val="24"/>
          <w:szCs w:val="24"/>
          <w:highlight w:val="white"/>
        </w:rPr>
        <w:t xml:space="preserve"> yang </w:t>
      </w:r>
      <w:proofErr w:type="spellStart"/>
      <w:r>
        <w:rPr>
          <w:rFonts w:ascii="Times New Roman" w:eastAsia="Times New Roman" w:hAnsi="Times New Roman" w:cs="Times New Roman"/>
          <w:sz w:val="24"/>
          <w:szCs w:val="24"/>
          <w:highlight w:val="white"/>
        </w:rPr>
        <w:t>dinyatakan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dalam</w:t>
      </w:r>
      <w:proofErr w:type="spellEnd"/>
      <w:r>
        <w:rPr>
          <w:rFonts w:ascii="Times New Roman" w:eastAsia="Times New Roman" w:hAnsi="Times New Roman" w:cs="Times New Roman"/>
          <w:sz w:val="24"/>
          <w:szCs w:val="24"/>
          <w:highlight w:val="white"/>
        </w:rPr>
        <w:t xml:space="preserve"> Part 16 CPR dan Practice Direction 16. </w:t>
      </w:r>
      <w:proofErr w:type="spellStart"/>
      <w:r>
        <w:rPr>
          <w:rFonts w:ascii="Times New Roman" w:eastAsia="Times New Roman" w:hAnsi="Times New Roman" w:cs="Times New Roman"/>
          <w:sz w:val="24"/>
          <w:szCs w:val="24"/>
          <w:highlight w:val="white"/>
        </w:rPr>
        <w:t>Walaupun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otoriti</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atau</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kes</w:t>
      </w:r>
      <w:proofErr w:type="spellEnd"/>
      <w:r>
        <w:rPr>
          <w:rFonts w:ascii="Times New Roman" w:eastAsia="Times New Roman" w:hAnsi="Times New Roman" w:cs="Times New Roman"/>
          <w:sz w:val="24"/>
          <w:szCs w:val="24"/>
          <w:highlight w:val="white"/>
        </w:rPr>
        <w:t xml:space="preserve"> yang </w:t>
      </w:r>
      <w:proofErr w:type="spellStart"/>
      <w:r>
        <w:rPr>
          <w:rFonts w:ascii="Times New Roman" w:eastAsia="Times New Roman" w:hAnsi="Times New Roman" w:cs="Times New Roman"/>
          <w:sz w:val="24"/>
          <w:szCs w:val="24"/>
          <w:highlight w:val="white"/>
        </w:rPr>
        <w:t>dilaporkan</w:t>
      </w:r>
      <w:proofErr w:type="spellEnd"/>
      <w:r>
        <w:rPr>
          <w:rFonts w:ascii="Times New Roman" w:eastAsia="Times New Roman" w:hAnsi="Times New Roman" w:cs="Times New Roman"/>
          <w:sz w:val="24"/>
          <w:szCs w:val="24"/>
          <w:highlight w:val="white"/>
        </w:rPr>
        <w:t xml:space="preserve"> di Malaysia </w:t>
      </w:r>
      <w:proofErr w:type="spellStart"/>
      <w:r>
        <w:rPr>
          <w:rFonts w:ascii="Times New Roman" w:eastAsia="Times New Roman" w:hAnsi="Times New Roman" w:cs="Times New Roman"/>
          <w:sz w:val="24"/>
          <w:szCs w:val="24"/>
          <w:highlight w:val="white"/>
        </w:rPr>
        <w:t>mengenai</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isu</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perkara</w:t>
      </w:r>
      <w:proofErr w:type="spellEnd"/>
      <w:r>
        <w:rPr>
          <w:rFonts w:ascii="Times New Roman" w:eastAsia="Times New Roman" w:hAnsi="Times New Roman" w:cs="Times New Roman"/>
          <w:sz w:val="24"/>
          <w:szCs w:val="24"/>
          <w:highlight w:val="white"/>
        </w:rPr>
        <w:t xml:space="preserve"> yang </w:t>
      </w:r>
      <w:proofErr w:type="spellStart"/>
      <w:r>
        <w:rPr>
          <w:rFonts w:ascii="Times New Roman" w:eastAsia="Times New Roman" w:hAnsi="Times New Roman" w:cs="Times New Roman"/>
          <w:sz w:val="24"/>
          <w:szCs w:val="24"/>
          <w:highlight w:val="white"/>
        </w:rPr>
        <w:t>perlu</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diplidkan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adalah</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terhad</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bagi</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perkara-perkara</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berikut</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tetapi</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prinsip</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undang-undang</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Inggeris</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masih</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boleh</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diguna</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dalam</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konteks</w:t>
      </w:r>
      <w:proofErr w:type="spellEnd"/>
      <w:r>
        <w:rPr>
          <w:rFonts w:ascii="Times New Roman" w:eastAsia="Times New Roman" w:hAnsi="Times New Roman" w:cs="Times New Roman"/>
          <w:sz w:val="24"/>
          <w:szCs w:val="24"/>
          <w:highlight w:val="white"/>
        </w:rPr>
        <w:t xml:space="preserve"> Malaysia </w:t>
      </w:r>
      <w:proofErr w:type="spellStart"/>
      <w:r>
        <w:rPr>
          <w:rFonts w:ascii="Times New Roman" w:eastAsia="Times New Roman" w:hAnsi="Times New Roman" w:cs="Times New Roman"/>
          <w:sz w:val="24"/>
          <w:szCs w:val="24"/>
          <w:highlight w:val="white"/>
        </w:rPr>
        <w:t>selagi</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ia</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tidak</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bertentangan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dengan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undang-undang</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domestik</w:t>
      </w:r>
      <w:proofErr w:type="spellEnd"/>
      <w:r>
        <w:rPr>
          <w:rFonts w:ascii="Times New Roman" w:eastAsia="Times New Roman" w:hAnsi="Times New Roman" w:cs="Times New Roman"/>
          <w:sz w:val="24"/>
          <w:szCs w:val="24"/>
          <w:highlight w:val="white"/>
        </w:rPr>
        <w:t xml:space="preserve"> Malaysia. </w:t>
      </w:r>
      <w:proofErr w:type="spellStart"/>
      <w:r>
        <w:rPr>
          <w:rFonts w:ascii="Times New Roman" w:eastAsia="Times New Roman" w:hAnsi="Times New Roman" w:cs="Times New Roman"/>
          <w:sz w:val="24"/>
          <w:szCs w:val="24"/>
          <w:highlight w:val="white"/>
        </w:rPr>
        <w:t>Berikut</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merupakan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beberapa</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contoh</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perkara</w:t>
      </w:r>
      <w:proofErr w:type="spellEnd"/>
      <w:r>
        <w:rPr>
          <w:rFonts w:ascii="Times New Roman" w:eastAsia="Times New Roman" w:hAnsi="Times New Roman" w:cs="Times New Roman"/>
          <w:sz w:val="24"/>
          <w:szCs w:val="24"/>
          <w:highlight w:val="white"/>
        </w:rPr>
        <w:t xml:space="preserve"> yang </w:t>
      </w:r>
      <w:proofErr w:type="spellStart"/>
      <w:r>
        <w:rPr>
          <w:rFonts w:ascii="Times New Roman" w:eastAsia="Times New Roman" w:hAnsi="Times New Roman" w:cs="Times New Roman"/>
          <w:sz w:val="24"/>
          <w:szCs w:val="24"/>
          <w:highlight w:val="white"/>
        </w:rPr>
        <w:t>perlu</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diplidkan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dalam</w:t>
      </w:r>
      <w:proofErr w:type="spellEnd"/>
      <w:r>
        <w:rPr>
          <w:rFonts w:ascii="Times New Roman" w:eastAsia="Times New Roman" w:hAnsi="Times New Roman" w:cs="Times New Roman"/>
          <w:sz w:val="24"/>
          <w:szCs w:val="24"/>
          <w:highlight w:val="white"/>
        </w:rPr>
        <w:t xml:space="preserve"> common law: - </w:t>
      </w:r>
    </w:p>
    <w:p w14:paraId="000000A2" w14:textId="77777777" w:rsidR="00E97409" w:rsidRDefault="007741DD" w:rsidP="00690802">
      <w:pPr>
        <w:numPr>
          <w:ilvl w:val="0"/>
          <w:numId w:val="2"/>
        </w:numPr>
        <w:pBdr>
          <w:top w:val="nil"/>
          <w:left w:val="nil"/>
          <w:bottom w:val="nil"/>
          <w:right w:val="nil"/>
          <w:between w:val="nil"/>
        </w:pBdr>
        <w:spacing w:after="0" w:line="240" w:lineRule="auto"/>
        <w:ind w:left="567" w:hanging="567"/>
        <w:jc w:val="both"/>
        <w:rPr>
          <w:rFonts w:ascii="Times New Roman" w:eastAsia="Times New Roman" w:hAnsi="Times New Roman" w:cs="Times New Roman"/>
          <w:color w:val="000000"/>
          <w:sz w:val="24"/>
          <w:szCs w:val="24"/>
          <w:highlight w:val="white"/>
        </w:rPr>
      </w:pPr>
      <w:bookmarkStart w:id="6" w:name="_heading=h.tyjcwt" w:colFirst="0" w:colLast="0"/>
      <w:bookmarkEnd w:id="6"/>
      <w:proofErr w:type="spellStart"/>
      <w:r>
        <w:rPr>
          <w:rFonts w:ascii="Times New Roman" w:eastAsia="Times New Roman" w:hAnsi="Times New Roman" w:cs="Times New Roman"/>
          <w:b/>
          <w:color w:val="000000"/>
          <w:sz w:val="24"/>
          <w:szCs w:val="24"/>
          <w:highlight w:val="white"/>
        </w:rPr>
        <w:t>Pembelaan</w:t>
      </w:r>
      <w:proofErr w:type="spellEnd"/>
      <w:r>
        <w:rPr>
          <w:rFonts w:ascii="Times New Roman" w:eastAsia="Times New Roman" w:hAnsi="Times New Roman" w:cs="Times New Roman"/>
          <w:b/>
          <w:color w:val="000000"/>
          <w:sz w:val="24"/>
          <w:szCs w:val="24"/>
          <w:highlight w:val="white"/>
        </w:rPr>
        <w:t xml:space="preserve"> </w:t>
      </w:r>
      <w:proofErr w:type="spellStart"/>
      <w:r>
        <w:rPr>
          <w:rFonts w:ascii="Times New Roman" w:eastAsia="Times New Roman" w:hAnsi="Times New Roman" w:cs="Times New Roman"/>
          <w:b/>
          <w:color w:val="000000"/>
          <w:sz w:val="24"/>
          <w:szCs w:val="24"/>
          <w:highlight w:val="white"/>
        </w:rPr>
        <w:t>ekuiti</w:t>
      </w:r>
      <w:proofErr w:type="spellEnd"/>
      <w:r>
        <w:rPr>
          <w:rFonts w:ascii="Times New Roman" w:eastAsia="Times New Roman" w:hAnsi="Times New Roman" w:cs="Times New Roman"/>
          <w:color w:val="000000"/>
          <w:sz w:val="24"/>
          <w:szCs w:val="24"/>
          <w:highlight w:val="white"/>
        </w:rPr>
        <w:t xml:space="preserve"> – </w:t>
      </w:r>
      <w:proofErr w:type="spellStart"/>
      <w:r>
        <w:rPr>
          <w:rFonts w:ascii="Times New Roman" w:eastAsia="Times New Roman" w:hAnsi="Times New Roman" w:cs="Times New Roman"/>
          <w:color w:val="000000"/>
          <w:sz w:val="24"/>
          <w:szCs w:val="24"/>
          <w:highlight w:val="white"/>
        </w:rPr>
        <w:t>Pembelaaan</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ekuiti</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perlu</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diplidkan</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secara</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khusus</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bersama-sama</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fakta</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penuh</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tindakan</w:t>
      </w:r>
      <w:proofErr w:type="spellEnd"/>
      <w:r>
        <w:rPr>
          <w:rFonts w:ascii="Times New Roman" w:eastAsia="Times New Roman" w:hAnsi="Times New Roman" w:cs="Times New Roman"/>
          <w:color w:val="000000"/>
          <w:sz w:val="24"/>
          <w:szCs w:val="24"/>
          <w:highlight w:val="white"/>
        </w:rPr>
        <w:t xml:space="preserve"> yang </w:t>
      </w:r>
      <w:proofErr w:type="spellStart"/>
      <w:r>
        <w:rPr>
          <w:rFonts w:ascii="Times New Roman" w:eastAsia="Times New Roman" w:hAnsi="Times New Roman" w:cs="Times New Roman"/>
          <w:color w:val="000000"/>
          <w:sz w:val="24"/>
          <w:szCs w:val="24"/>
          <w:highlight w:val="white"/>
        </w:rPr>
        <w:t>ingin</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dibawa</w:t>
      </w:r>
      <w:proofErr w:type="spellEnd"/>
      <w:r>
        <w:rPr>
          <w:rFonts w:ascii="Times New Roman" w:eastAsia="Times New Roman" w:hAnsi="Times New Roman" w:cs="Times New Roman"/>
          <w:color w:val="000000"/>
          <w:sz w:val="24"/>
          <w:szCs w:val="24"/>
          <w:highlight w:val="white"/>
        </w:rPr>
        <w:t xml:space="preserve"> oleh </w:t>
      </w:r>
      <w:proofErr w:type="spellStart"/>
      <w:r>
        <w:rPr>
          <w:rFonts w:ascii="Times New Roman" w:eastAsia="Times New Roman" w:hAnsi="Times New Roman" w:cs="Times New Roman"/>
          <w:color w:val="000000"/>
          <w:sz w:val="24"/>
          <w:szCs w:val="24"/>
          <w:highlight w:val="white"/>
        </w:rPr>
        <w:t>pihak-pihak</w:t>
      </w:r>
      <w:proofErr w:type="spellEnd"/>
      <w:r>
        <w:rPr>
          <w:rFonts w:ascii="Times New Roman" w:eastAsia="Times New Roman" w:hAnsi="Times New Roman" w:cs="Times New Roman"/>
          <w:color w:val="000000"/>
          <w:sz w:val="24"/>
          <w:szCs w:val="24"/>
          <w:highlight w:val="white"/>
        </w:rPr>
        <w:t xml:space="preserve"> yang </w:t>
      </w:r>
      <w:proofErr w:type="spellStart"/>
      <w:r>
        <w:rPr>
          <w:rFonts w:ascii="Times New Roman" w:eastAsia="Times New Roman" w:hAnsi="Times New Roman" w:cs="Times New Roman"/>
          <w:color w:val="000000"/>
          <w:sz w:val="24"/>
          <w:szCs w:val="24"/>
          <w:highlight w:val="white"/>
        </w:rPr>
        <w:t>berkenaan</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Dalam</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kes</w:t>
      </w:r>
      <w:proofErr w:type="spellEnd"/>
      <w:r>
        <w:rPr>
          <w:rFonts w:ascii="Times New Roman" w:eastAsia="Times New Roman" w:hAnsi="Times New Roman" w:cs="Times New Roman"/>
          <w:color w:val="000000"/>
          <w:sz w:val="24"/>
          <w:szCs w:val="24"/>
          <w:highlight w:val="white"/>
        </w:rPr>
        <w:t xml:space="preserve"> </w:t>
      </w:r>
      <w:r>
        <w:rPr>
          <w:rFonts w:ascii="Times New Roman" w:eastAsia="Times New Roman" w:hAnsi="Times New Roman" w:cs="Times New Roman"/>
          <w:b/>
          <w:i/>
          <w:color w:val="000000"/>
          <w:sz w:val="24"/>
          <w:szCs w:val="24"/>
          <w:highlight w:val="white"/>
        </w:rPr>
        <w:t>Sutcliffe v James</w:t>
      </w:r>
      <w:r>
        <w:rPr>
          <w:rFonts w:ascii="Times New Roman" w:eastAsia="Times New Roman" w:hAnsi="Times New Roman" w:cs="Times New Roman"/>
          <w:i/>
          <w:color w:val="000000"/>
          <w:sz w:val="24"/>
          <w:szCs w:val="24"/>
          <w:highlight w:val="white"/>
          <w:vertAlign w:val="superscript"/>
        </w:rPr>
        <w:footnoteReference w:id="45"/>
      </w:r>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Mahkamah</w:t>
      </w:r>
      <w:proofErr w:type="spellEnd"/>
      <w:r>
        <w:rPr>
          <w:rFonts w:ascii="Times New Roman" w:eastAsia="Times New Roman" w:hAnsi="Times New Roman" w:cs="Times New Roman"/>
          <w:color w:val="000000"/>
          <w:sz w:val="24"/>
          <w:szCs w:val="24"/>
          <w:highlight w:val="white"/>
        </w:rPr>
        <w:t xml:space="preserve"> Chancery Division </w:t>
      </w:r>
      <w:proofErr w:type="spellStart"/>
      <w:r>
        <w:rPr>
          <w:rFonts w:ascii="Times New Roman" w:eastAsia="Times New Roman" w:hAnsi="Times New Roman" w:cs="Times New Roman"/>
          <w:color w:val="000000"/>
          <w:sz w:val="24"/>
          <w:szCs w:val="24"/>
          <w:highlight w:val="white"/>
        </w:rPr>
        <w:t>memutuskan</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sekiranya</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defendan</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ingin</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bergantung</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kepada</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hak</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milik</w:t>
      </w:r>
      <w:proofErr w:type="spellEnd"/>
      <w:r>
        <w:rPr>
          <w:rFonts w:ascii="Times New Roman" w:eastAsia="Times New Roman" w:hAnsi="Times New Roman" w:cs="Times New Roman"/>
          <w:color w:val="000000"/>
          <w:sz w:val="24"/>
          <w:szCs w:val="24"/>
          <w:highlight w:val="white"/>
        </w:rPr>
        <w:t xml:space="preserve"> yang </w:t>
      </w:r>
      <w:proofErr w:type="spellStart"/>
      <w:r>
        <w:rPr>
          <w:rFonts w:ascii="Times New Roman" w:eastAsia="Times New Roman" w:hAnsi="Times New Roman" w:cs="Times New Roman"/>
          <w:color w:val="000000"/>
          <w:sz w:val="24"/>
          <w:szCs w:val="24"/>
          <w:highlight w:val="white"/>
        </w:rPr>
        <w:t>saksama</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dalam</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suatu</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tindakan</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untuk</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mendapatkan</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semula</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tanahnya</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defendan</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mesti</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memplidkan</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sz w:val="24"/>
          <w:szCs w:val="24"/>
          <w:highlight w:val="white"/>
        </w:rPr>
        <w:t>dakwaannya</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dalam</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pernyataan</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pembelaannya</w:t>
      </w:r>
      <w:proofErr w:type="spellEnd"/>
      <w:r>
        <w:rPr>
          <w:rFonts w:ascii="Times New Roman" w:eastAsia="Times New Roman" w:hAnsi="Times New Roman" w:cs="Times New Roman"/>
          <w:color w:val="000000"/>
          <w:sz w:val="24"/>
          <w:szCs w:val="24"/>
          <w:highlight w:val="white"/>
        </w:rPr>
        <w:t xml:space="preserve">. </w:t>
      </w:r>
    </w:p>
    <w:p w14:paraId="000000A3" w14:textId="77777777" w:rsidR="00E97409" w:rsidRDefault="00E97409" w:rsidP="00690802">
      <w:pPr>
        <w:pBdr>
          <w:top w:val="nil"/>
          <w:left w:val="nil"/>
          <w:bottom w:val="nil"/>
          <w:right w:val="nil"/>
          <w:between w:val="nil"/>
        </w:pBdr>
        <w:spacing w:after="0" w:line="240" w:lineRule="auto"/>
        <w:ind w:left="567" w:hanging="567"/>
        <w:jc w:val="both"/>
        <w:rPr>
          <w:rFonts w:ascii="Times New Roman" w:eastAsia="Times New Roman" w:hAnsi="Times New Roman" w:cs="Times New Roman"/>
          <w:color w:val="000000"/>
          <w:sz w:val="24"/>
          <w:szCs w:val="24"/>
          <w:highlight w:val="white"/>
        </w:rPr>
      </w:pPr>
    </w:p>
    <w:p w14:paraId="000000A4" w14:textId="77777777" w:rsidR="00E97409" w:rsidRDefault="007741DD" w:rsidP="00690802">
      <w:pPr>
        <w:numPr>
          <w:ilvl w:val="0"/>
          <w:numId w:val="2"/>
        </w:numPr>
        <w:pBdr>
          <w:top w:val="nil"/>
          <w:left w:val="nil"/>
          <w:bottom w:val="nil"/>
          <w:right w:val="nil"/>
          <w:between w:val="nil"/>
        </w:pBdr>
        <w:spacing w:after="0" w:line="240" w:lineRule="auto"/>
        <w:ind w:left="567" w:hanging="567"/>
        <w:jc w:val="both"/>
        <w:rPr>
          <w:rFonts w:ascii="Times New Roman" w:eastAsia="Times New Roman" w:hAnsi="Times New Roman" w:cs="Times New Roman"/>
          <w:color w:val="000000"/>
          <w:sz w:val="24"/>
          <w:szCs w:val="24"/>
          <w:highlight w:val="white"/>
        </w:rPr>
      </w:pPr>
      <w:bookmarkStart w:id="7" w:name="_heading=h.3dy6vkm" w:colFirst="0" w:colLast="0"/>
      <w:bookmarkEnd w:id="7"/>
      <w:proofErr w:type="spellStart"/>
      <w:r>
        <w:rPr>
          <w:rFonts w:ascii="Times New Roman" w:eastAsia="Times New Roman" w:hAnsi="Times New Roman" w:cs="Times New Roman"/>
          <w:b/>
          <w:color w:val="000000"/>
          <w:sz w:val="24"/>
          <w:szCs w:val="24"/>
          <w:highlight w:val="white"/>
        </w:rPr>
        <w:t>Perceraian</w:t>
      </w:r>
      <w:proofErr w:type="spellEnd"/>
      <w:r>
        <w:rPr>
          <w:rFonts w:ascii="Times New Roman" w:eastAsia="Times New Roman" w:hAnsi="Times New Roman" w:cs="Times New Roman"/>
          <w:color w:val="000000"/>
          <w:sz w:val="24"/>
          <w:szCs w:val="24"/>
          <w:highlight w:val="white"/>
        </w:rPr>
        <w:t xml:space="preserve"> – </w:t>
      </w:r>
      <w:proofErr w:type="spellStart"/>
      <w:r>
        <w:rPr>
          <w:rFonts w:ascii="Times New Roman" w:eastAsia="Times New Roman" w:hAnsi="Times New Roman" w:cs="Times New Roman"/>
          <w:color w:val="000000"/>
          <w:sz w:val="24"/>
          <w:szCs w:val="24"/>
          <w:highlight w:val="white"/>
        </w:rPr>
        <w:t>Dalam</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pernyataan</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tuntutan</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atau</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pembelaan</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tuntutan</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sz w:val="24"/>
          <w:szCs w:val="24"/>
          <w:highlight w:val="white"/>
        </w:rPr>
        <w:t>perceraian</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dakwaan</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semata-mata</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bahawa</w:t>
      </w:r>
      <w:proofErr w:type="spellEnd"/>
      <w:r>
        <w:rPr>
          <w:rFonts w:ascii="Times New Roman" w:eastAsia="Times New Roman" w:hAnsi="Times New Roman" w:cs="Times New Roman"/>
          <w:color w:val="000000"/>
          <w:sz w:val="24"/>
          <w:szCs w:val="24"/>
          <w:highlight w:val="white"/>
        </w:rPr>
        <w:t xml:space="preserve"> mana-mana </w:t>
      </w:r>
      <w:proofErr w:type="spellStart"/>
      <w:r>
        <w:rPr>
          <w:rFonts w:ascii="Times New Roman" w:eastAsia="Times New Roman" w:hAnsi="Times New Roman" w:cs="Times New Roman"/>
          <w:color w:val="000000"/>
          <w:sz w:val="24"/>
          <w:szCs w:val="24"/>
          <w:highlight w:val="white"/>
        </w:rPr>
        <w:t>pihak</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telah</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berkelakuan</w:t>
      </w:r>
      <w:proofErr w:type="spellEnd"/>
      <w:r>
        <w:rPr>
          <w:rFonts w:ascii="Times New Roman" w:eastAsia="Times New Roman" w:hAnsi="Times New Roman" w:cs="Times New Roman"/>
          <w:color w:val="000000"/>
          <w:sz w:val="24"/>
          <w:szCs w:val="24"/>
          <w:highlight w:val="white"/>
        </w:rPr>
        <w:t xml:space="preserve"> di mana salah </w:t>
      </w:r>
      <w:proofErr w:type="spellStart"/>
      <w:r>
        <w:rPr>
          <w:rFonts w:ascii="Times New Roman" w:eastAsia="Times New Roman" w:hAnsi="Times New Roman" w:cs="Times New Roman"/>
          <w:color w:val="000000"/>
          <w:sz w:val="24"/>
          <w:szCs w:val="24"/>
          <w:highlight w:val="white"/>
        </w:rPr>
        <w:t>seorang</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daripada</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mereka</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tidak</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boleh</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secara</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munasabah</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dijangka</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untuk</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hidup</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bersama-sama</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dengannya</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adalah</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tidak</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mencukupi</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Sebaliknya</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pihak</w:t>
      </w:r>
      <w:proofErr w:type="spellEnd"/>
      <w:r>
        <w:rPr>
          <w:rFonts w:ascii="Times New Roman" w:eastAsia="Times New Roman" w:hAnsi="Times New Roman" w:cs="Times New Roman"/>
          <w:color w:val="000000"/>
          <w:sz w:val="24"/>
          <w:szCs w:val="24"/>
          <w:highlight w:val="white"/>
        </w:rPr>
        <w:t xml:space="preserve"> yang </w:t>
      </w:r>
      <w:proofErr w:type="spellStart"/>
      <w:r>
        <w:rPr>
          <w:rFonts w:ascii="Times New Roman" w:eastAsia="Times New Roman" w:hAnsi="Times New Roman" w:cs="Times New Roman"/>
          <w:color w:val="000000"/>
          <w:sz w:val="24"/>
          <w:szCs w:val="24"/>
          <w:highlight w:val="white"/>
        </w:rPr>
        <w:t>membawa</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tuntutan</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tersebut</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seharusnya</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memplidkan</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fakta</w:t>
      </w:r>
      <w:proofErr w:type="spellEnd"/>
      <w:r>
        <w:rPr>
          <w:rFonts w:ascii="Times New Roman" w:eastAsia="Times New Roman" w:hAnsi="Times New Roman" w:cs="Times New Roman"/>
          <w:color w:val="000000"/>
          <w:sz w:val="24"/>
          <w:szCs w:val="24"/>
          <w:highlight w:val="white"/>
        </w:rPr>
        <w:t xml:space="preserve"> yang </w:t>
      </w:r>
      <w:proofErr w:type="spellStart"/>
      <w:r>
        <w:rPr>
          <w:rFonts w:ascii="Times New Roman" w:eastAsia="Times New Roman" w:hAnsi="Times New Roman" w:cs="Times New Roman"/>
          <w:color w:val="000000"/>
          <w:sz w:val="24"/>
          <w:szCs w:val="24"/>
          <w:highlight w:val="white"/>
        </w:rPr>
        <w:t>dia</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setuju</w:t>
      </w:r>
      <w:proofErr w:type="spellEnd"/>
      <w:r>
        <w:rPr>
          <w:rFonts w:ascii="Times New Roman" w:eastAsia="Times New Roman" w:hAnsi="Times New Roman" w:cs="Times New Roman"/>
          <w:color w:val="000000"/>
          <w:sz w:val="24"/>
          <w:szCs w:val="24"/>
          <w:highlight w:val="white"/>
        </w:rPr>
        <w:t xml:space="preserve"> dan </w:t>
      </w:r>
      <w:proofErr w:type="spellStart"/>
      <w:r>
        <w:rPr>
          <w:rFonts w:ascii="Times New Roman" w:eastAsia="Times New Roman" w:hAnsi="Times New Roman" w:cs="Times New Roman"/>
          <w:color w:val="000000"/>
          <w:sz w:val="24"/>
          <w:szCs w:val="24"/>
          <w:highlight w:val="white"/>
        </w:rPr>
        <w:t>disangkal</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diikuti</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dengan</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penjelasannya</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Prinsip</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ini</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telah</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diputuskan</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dalam</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kes</w:t>
      </w:r>
      <w:proofErr w:type="spellEnd"/>
      <w:r>
        <w:rPr>
          <w:rFonts w:ascii="Times New Roman" w:eastAsia="Times New Roman" w:hAnsi="Times New Roman" w:cs="Times New Roman"/>
          <w:color w:val="000000"/>
          <w:sz w:val="24"/>
          <w:szCs w:val="24"/>
          <w:highlight w:val="white"/>
        </w:rPr>
        <w:t xml:space="preserve"> </w:t>
      </w:r>
      <w:r>
        <w:rPr>
          <w:rFonts w:ascii="Times New Roman" w:eastAsia="Times New Roman" w:hAnsi="Times New Roman" w:cs="Times New Roman"/>
          <w:b/>
          <w:i/>
          <w:color w:val="000000"/>
          <w:sz w:val="24"/>
          <w:szCs w:val="24"/>
          <w:highlight w:val="white"/>
        </w:rPr>
        <w:t>Haque v Haque</w:t>
      </w:r>
      <w:r>
        <w:rPr>
          <w:rFonts w:ascii="Times New Roman" w:eastAsia="Times New Roman" w:hAnsi="Times New Roman" w:cs="Times New Roman"/>
          <w:i/>
          <w:color w:val="000000"/>
          <w:sz w:val="24"/>
          <w:szCs w:val="24"/>
          <w:highlight w:val="white"/>
          <w:vertAlign w:val="superscript"/>
        </w:rPr>
        <w:footnoteReference w:id="46"/>
      </w:r>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Isteri</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dalam</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kes</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ini</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telah</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membuat</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petisyen</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untuk</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bercerai</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dengan</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suaminya</w:t>
      </w:r>
      <w:proofErr w:type="spellEnd"/>
      <w:r>
        <w:rPr>
          <w:rFonts w:ascii="Times New Roman" w:eastAsia="Times New Roman" w:hAnsi="Times New Roman" w:cs="Times New Roman"/>
          <w:color w:val="000000"/>
          <w:sz w:val="24"/>
          <w:szCs w:val="24"/>
          <w:highlight w:val="white"/>
        </w:rPr>
        <w:t xml:space="preserve"> di </w:t>
      </w:r>
      <w:proofErr w:type="spellStart"/>
      <w:r>
        <w:rPr>
          <w:rFonts w:ascii="Times New Roman" w:eastAsia="Times New Roman" w:hAnsi="Times New Roman" w:cs="Times New Roman"/>
          <w:color w:val="000000"/>
          <w:sz w:val="24"/>
          <w:szCs w:val="24"/>
          <w:highlight w:val="white"/>
        </w:rPr>
        <w:t>bawah</w:t>
      </w:r>
      <w:proofErr w:type="spellEnd"/>
      <w:r>
        <w:rPr>
          <w:rFonts w:ascii="Times New Roman" w:eastAsia="Times New Roman" w:hAnsi="Times New Roman" w:cs="Times New Roman"/>
          <w:color w:val="000000"/>
          <w:sz w:val="24"/>
          <w:szCs w:val="24"/>
          <w:highlight w:val="white"/>
        </w:rPr>
        <w:t xml:space="preserve"> Matrimonial Causes Act 1973 </w:t>
      </w:r>
      <w:proofErr w:type="spellStart"/>
      <w:r>
        <w:rPr>
          <w:rFonts w:ascii="Times New Roman" w:eastAsia="Times New Roman" w:hAnsi="Times New Roman" w:cs="Times New Roman"/>
          <w:color w:val="000000"/>
          <w:sz w:val="24"/>
          <w:szCs w:val="24"/>
          <w:highlight w:val="white"/>
        </w:rPr>
        <w:t>atas</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alasan</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suaminya</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telah</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berkelakuan</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sedemikian</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rupa</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sehingga</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isteri</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tidak</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boleh</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dijangka</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tinggal</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bersamanya</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Namun</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demikian</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suami</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tersebut</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hanya</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menjawab</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setiap</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dakwaan</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itu</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dengan</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menafikan</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dakwaan</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tersebut</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Isteri</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telah</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memohon</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sebuah</w:t>
      </w:r>
      <w:proofErr w:type="spellEnd"/>
      <w:r>
        <w:rPr>
          <w:rFonts w:ascii="Times New Roman" w:eastAsia="Times New Roman" w:hAnsi="Times New Roman" w:cs="Times New Roman"/>
          <w:color w:val="000000"/>
          <w:sz w:val="24"/>
          <w:szCs w:val="24"/>
          <w:highlight w:val="white"/>
        </w:rPr>
        <w:t xml:space="preserve"> saman </w:t>
      </w:r>
      <w:proofErr w:type="spellStart"/>
      <w:r>
        <w:rPr>
          <w:rFonts w:ascii="Times New Roman" w:eastAsia="Times New Roman" w:hAnsi="Times New Roman" w:cs="Times New Roman"/>
          <w:color w:val="000000"/>
          <w:sz w:val="24"/>
          <w:szCs w:val="24"/>
          <w:highlight w:val="white"/>
        </w:rPr>
        <w:t>untuk</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membatalkan</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jawapan</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suami</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atas</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alasan</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bahawa</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pengakuan</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itu</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tidak</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baik</w:t>
      </w:r>
      <w:proofErr w:type="spellEnd"/>
      <w:r>
        <w:rPr>
          <w:rFonts w:ascii="Times New Roman" w:eastAsia="Times New Roman" w:hAnsi="Times New Roman" w:cs="Times New Roman"/>
          <w:color w:val="000000"/>
          <w:sz w:val="24"/>
          <w:szCs w:val="24"/>
          <w:highlight w:val="white"/>
        </w:rPr>
        <w:t xml:space="preserve"> kerana </w:t>
      </w:r>
      <w:proofErr w:type="spellStart"/>
      <w:r>
        <w:rPr>
          <w:rFonts w:ascii="Times New Roman" w:eastAsia="Times New Roman" w:hAnsi="Times New Roman" w:cs="Times New Roman"/>
          <w:color w:val="000000"/>
          <w:sz w:val="24"/>
          <w:szCs w:val="24"/>
          <w:highlight w:val="white"/>
        </w:rPr>
        <w:t>ia</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tidak</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khusus</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Mahkamah</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dalam</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kes</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ini</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membenarkan</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petisyen</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isteri</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tersebut</w:t>
      </w:r>
      <w:proofErr w:type="spellEnd"/>
      <w:r>
        <w:rPr>
          <w:rFonts w:ascii="Times New Roman" w:eastAsia="Times New Roman" w:hAnsi="Times New Roman" w:cs="Times New Roman"/>
          <w:color w:val="000000"/>
          <w:sz w:val="24"/>
          <w:szCs w:val="24"/>
          <w:highlight w:val="white"/>
        </w:rPr>
        <w:t xml:space="preserve">. </w:t>
      </w:r>
    </w:p>
    <w:p w14:paraId="000000A5" w14:textId="77777777" w:rsidR="00E97409" w:rsidRDefault="00E97409" w:rsidP="00690802">
      <w:pPr>
        <w:pBdr>
          <w:top w:val="nil"/>
          <w:left w:val="nil"/>
          <w:bottom w:val="nil"/>
          <w:right w:val="nil"/>
          <w:between w:val="nil"/>
        </w:pBdr>
        <w:spacing w:after="0" w:line="240" w:lineRule="auto"/>
        <w:ind w:left="567" w:hanging="567"/>
        <w:jc w:val="both"/>
        <w:rPr>
          <w:rFonts w:ascii="Times New Roman" w:eastAsia="Times New Roman" w:hAnsi="Times New Roman" w:cs="Times New Roman"/>
          <w:color w:val="000000"/>
          <w:sz w:val="24"/>
          <w:szCs w:val="24"/>
          <w:highlight w:val="white"/>
        </w:rPr>
      </w:pPr>
    </w:p>
    <w:p w14:paraId="000000A6" w14:textId="77777777" w:rsidR="00E97409" w:rsidRDefault="007741DD" w:rsidP="00690802">
      <w:pPr>
        <w:numPr>
          <w:ilvl w:val="0"/>
          <w:numId w:val="2"/>
        </w:numPr>
        <w:pBdr>
          <w:top w:val="nil"/>
          <w:left w:val="nil"/>
          <w:bottom w:val="nil"/>
          <w:right w:val="nil"/>
          <w:between w:val="nil"/>
        </w:pBdr>
        <w:spacing w:after="0" w:line="240" w:lineRule="auto"/>
        <w:ind w:left="567" w:hanging="567"/>
        <w:jc w:val="both"/>
        <w:rPr>
          <w:rFonts w:ascii="Times New Roman" w:eastAsia="Times New Roman" w:hAnsi="Times New Roman" w:cs="Times New Roman"/>
          <w:color w:val="000000"/>
          <w:sz w:val="24"/>
          <w:szCs w:val="24"/>
          <w:highlight w:val="white"/>
        </w:rPr>
      </w:pPr>
      <w:bookmarkStart w:id="8" w:name="_heading=h.1t3h5sf" w:colFirst="0" w:colLast="0"/>
      <w:bookmarkEnd w:id="8"/>
      <w:r>
        <w:rPr>
          <w:rFonts w:ascii="Times New Roman" w:eastAsia="Times New Roman" w:hAnsi="Times New Roman" w:cs="Times New Roman"/>
          <w:b/>
          <w:i/>
          <w:color w:val="000000"/>
          <w:sz w:val="24"/>
          <w:szCs w:val="24"/>
          <w:highlight w:val="white"/>
        </w:rPr>
        <w:t xml:space="preserve">Non </w:t>
      </w:r>
      <w:proofErr w:type="spellStart"/>
      <w:r>
        <w:rPr>
          <w:rFonts w:ascii="Times New Roman" w:eastAsia="Times New Roman" w:hAnsi="Times New Roman" w:cs="Times New Roman"/>
          <w:b/>
          <w:i/>
          <w:color w:val="000000"/>
          <w:sz w:val="24"/>
          <w:szCs w:val="24"/>
          <w:highlight w:val="white"/>
        </w:rPr>
        <w:t>est</w:t>
      </w:r>
      <w:proofErr w:type="spellEnd"/>
      <w:r>
        <w:rPr>
          <w:rFonts w:ascii="Times New Roman" w:eastAsia="Times New Roman" w:hAnsi="Times New Roman" w:cs="Times New Roman"/>
          <w:b/>
          <w:i/>
          <w:color w:val="000000"/>
          <w:sz w:val="24"/>
          <w:szCs w:val="24"/>
          <w:highlight w:val="white"/>
        </w:rPr>
        <w:t xml:space="preserve"> factum</w:t>
      </w:r>
      <w:r>
        <w:rPr>
          <w:rFonts w:ascii="Times New Roman" w:eastAsia="Times New Roman" w:hAnsi="Times New Roman" w:cs="Times New Roman"/>
          <w:color w:val="000000"/>
          <w:sz w:val="24"/>
          <w:szCs w:val="24"/>
          <w:highlight w:val="white"/>
        </w:rPr>
        <w:t xml:space="preserve"> –</w:t>
      </w:r>
      <w:r>
        <w:rPr>
          <w:rFonts w:ascii="Times New Roman" w:eastAsia="Times New Roman" w:hAnsi="Times New Roman" w:cs="Times New Roman"/>
          <w:i/>
          <w:color w:val="000000"/>
          <w:sz w:val="24"/>
          <w:szCs w:val="24"/>
          <w:highlight w:val="white"/>
        </w:rPr>
        <w:t xml:space="preserve"> Non </w:t>
      </w:r>
      <w:proofErr w:type="spellStart"/>
      <w:r>
        <w:rPr>
          <w:rFonts w:ascii="Times New Roman" w:eastAsia="Times New Roman" w:hAnsi="Times New Roman" w:cs="Times New Roman"/>
          <w:i/>
          <w:color w:val="000000"/>
          <w:sz w:val="24"/>
          <w:szCs w:val="24"/>
          <w:highlight w:val="white"/>
        </w:rPr>
        <w:t>est</w:t>
      </w:r>
      <w:proofErr w:type="spellEnd"/>
      <w:r>
        <w:rPr>
          <w:rFonts w:ascii="Times New Roman" w:eastAsia="Times New Roman" w:hAnsi="Times New Roman" w:cs="Times New Roman"/>
          <w:i/>
          <w:color w:val="000000"/>
          <w:sz w:val="24"/>
          <w:szCs w:val="24"/>
          <w:highlight w:val="white"/>
        </w:rPr>
        <w:t xml:space="preserve"> factum</w:t>
      </w:r>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adalah</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suatu</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pembelaan</w:t>
      </w:r>
      <w:proofErr w:type="spellEnd"/>
      <w:r>
        <w:rPr>
          <w:rFonts w:ascii="Times New Roman" w:eastAsia="Times New Roman" w:hAnsi="Times New Roman" w:cs="Times New Roman"/>
          <w:color w:val="000000"/>
          <w:sz w:val="24"/>
          <w:szCs w:val="24"/>
          <w:highlight w:val="white"/>
        </w:rPr>
        <w:t xml:space="preserve"> yang </w:t>
      </w:r>
      <w:proofErr w:type="spellStart"/>
      <w:r>
        <w:rPr>
          <w:rFonts w:ascii="Times New Roman" w:eastAsia="Times New Roman" w:hAnsi="Times New Roman" w:cs="Times New Roman"/>
          <w:color w:val="000000"/>
          <w:sz w:val="24"/>
          <w:szCs w:val="24"/>
          <w:highlight w:val="white"/>
        </w:rPr>
        <w:t>membenarkan</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seseorang</w:t>
      </w:r>
      <w:proofErr w:type="spellEnd"/>
      <w:r>
        <w:rPr>
          <w:rFonts w:ascii="Times New Roman" w:eastAsia="Times New Roman" w:hAnsi="Times New Roman" w:cs="Times New Roman"/>
          <w:color w:val="000000"/>
          <w:sz w:val="24"/>
          <w:szCs w:val="24"/>
          <w:highlight w:val="white"/>
        </w:rPr>
        <w:t xml:space="preserve"> yang </w:t>
      </w:r>
      <w:proofErr w:type="spellStart"/>
      <w:r>
        <w:rPr>
          <w:rFonts w:ascii="Times New Roman" w:eastAsia="Times New Roman" w:hAnsi="Times New Roman" w:cs="Times New Roman"/>
          <w:color w:val="000000"/>
          <w:sz w:val="24"/>
          <w:szCs w:val="24"/>
          <w:highlight w:val="white"/>
        </w:rPr>
        <w:t>telah</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menandatangani</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dokumen</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bertulis</w:t>
      </w:r>
      <w:proofErr w:type="spellEnd"/>
      <w:r>
        <w:rPr>
          <w:rFonts w:ascii="Times New Roman" w:eastAsia="Times New Roman" w:hAnsi="Times New Roman" w:cs="Times New Roman"/>
          <w:color w:val="000000"/>
          <w:sz w:val="24"/>
          <w:szCs w:val="24"/>
          <w:highlight w:val="white"/>
        </w:rPr>
        <w:t xml:space="preserve">, yang pada </w:t>
      </w:r>
      <w:proofErr w:type="spellStart"/>
      <w:r>
        <w:rPr>
          <w:rFonts w:ascii="Times New Roman" w:eastAsia="Times New Roman" w:hAnsi="Times New Roman" w:cs="Times New Roman"/>
          <w:color w:val="000000"/>
          <w:sz w:val="24"/>
          <w:szCs w:val="24"/>
          <w:highlight w:val="white"/>
        </w:rPr>
        <w:t>asasnya</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berbeza</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daripada</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apa</w:t>
      </w:r>
      <w:proofErr w:type="spellEnd"/>
      <w:r>
        <w:rPr>
          <w:rFonts w:ascii="Times New Roman" w:eastAsia="Times New Roman" w:hAnsi="Times New Roman" w:cs="Times New Roman"/>
          <w:color w:val="000000"/>
          <w:sz w:val="24"/>
          <w:szCs w:val="24"/>
          <w:highlight w:val="white"/>
        </w:rPr>
        <w:t xml:space="preserve"> yang </w:t>
      </w:r>
      <w:proofErr w:type="spellStart"/>
      <w:r>
        <w:rPr>
          <w:rFonts w:ascii="Times New Roman" w:eastAsia="Times New Roman" w:hAnsi="Times New Roman" w:cs="Times New Roman"/>
          <w:color w:val="000000"/>
          <w:sz w:val="24"/>
          <w:szCs w:val="24"/>
          <w:highlight w:val="white"/>
        </w:rPr>
        <w:t>dia</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ingin</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tandatangani</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untuk</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mengaku</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bahawa</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walaupun</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tandatangan</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tersebut</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miliknya</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tetapi</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itu</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bukan</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perbuatannya</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dalam</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rangkuman</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undang-undang</w:t>
      </w:r>
      <w:proofErr w:type="spellEnd"/>
      <w:r>
        <w:rPr>
          <w:rFonts w:ascii="Times New Roman" w:eastAsia="Times New Roman" w:hAnsi="Times New Roman" w:cs="Times New Roman"/>
          <w:color w:val="000000"/>
          <w:sz w:val="24"/>
          <w:szCs w:val="24"/>
          <w:highlight w:val="white"/>
        </w:rPr>
        <w:t>.</w:t>
      </w:r>
      <w:r>
        <w:rPr>
          <w:rFonts w:ascii="Times New Roman" w:eastAsia="Times New Roman" w:hAnsi="Times New Roman" w:cs="Times New Roman"/>
          <w:color w:val="000000"/>
          <w:sz w:val="24"/>
          <w:szCs w:val="24"/>
          <w:highlight w:val="white"/>
          <w:vertAlign w:val="superscript"/>
        </w:rPr>
        <w:footnoteReference w:id="47"/>
      </w:r>
      <w:r>
        <w:rPr>
          <w:rFonts w:ascii="Times New Roman" w:eastAsia="Times New Roman" w:hAnsi="Times New Roman" w:cs="Times New Roman"/>
          <w:color w:val="000000"/>
          <w:sz w:val="24"/>
          <w:szCs w:val="24"/>
          <w:highlight w:val="white"/>
        </w:rPr>
        <w:t xml:space="preserve"> Beban </w:t>
      </w:r>
      <w:proofErr w:type="spellStart"/>
      <w:r>
        <w:rPr>
          <w:rFonts w:ascii="Times New Roman" w:eastAsia="Times New Roman" w:hAnsi="Times New Roman" w:cs="Times New Roman"/>
          <w:color w:val="000000"/>
          <w:sz w:val="24"/>
          <w:szCs w:val="24"/>
          <w:highlight w:val="white"/>
        </w:rPr>
        <w:lastRenderedPageBreak/>
        <w:t>pembuktian</w:t>
      </w:r>
      <w:proofErr w:type="spellEnd"/>
      <w:r>
        <w:rPr>
          <w:rFonts w:ascii="Times New Roman" w:eastAsia="Times New Roman" w:hAnsi="Times New Roman" w:cs="Times New Roman"/>
          <w:color w:val="000000"/>
          <w:sz w:val="24"/>
          <w:szCs w:val="24"/>
          <w:highlight w:val="white"/>
        </w:rPr>
        <w:t xml:space="preserve"> </w:t>
      </w:r>
      <w:r>
        <w:rPr>
          <w:rFonts w:ascii="Times New Roman" w:eastAsia="Times New Roman" w:hAnsi="Times New Roman" w:cs="Times New Roman"/>
          <w:i/>
          <w:color w:val="000000"/>
          <w:sz w:val="24"/>
          <w:szCs w:val="24"/>
          <w:highlight w:val="white"/>
        </w:rPr>
        <w:t xml:space="preserve">non </w:t>
      </w:r>
      <w:proofErr w:type="spellStart"/>
      <w:r>
        <w:rPr>
          <w:rFonts w:ascii="Times New Roman" w:eastAsia="Times New Roman" w:hAnsi="Times New Roman" w:cs="Times New Roman"/>
          <w:i/>
          <w:color w:val="000000"/>
          <w:sz w:val="24"/>
          <w:szCs w:val="24"/>
          <w:highlight w:val="white"/>
        </w:rPr>
        <w:t>est</w:t>
      </w:r>
      <w:proofErr w:type="spellEnd"/>
      <w:r>
        <w:rPr>
          <w:rFonts w:ascii="Times New Roman" w:eastAsia="Times New Roman" w:hAnsi="Times New Roman" w:cs="Times New Roman"/>
          <w:i/>
          <w:color w:val="000000"/>
          <w:sz w:val="24"/>
          <w:szCs w:val="24"/>
          <w:highlight w:val="white"/>
        </w:rPr>
        <w:t xml:space="preserve"> factum </w:t>
      </w:r>
      <w:proofErr w:type="spellStart"/>
      <w:r>
        <w:rPr>
          <w:rFonts w:ascii="Times New Roman" w:eastAsia="Times New Roman" w:hAnsi="Times New Roman" w:cs="Times New Roman"/>
          <w:color w:val="000000"/>
          <w:sz w:val="24"/>
          <w:szCs w:val="24"/>
          <w:highlight w:val="white"/>
        </w:rPr>
        <w:t>terletak</w:t>
      </w:r>
      <w:proofErr w:type="spellEnd"/>
      <w:r>
        <w:rPr>
          <w:rFonts w:ascii="Times New Roman" w:eastAsia="Times New Roman" w:hAnsi="Times New Roman" w:cs="Times New Roman"/>
          <w:color w:val="000000"/>
          <w:sz w:val="24"/>
          <w:szCs w:val="24"/>
          <w:highlight w:val="white"/>
        </w:rPr>
        <w:t xml:space="preserve"> pada </w:t>
      </w:r>
      <w:proofErr w:type="spellStart"/>
      <w:r>
        <w:rPr>
          <w:rFonts w:ascii="Times New Roman" w:eastAsia="Times New Roman" w:hAnsi="Times New Roman" w:cs="Times New Roman"/>
          <w:color w:val="000000"/>
          <w:sz w:val="24"/>
          <w:szCs w:val="24"/>
          <w:highlight w:val="white"/>
        </w:rPr>
        <w:t>pihak</w:t>
      </w:r>
      <w:proofErr w:type="spellEnd"/>
      <w:r>
        <w:rPr>
          <w:rFonts w:ascii="Times New Roman" w:eastAsia="Times New Roman" w:hAnsi="Times New Roman" w:cs="Times New Roman"/>
          <w:color w:val="000000"/>
          <w:sz w:val="24"/>
          <w:szCs w:val="24"/>
          <w:highlight w:val="white"/>
        </w:rPr>
        <w:t xml:space="preserve"> yang </w:t>
      </w:r>
      <w:proofErr w:type="spellStart"/>
      <w:r>
        <w:rPr>
          <w:rFonts w:ascii="Times New Roman" w:eastAsia="Times New Roman" w:hAnsi="Times New Roman" w:cs="Times New Roman"/>
          <w:color w:val="000000"/>
          <w:sz w:val="24"/>
          <w:szCs w:val="24"/>
          <w:highlight w:val="white"/>
        </w:rPr>
        <w:t>ingin</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menafikan</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dokumen</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tersebut</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Rujukan</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boleh</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dilakukan</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kepada</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kes</w:t>
      </w:r>
      <w:proofErr w:type="spellEnd"/>
      <w:r>
        <w:rPr>
          <w:rFonts w:ascii="Times New Roman" w:eastAsia="Times New Roman" w:hAnsi="Times New Roman" w:cs="Times New Roman"/>
          <w:color w:val="000000"/>
          <w:sz w:val="24"/>
          <w:szCs w:val="24"/>
          <w:highlight w:val="white"/>
        </w:rPr>
        <w:t xml:space="preserve"> </w:t>
      </w:r>
      <w:r>
        <w:rPr>
          <w:rFonts w:ascii="Times New Roman" w:eastAsia="Times New Roman" w:hAnsi="Times New Roman" w:cs="Times New Roman"/>
          <w:b/>
          <w:i/>
          <w:color w:val="000000"/>
          <w:sz w:val="24"/>
          <w:szCs w:val="24"/>
          <w:highlight w:val="white"/>
        </w:rPr>
        <w:t>Gallie v Lee</w:t>
      </w:r>
      <w:r>
        <w:rPr>
          <w:rFonts w:ascii="Times New Roman" w:eastAsia="Times New Roman" w:hAnsi="Times New Roman" w:cs="Times New Roman"/>
          <w:i/>
          <w:color w:val="000000"/>
          <w:sz w:val="24"/>
          <w:szCs w:val="24"/>
          <w:highlight w:val="white"/>
          <w:vertAlign w:val="superscript"/>
        </w:rPr>
        <w:footnoteReference w:id="48"/>
      </w:r>
      <w:r>
        <w:rPr>
          <w:rFonts w:ascii="Times New Roman" w:eastAsia="Times New Roman" w:hAnsi="Times New Roman" w:cs="Times New Roman"/>
          <w:color w:val="000000"/>
          <w:sz w:val="24"/>
          <w:szCs w:val="24"/>
          <w:highlight w:val="white"/>
        </w:rPr>
        <w:t xml:space="preserve">di mana Lord Pearson </w:t>
      </w:r>
      <w:proofErr w:type="spellStart"/>
      <w:r>
        <w:rPr>
          <w:rFonts w:ascii="Times New Roman" w:eastAsia="Times New Roman" w:hAnsi="Times New Roman" w:cs="Times New Roman"/>
          <w:color w:val="000000"/>
          <w:sz w:val="24"/>
          <w:szCs w:val="24"/>
          <w:highlight w:val="white"/>
        </w:rPr>
        <w:t>mengatakan</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bahawa</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tuntutan</w:t>
      </w:r>
      <w:proofErr w:type="spellEnd"/>
      <w:r>
        <w:rPr>
          <w:rFonts w:ascii="Times New Roman" w:eastAsia="Times New Roman" w:hAnsi="Times New Roman" w:cs="Times New Roman"/>
          <w:color w:val="000000"/>
          <w:sz w:val="24"/>
          <w:szCs w:val="24"/>
          <w:highlight w:val="white"/>
        </w:rPr>
        <w:t xml:space="preserve"> non </w:t>
      </w:r>
      <w:proofErr w:type="spellStart"/>
      <w:r>
        <w:rPr>
          <w:rFonts w:ascii="Times New Roman" w:eastAsia="Times New Roman" w:hAnsi="Times New Roman" w:cs="Times New Roman"/>
          <w:color w:val="000000"/>
          <w:sz w:val="24"/>
          <w:szCs w:val="24"/>
          <w:highlight w:val="white"/>
        </w:rPr>
        <w:t>est</w:t>
      </w:r>
      <w:proofErr w:type="spellEnd"/>
      <w:r>
        <w:rPr>
          <w:rFonts w:ascii="Times New Roman" w:eastAsia="Times New Roman" w:hAnsi="Times New Roman" w:cs="Times New Roman"/>
          <w:color w:val="000000"/>
          <w:sz w:val="24"/>
          <w:szCs w:val="24"/>
          <w:highlight w:val="white"/>
        </w:rPr>
        <w:t xml:space="preserve"> factum </w:t>
      </w:r>
      <w:proofErr w:type="spellStart"/>
      <w:r>
        <w:rPr>
          <w:rFonts w:ascii="Times New Roman" w:eastAsia="Times New Roman" w:hAnsi="Times New Roman" w:cs="Times New Roman"/>
          <w:color w:val="000000"/>
          <w:sz w:val="24"/>
          <w:szCs w:val="24"/>
          <w:highlight w:val="white"/>
        </w:rPr>
        <w:t>sepatutnya</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diplidkan</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untuk</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memberi</w:t>
      </w:r>
      <w:proofErr w:type="spellEnd"/>
      <w:r>
        <w:rPr>
          <w:rFonts w:ascii="Times New Roman" w:eastAsia="Times New Roman" w:hAnsi="Times New Roman" w:cs="Times New Roman"/>
          <w:color w:val="000000"/>
          <w:sz w:val="24"/>
          <w:szCs w:val="24"/>
          <w:highlight w:val="white"/>
        </w:rPr>
        <w:t xml:space="preserve"> relief </w:t>
      </w:r>
      <w:proofErr w:type="spellStart"/>
      <w:r>
        <w:rPr>
          <w:rFonts w:ascii="Times New Roman" w:eastAsia="Times New Roman" w:hAnsi="Times New Roman" w:cs="Times New Roman"/>
          <w:color w:val="000000"/>
          <w:sz w:val="24"/>
          <w:szCs w:val="24"/>
          <w:highlight w:val="white"/>
        </w:rPr>
        <w:t>kepada</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mereka</w:t>
      </w:r>
      <w:proofErr w:type="spellEnd"/>
      <w:r>
        <w:rPr>
          <w:rFonts w:ascii="Times New Roman" w:eastAsia="Times New Roman" w:hAnsi="Times New Roman" w:cs="Times New Roman"/>
          <w:color w:val="000000"/>
          <w:sz w:val="24"/>
          <w:szCs w:val="24"/>
          <w:highlight w:val="white"/>
        </w:rPr>
        <w:t xml:space="preserve"> di mana </w:t>
      </w:r>
      <w:proofErr w:type="spellStart"/>
      <w:r>
        <w:rPr>
          <w:rFonts w:ascii="Times New Roman" w:eastAsia="Times New Roman" w:hAnsi="Times New Roman" w:cs="Times New Roman"/>
          <w:color w:val="000000"/>
          <w:sz w:val="24"/>
          <w:szCs w:val="24"/>
          <w:highlight w:val="white"/>
        </w:rPr>
        <w:t>atas</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sebab</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kekal</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atau</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sementara</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tidak</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dapat</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membaca</w:t>
      </w:r>
      <w:proofErr w:type="spellEnd"/>
      <w:r>
        <w:rPr>
          <w:rFonts w:ascii="Times New Roman" w:eastAsia="Times New Roman" w:hAnsi="Times New Roman" w:cs="Times New Roman"/>
          <w:color w:val="000000"/>
          <w:sz w:val="24"/>
          <w:szCs w:val="24"/>
          <w:highlight w:val="white"/>
        </w:rPr>
        <w:t xml:space="preserve"> dan </w:t>
      </w:r>
      <w:proofErr w:type="spellStart"/>
      <w:r>
        <w:rPr>
          <w:rFonts w:ascii="Times New Roman" w:eastAsia="Times New Roman" w:hAnsi="Times New Roman" w:cs="Times New Roman"/>
          <w:color w:val="000000"/>
          <w:sz w:val="24"/>
          <w:szCs w:val="24"/>
          <w:highlight w:val="white"/>
        </w:rPr>
        <w:t>memahami</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dengan</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secukupnya</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surat</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ikatan</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atau</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dokumen</w:t>
      </w:r>
      <w:proofErr w:type="spellEnd"/>
      <w:r>
        <w:rPr>
          <w:rFonts w:ascii="Times New Roman" w:eastAsia="Times New Roman" w:hAnsi="Times New Roman" w:cs="Times New Roman"/>
          <w:color w:val="000000"/>
          <w:sz w:val="24"/>
          <w:szCs w:val="24"/>
          <w:highlight w:val="white"/>
        </w:rPr>
        <w:t xml:space="preserve"> lain yang </w:t>
      </w:r>
      <w:proofErr w:type="spellStart"/>
      <w:r>
        <w:rPr>
          <w:rFonts w:ascii="Times New Roman" w:eastAsia="Times New Roman" w:hAnsi="Times New Roman" w:cs="Times New Roman"/>
          <w:color w:val="000000"/>
          <w:sz w:val="24"/>
          <w:szCs w:val="24"/>
          <w:highlight w:val="white"/>
        </w:rPr>
        <w:t>akan</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ditandatangani</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olehnya</w:t>
      </w:r>
      <w:proofErr w:type="spellEnd"/>
      <w:r>
        <w:rPr>
          <w:rFonts w:ascii="Times New Roman" w:eastAsia="Times New Roman" w:hAnsi="Times New Roman" w:cs="Times New Roman"/>
          <w:color w:val="000000"/>
          <w:sz w:val="24"/>
          <w:szCs w:val="24"/>
          <w:highlight w:val="white"/>
        </w:rPr>
        <w:t xml:space="preserve">. </w:t>
      </w:r>
    </w:p>
    <w:p w14:paraId="000000A7" w14:textId="77777777" w:rsidR="00E97409" w:rsidRDefault="00E97409" w:rsidP="00690802">
      <w:pPr>
        <w:pBdr>
          <w:top w:val="nil"/>
          <w:left w:val="nil"/>
          <w:bottom w:val="nil"/>
          <w:right w:val="nil"/>
          <w:between w:val="nil"/>
        </w:pBdr>
        <w:spacing w:after="0" w:line="240" w:lineRule="auto"/>
        <w:ind w:left="720"/>
        <w:jc w:val="both"/>
        <w:rPr>
          <w:rFonts w:ascii="Times New Roman" w:eastAsia="Times New Roman" w:hAnsi="Times New Roman" w:cs="Times New Roman"/>
          <w:sz w:val="24"/>
          <w:szCs w:val="24"/>
          <w:highlight w:val="white"/>
        </w:rPr>
      </w:pPr>
      <w:bookmarkStart w:id="9" w:name="_heading=h.qhz9acpmtthb" w:colFirst="0" w:colLast="0"/>
      <w:bookmarkEnd w:id="9"/>
    </w:p>
    <w:p w14:paraId="000000A8" w14:textId="77777777" w:rsidR="00E97409" w:rsidRDefault="007741DD" w:rsidP="00690802">
      <w:pPr>
        <w:spacing w:line="240" w:lineRule="auto"/>
        <w:jc w:val="center"/>
        <w:rPr>
          <w:rFonts w:ascii="Times New Roman" w:eastAsia="Times New Roman" w:hAnsi="Times New Roman" w:cs="Times New Roman"/>
          <w:highlight w:val="white"/>
        </w:rPr>
      </w:pPr>
      <w:proofErr w:type="spellStart"/>
      <w:r>
        <w:rPr>
          <w:rFonts w:ascii="Times New Roman" w:eastAsia="Times New Roman" w:hAnsi="Times New Roman" w:cs="Times New Roman"/>
          <w:b/>
          <w:highlight w:val="white"/>
        </w:rPr>
        <w:t>Analisis</w:t>
      </w:r>
      <w:proofErr w:type="spellEnd"/>
      <w:r>
        <w:rPr>
          <w:rFonts w:ascii="Times New Roman" w:eastAsia="Times New Roman" w:hAnsi="Times New Roman" w:cs="Times New Roman"/>
          <w:b/>
          <w:highlight w:val="white"/>
        </w:rPr>
        <w:t xml:space="preserve"> dan </w:t>
      </w:r>
      <w:proofErr w:type="spellStart"/>
      <w:r>
        <w:rPr>
          <w:rFonts w:ascii="Times New Roman" w:eastAsia="Times New Roman" w:hAnsi="Times New Roman" w:cs="Times New Roman"/>
          <w:b/>
          <w:highlight w:val="white"/>
        </w:rPr>
        <w:t>Pendapat</w:t>
      </w:r>
      <w:proofErr w:type="spellEnd"/>
    </w:p>
    <w:p w14:paraId="000000A9" w14:textId="77777777" w:rsidR="00E97409" w:rsidRDefault="007741DD" w:rsidP="00690802">
      <w:pPr>
        <w:spacing w:line="240" w:lineRule="auto"/>
        <w:ind w:firstLine="567"/>
        <w:jc w:val="both"/>
        <w:rPr>
          <w:rFonts w:ascii="Times New Roman" w:eastAsia="Times New Roman" w:hAnsi="Times New Roman" w:cs="Times New Roman"/>
          <w:sz w:val="24"/>
          <w:szCs w:val="24"/>
          <w:highlight w:val="white"/>
        </w:rPr>
      </w:pPr>
      <w:proofErr w:type="spellStart"/>
      <w:r>
        <w:rPr>
          <w:rFonts w:ascii="Times New Roman" w:eastAsia="Times New Roman" w:hAnsi="Times New Roman" w:cs="Times New Roman"/>
          <w:sz w:val="24"/>
          <w:szCs w:val="24"/>
          <w:highlight w:val="white"/>
        </w:rPr>
        <w:t>Berdasarkan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maklumat-maklumat</w:t>
      </w:r>
      <w:proofErr w:type="spellEnd"/>
      <w:r>
        <w:rPr>
          <w:rFonts w:ascii="Times New Roman" w:eastAsia="Times New Roman" w:hAnsi="Times New Roman" w:cs="Times New Roman"/>
          <w:sz w:val="24"/>
          <w:szCs w:val="24"/>
          <w:highlight w:val="white"/>
        </w:rPr>
        <w:t xml:space="preserve"> di </w:t>
      </w:r>
      <w:proofErr w:type="spellStart"/>
      <w:r>
        <w:rPr>
          <w:rFonts w:ascii="Times New Roman" w:eastAsia="Times New Roman" w:hAnsi="Times New Roman" w:cs="Times New Roman"/>
          <w:sz w:val="24"/>
          <w:szCs w:val="24"/>
          <w:highlight w:val="white"/>
        </w:rPr>
        <w:t>atas</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apabila</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satu</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pihak</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ingin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membangkitkan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kes</w:t>
      </w:r>
      <w:proofErr w:type="spellEnd"/>
      <w:r>
        <w:rPr>
          <w:rFonts w:ascii="Times New Roman" w:eastAsia="Times New Roman" w:hAnsi="Times New Roman" w:cs="Times New Roman"/>
          <w:sz w:val="24"/>
          <w:szCs w:val="24"/>
          <w:highlight w:val="white"/>
        </w:rPr>
        <w:t xml:space="preserve"> yang </w:t>
      </w:r>
      <w:proofErr w:type="spellStart"/>
      <w:r>
        <w:rPr>
          <w:rFonts w:ascii="Times New Roman" w:eastAsia="Times New Roman" w:hAnsi="Times New Roman" w:cs="Times New Roman"/>
          <w:sz w:val="24"/>
          <w:szCs w:val="24"/>
          <w:highlight w:val="white"/>
        </w:rPr>
        <w:t>kuat</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untuk</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menyangkal</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sebuah</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tuntutan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atau</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pembelaan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serta</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sekiranya</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pihak</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tersebut</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mempunyai</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alasan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khusus</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untuk</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sebuah</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pembelaan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dia</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haruslah</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memplidkan</w:t>
      </w:r>
      <w:proofErr w:type="spellEnd"/>
      <w:r>
        <w:rPr>
          <w:rFonts w:ascii="Times New Roman" w:eastAsia="Times New Roman" w:hAnsi="Times New Roman" w:cs="Times New Roman"/>
          <w:sz w:val="24"/>
          <w:szCs w:val="24"/>
          <w:highlight w:val="white"/>
        </w:rPr>
        <w:t xml:space="preserve"> dan </w:t>
      </w:r>
      <w:proofErr w:type="spellStart"/>
      <w:r>
        <w:rPr>
          <w:rFonts w:ascii="Times New Roman" w:eastAsia="Times New Roman" w:hAnsi="Times New Roman" w:cs="Times New Roman"/>
          <w:sz w:val="24"/>
          <w:szCs w:val="24"/>
          <w:highlight w:val="white"/>
        </w:rPr>
        <w:t>merayu</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perkara-perkara</w:t>
      </w:r>
      <w:proofErr w:type="spellEnd"/>
      <w:r>
        <w:rPr>
          <w:rFonts w:ascii="Times New Roman" w:eastAsia="Times New Roman" w:hAnsi="Times New Roman" w:cs="Times New Roman"/>
          <w:sz w:val="24"/>
          <w:szCs w:val="24"/>
          <w:highlight w:val="white"/>
        </w:rPr>
        <w:t xml:space="preserve"> yang </w:t>
      </w:r>
      <w:proofErr w:type="spellStart"/>
      <w:r>
        <w:rPr>
          <w:rFonts w:ascii="Times New Roman" w:eastAsia="Times New Roman" w:hAnsi="Times New Roman" w:cs="Times New Roman"/>
          <w:sz w:val="24"/>
          <w:szCs w:val="24"/>
          <w:highlight w:val="white"/>
        </w:rPr>
        <w:t>ingin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bergantung</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olehnya</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Undang-undang</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mengenai</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perkara-perkara</w:t>
      </w:r>
      <w:proofErr w:type="spellEnd"/>
      <w:r>
        <w:rPr>
          <w:rFonts w:ascii="Times New Roman" w:eastAsia="Times New Roman" w:hAnsi="Times New Roman" w:cs="Times New Roman"/>
          <w:sz w:val="24"/>
          <w:szCs w:val="24"/>
          <w:highlight w:val="white"/>
        </w:rPr>
        <w:t xml:space="preserve"> yang </w:t>
      </w:r>
      <w:proofErr w:type="spellStart"/>
      <w:r>
        <w:rPr>
          <w:rFonts w:ascii="Times New Roman" w:eastAsia="Times New Roman" w:hAnsi="Times New Roman" w:cs="Times New Roman"/>
          <w:sz w:val="24"/>
          <w:szCs w:val="24"/>
          <w:highlight w:val="white"/>
        </w:rPr>
        <w:t>perlu</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diplid</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atau</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dirayu</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secara</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khusus</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dalam</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pliding</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mestilah</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cukup</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spesifik</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untuk</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mencapai</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keadilan</w:t>
      </w:r>
      <w:proofErr w:type="spellEnd"/>
      <w:r>
        <w:rPr>
          <w:rFonts w:ascii="Times New Roman" w:eastAsia="Times New Roman" w:hAnsi="Times New Roman" w:cs="Times New Roman"/>
          <w:sz w:val="24"/>
          <w:szCs w:val="24"/>
          <w:highlight w:val="white"/>
        </w:rPr>
        <w:t xml:space="preserve"> dan </w:t>
      </w:r>
      <w:proofErr w:type="spellStart"/>
      <w:r>
        <w:rPr>
          <w:rFonts w:ascii="Times New Roman" w:eastAsia="Times New Roman" w:hAnsi="Times New Roman" w:cs="Times New Roman"/>
          <w:sz w:val="24"/>
          <w:szCs w:val="24"/>
          <w:highlight w:val="white"/>
        </w:rPr>
        <w:t>kemudahan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bagi</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pihak-pihak</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seperti</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mahkamah</w:t>
      </w:r>
      <w:proofErr w:type="spellEnd"/>
      <w:r>
        <w:rPr>
          <w:rFonts w:ascii="Times New Roman" w:eastAsia="Times New Roman" w:hAnsi="Times New Roman" w:cs="Times New Roman"/>
          <w:sz w:val="24"/>
          <w:szCs w:val="24"/>
          <w:highlight w:val="white"/>
        </w:rPr>
        <w:t xml:space="preserve"> dan </w:t>
      </w:r>
      <w:proofErr w:type="spellStart"/>
      <w:r>
        <w:rPr>
          <w:rFonts w:ascii="Times New Roman" w:eastAsia="Times New Roman" w:hAnsi="Times New Roman" w:cs="Times New Roman"/>
          <w:sz w:val="24"/>
          <w:szCs w:val="24"/>
          <w:highlight w:val="white"/>
        </w:rPr>
        <w:t>peguamcara</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dalam</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sebuah</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kes</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telah</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diutamakan</w:t>
      </w:r>
      <w:proofErr w:type="spellEnd"/>
      <w:r>
        <w:rPr>
          <w:rFonts w:ascii="Times New Roman" w:eastAsia="Times New Roman" w:hAnsi="Times New Roman" w:cs="Times New Roman"/>
          <w:sz w:val="24"/>
          <w:szCs w:val="24"/>
          <w:highlight w:val="white"/>
        </w:rPr>
        <w:t xml:space="preserve"> di Malaysia dan United Kingdom. </w:t>
      </w:r>
      <w:proofErr w:type="spellStart"/>
      <w:r>
        <w:rPr>
          <w:rFonts w:ascii="Times New Roman" w:eastAsia="Times New Roman" w:hAnsi="Times New Roman" w:cs="Times New Roman"/>
          <w:sz w:val="24"/>
          <w:szCs w:val="24"/>
          <w:highlight w:val="white"/>
        </w:rPr>
        <w:t>Daripada</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bacaan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peruntukan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kedua-dua</w:t>
      </w:r>
      <w:proofErr w:type="spellEnd"/>
      <w:r>
        <w:rPr>
          <w:rFonts w:ascii="Times New Roman" w:eastAsia="Times New Roman" w:hAnsi="Times New Roman" w:cs="Times New Roman"/>
          <w:sz w:val="24"/>
          <w:szCs w:val="24"/>
          <w:highlight w:val="white"/>
        </w:rPr>
        <w:t xml:space="preserve"> negara </w:t>
      </w:r>
      <w:proofErr w:type="spellStart"/>
      <w:r>
        <w:rPr>
          <w:rFonts w:ascii="Times New Roman" w:eastAsia="Times New Roman" w:hAnsi="Times New Roman" w:cs="Times New Roman"/>
          <w:sz w:val="24"/>
          <w:szCs w:val="24"/>
          <w:highlight w:val="white"/>
        </w:rPr>
        <w:t>ini</w:t>
      </w:r>
      <w:proofErr w:type="spellEnd"/>
      <w:r>
        <w:rPr>
          <w:rFonts w:ascii="Times New Roman" w:eastAsia="Times New Roman" w:hAnsi="Times New Roman" w:cs="Times New Roman"/>
          <w:sz w:val="24"/>
          <w:szCs w:val="24"/>
          <w:highlight w:val="white"/>
        </w:rPr>
        <w:t xml:space="preserve">, CPR </w:t>
      </w:r>
      <w:proofErr w:type="spellStart"/>
      <w:r>
        <w:rPr>
          <w:rFonts w:ascii="Times New Roman" w:eastAsia="Times New Roman" w:hAnsi="Times New Roman" w:cs="Times New Roman"/>
          <w:sz w:val="24"/>
          <w:szCs w:val="24"/>
          <w:highlight w:val="white"/>
        </w:rPr>
        <w:t>sememangnya</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mempunyai</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senarai</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perkara-perkara</w:t>
      </w:r>
      <w:proofErr w:type="spellEnd"/>
      <w:r>
        <w:rPr>
          <w:rFonts w:ascii="Times New Roman" w:eastAsia="Times New Roman" w:hAnsi="Times New Roman" w:cs="Times New Roman"/>
          <w:sz w:val="24"/>
          <w:szCs w:val="24"/>
          <w:highlight w:val="white"/>
        </w:rPr>
        <w:t xml:space="preserve"> yang </w:t>
      </w:r>
      <w:proofErr w:type="spellStart"/>
      <w:r>
        <w:rPr>
          <w:rFonts w:ascii="Times New Roman" w:eastAsia="Times New Roman" w:hAnsi="Times New Roman" w:cs="Times New Roman"/>
          <w:sz w:val="24"/>
          <w:szCs w:val="24"/>
          <w:highlight w:val="white"/>
        </w:rPr>
        <w:t>harus</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dirayu</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dengan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khusus</w:t>
      </w:r>
      <w:proofErr w:type="spellEnd"/>
      <w:r>
        <w:rPr>
          <w:rFonts w:ascii="Times New Roman" w:eastAsia="Times New Roman" w:hAnsi="Times New Roman" w:cs="Times New Roman"/>
          <w:sz w:val="24"/>
          <w:szCs w:val="24"/>
          <w:highlight w:val="white"/>
        </w:rPr>
        <w:t xml:space="preserve"> yang </w:t>
      </w:r>
      <w:proofErr w:type="spellStart"/>
      <w:r>
        <w:rPr>
          <w:rFonts w:ascii="Times New Roman" w:eastAsia="Times New Roman" w:hAnsi="Times New Roman" w:cs="Times New Roman"/>
          <w:sz w:val="24"/>
          <w:szCs w:val="24"/>
          <w:highlight w:val="white"/>
        </w:rPr>
        <w:t>lebih</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terperinci</w:t>
      </w:r>
      <w:proofErr w:type="spellEnd"/>
      <w:r>
        <w:rPr>
          <w:rFonts w:ascii="Times New Roman" w:eastAsia="Times New Roman" w:hAnsi="Times New Roman" w:cs="Times New Roman"/>
          <w:sz w:val="24"/>
          <w:szCs w:val="24"/>
          <w:highlight w:val="white"/>
        </w:rPr>
        <w:t xml:space="preserve"> dan </w:t>
      </w:r>
      <w:proofErr w:type="spellStart"/>
      <w:r>
        <w:rPr>
          <w:rFonts w:ascii="Times New Roman" w:eastAsia="Times New Roman" w:hAnsi="Times New Roman" w:cs="Times New Roman"/>
          <w:sz w:val="24"/>
          <w:szCs w:val="24"/>
          <w:highlight w:val="white"/>
        </w:rPr>
        <w:t>menyeluruh</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berbanding</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dengan</w:t>
      </w:r>
      <w:proofErr w:type="spellEnd"/>
      <w:r>
        <w:rPr>
          <w:rFonts w:ascii="Times New Roman" w:eastAsia="Times New Roman" w:hAnsi="Times New Roman" w:cs="Times New Roman"/>
          <w:sz w:val="24"/>
          <w:szCs w:val="24"/>
          <w:highlight w:val="white"/>
        </w:rPr>
        <w:t xml:space="preserve"> KMM Malaysia. </w:t>
      </w:r>
      <w:proofErr w:type="spellStart"/>
      <w:r>
        <w:rPr>
          <w:rFonts w:ascii="Times New Roman" w:eastAsia="Times New Roman" w:hAnsi="Times New Roman" w:cs="Times New Roman"/>
          <w:sz w:val="24"/>
          <w:szCs w:val="24"/>
          <w:highlight w:val="white"/>
        </w:rPr>
        <w:t>Dengan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adanya</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senarai</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perkara</w:t>
      </w:r>
      <w:proofErr w:type="spellEnd"/>
      <w:r>
        <w:rPr>
          <w:rFonts w:ascii="Times New Roman" w:eastAsia="Times New Roman" w:hAnsi="Times New Roman" w:cs="Times New Roman"/>
          <w:sz w:val="24"/>
          <w:szCs w:val="24"/>
          <w:highlight w:val="white"/>
        </w:rPr>
        <w:t xml:space="preserve"> yang </w:t>
      </w:r>
      <w:proofErr w:type="spellStart"/>
      <w:r>
        <w:rPr>
          <w:rFonts w:ascii="Times New Roman" w:eastAsia="Times New Roman" w:hAnsi="Times New Roman" w:cs="Times New Roman"/>
          <w:sz w:val="24"/>
          <w:szCs w:val="24"/>
          <w:highlight w:val="white"/>
        </w:rPr>
        <w:t>lebih</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terperinci</w:t>
      </w:r>
      <w:proofErr w:type="spellEnd"/>
      <w:r>
        <w:rPr>
          <w:rFonts w:ascii="Times New Roman" w:eastAsia="Times New Roman" w:hAnsi="Times New Roman" w:cs="Times New Roman"/>
          <w:sz w:val="24"/>
          <w:szCs w:val="24"/>
          <w:highlight w:val="white"/>
        </w:rPr>
        <w:t xml:space="preserve"> dan </w:t>
      </w:r>
      <w:proofErr w:type="spellStart"/>
      <w:r>
        <w:rPr>
          <w:rFonts w:ascii="Times New Roman" w:eastAsia="Times New Roman" w:hAnsi="Times New Roman" w:cs="Times New Roman"/>
          <w:sz w:val="24"/>
          <w:szCs w:val="24"/>
          <w:highlight w:val="white"/>
        </w:rPr>
        <w:t>teliti</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ini</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secara</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tidak</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langsung</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membolehkan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peguamcara</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mempunyai</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suatu</w:t>
      </w:r>
      <w:proofErr w:type="spellEnd"/>
      <w:r>
        <w:rPr>
          <w:rFonts w:ascii="Times New Roman" w:eastAsia="Times New Roman" w:hAnsi="Times New Roman" w:cs="Times New Roman"/>
          <w:sz w:val="24"/>
          <w:szCs w:val="24"/>
          <w:highlight w:val="white"/>
        </w:rPr>
        <w:t xml:space="preserve"> garis </w:t>
      </w:r>
      <w:proofErr w:type="spellStart"/>
      <w:r>
        <w:rPr>
          <w:rFonts w:ascii="Times New Roman" w:eastAsia="Times New Roman" w:hAnsi="Times New Roman" w:cs="Times New Roman"/>
          <w:sz w:val="24"/>
          <w:szCs w:val="24"/>
          <w:highlight w:val="white"/>
        </w:rPr>
        <w:t>panduan</w:t>
      </w:r>
      <w:proofErr w:type="spellEnd"/>
      <w:r>
        <w:rPr>
          <w:rFonts w:ascii="Times New Roman" w:eastAsia="Times New Roman" w:hAnsi="Times New Roman" w:cs="Times New Roman"/>
          <w:sz w:val="24"/>
          <w:szCs w:val="24"/>
          <w:highlight w:val="white"/>
        </w:rPr>
        <w:t xml:space="preserve"> yang </w:t>
      </w:r>
      <w:proofErr w:type="spellStart"/>
      <w:r>
        <w:rPr>
          <w:rFonts w:ascii="Times New Roman" w:eastAsia="Times New Roman" w:hAnsi="Times New Roman" w:cs="Times New Roman"/>
          <w:sz w:val="24"/>
          <w:szCs w:val="24"/>
          <w:highlight w:val="white"/>
        </w:rPr>
        <w:t>lebih</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jelas</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mengenai</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perkara</w:t>
      </w:r>
      <w:proofErr w:type="spellEnd"/>
      <w:r>
        <w:rPr>
          <w:rFonts w:ascii="Times New Roman" w:eastAsia="Times New Roman" w:hAnsi="Times New Roman" w:cs="Times New Roman"/>
          <w:sz w:val="24"/>
          <w:szCs w:val="24"/>
          <w:highlight w:val="white"/>
        </w:rPr>
        <w:t xml:space="preserve"> yang </w:t>
      </w:r>
      <w:proofErr w:type="spellStart"/>
      <w:r>
        <w:rPr>
          <w:rFonts w:ascii="Times New Roman" w:eastAsia="Times New Roman" w:hAnsi="Times New Roman" w:cs="Times New Roman"/>
          <w:sz w:val="24"/>
          <w:szCs w:val="24"/>
          <w:highlight w:val="white"/>
        </w:rPr>
        <w:t>seharusnya</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diplidkan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berbanding</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dengan</w:t>
      </w:r>
      <w:proofErr w:type="spellEnd"/>
      <w:r>
        <w:rPr>
          <w:rFonts w:ascii="Times New Roman" w:eastAsia="Times New Roman" w:hAnsi="Times New Roman" w:cs="Times New Roman"/>
          <w:sz w:val="24"/>
          <w:szCs w:val="24"/>
          <w:highlight w:val="white"/>
        </w:rPr>
        <w:t xml:space="preserve"> Malaysia. </w:t>
      </w:r>
      <w:proofErr w:type="spellStart"/>
      <w:r>
        <w:rPr>
          <w:rFonts w:ascii="Times New Roman" w:eastAsia="Times New Roman" w:hAnsi="Times New Roman" w:cs="Times New Roman"/>
          <w:sz w:val="24"/>
          <w:szCs w:val="24"/>
          <w:highlight w:val="white"/>
        </w:rPr>
        <w:t>Namun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demikian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ia</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adalah</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penting</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untuk</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mengambil</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perhatian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bahawa</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perkara</w:t>
      </w:r>
      <w:proofErr w:type="spellEnd"/>
      <w:r>
        <w:rPr>
          <w:rFonts w:ascii="Times New Roman" w:eastAsia="Times New Roman" w:hAnsi="Times New Roman" w:cs="Times New Roman"/>
          <w:sz w:val="24"/>
          <w:szCs w:val="24"/>
          <w:highlight w:val="white"/>
        </w:rPr>
        <w:t xml:space="preserve"> yang </w:t>
      </w:r>
      <w:proofErr w:type="spellStart"/>
      <w:r>
        <w:rPr>
          <w:rFonts w:ascii="Times New Roman" w:eastAsia="Times New Roman" w:hAnsi="Times New Roman" w:cs="Times New Roman"/>
          <w:sz w:val="24"/>
          <w:szCs w:val="24"/>
          <w:highlight w:val="white"/>
        </w:rPr>
        <w:t>dinyatakan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dalam</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kedua-dua</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akta</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ini</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adalah</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tidak</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terhad</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kepada</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apa</w:t>
      </w:r>
      <w:proofErr w:type="spellEnd"/>
      <w:r>
        <w:rPr>
          <w:rFonts w:ascii="Times New Roman" w:eastAsia="Times New Roman" w:hAnsi="Times New Roman" w:cs="Times New Roman"/>
          <w:sz w:val="24"/>
          <w:szCs w:val="24"/>
          <w:highlight w:val="white"/>
        </w:rPr>
        <w:t xml:space="preserve"> yang </w:t>
      </w:r>
      <w:proofErr w:type="spellStart"/>
      <w:r>
        <w:rPr>
          <w:rFonts w:ascii="Times New Roman" w:eastAsia="Times New Roman" w:hAnsi="Times New Roman" w:cs="Times New Roman"/>
          <w:sz w:val="24"/>
          <w:szCs w:val="24"/>
          <w:highlight w:val="white"/>
        </w:rPr>
        <w:t>dinyatakan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sahaja</w:t>
      </w:r>
      <w:proofErr w:type="spellEnd"/>
      <w:r>
        <w:rPr>
          <w:rFonts w:ascii="Times New Roman" w:eastAsia="Times New Roman" w:hAnsi="Times New Roman" w:cs="Times New Roman"/>
          <w:sz w:val="24"/>
          <w:szCs w:val="24"/>
          <w:highlight w:val="white"/>
        </w:rPr>
        <w:t xml:space="preserve"> dan </w:t>
      </w:r>
      <w:proofErr w:type="spellStart"/>
      <w:r>
        <w:rPr>
          <w:rFonts w:ascii="Times New Roman" w:eastAsia="Times New Roman" w:hAnsi="Times New Roman" w:cs="Times New Roman"/>
          <w:sz w:val="24"/>
          <w:szCs w:val="24"/>
          <w:highlight w:val="white"/>
        </w:rPr>
        <w:t>merangkumi</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perkara-perkara</w:t>
      </w:r>
      <w:proofErr w:type="spellEnd"/>
      <w:r>
        <w:rPr>
          <w:rFonts w:ascii="Times New Roman" w:eastAsia="Times New Roman" w:hAnsi="Times New Roman" w:cs="Times New Roman"/>
          <w:sz w:val="24"/>
          <w:szCs w:val="24"/>
          <w:highlight w:val="white"/>
        </w:rPr>
        <w:t xml:space="preserve"> lain yang </w:t>
      </w:r>
      <w:proofErr w:type="spellStart"/>
      <w:r>
        <w:rPr>
          <w:rFonts w:ascii="Times New Roman" w:eastAsia="Times New Roman" w:hAnsi="Times New Roman" w:cs="Times New Roman"/>
          <w:sz w:val="24"/>
          <w:szCs w:val="24"/>
          <w:highlight w:val="white"/>
        </w:rPr>
        <w:t>seharusnya</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dipidkan</w:t>
      </w:r>
      <w:proofErr w:type="spellEnd"/>
      <w:r>
        <w:rPr>
          <w:rFonts w:ascii="Times New Roman" w:eastAsia="Times New Roman" w:hAnsi="Times New Roman" w:cs="Times New Roman"/>
          <w:sz w:val="24"/>
          <w:szCs w:val="24"/>
          <w:highlight w:val="white"/>
        </w:rPr>
        <w:t xml:space="preserve">. Oleh </w:t>
      </w:r>
      <w:proofErr w:type="spellStart"/>
      <w:r>
        <w:rPr>
          <w:rFonts w:ascii="Times New Roman" w:eastAsia="Times New Roman" w:hAnsi="Times New Roman" w:cs="Times New Roman"/>
          <w:sz w:val="24"/>
          <w:szCs w:val="24"/>
          <w:highlight w:val="white"/>
        </w:rPr>
        <w:t>itu</w:t>
      </w:r>
      <w:proofErr w:type="spellEnd"/>
      <w:r>
        <w:rPr>
          <w:rFonts w:ascii="Times New Roman" w:eastAsia="Times New Roman" w:hAnsi="Times New Roman" w:cs="Times New Roman"/>
          <w:sz w:val="24"/>
          <w:szCs w:val="24"/>
          <w:highlight w:val="white"/>
        </w:rPr>
        <w:t xml:space="preserve">, para </w:t>
      </w:r>
      <w:proofErr w:type="spellStart"/>
      <w:r>
        <w:rPr>
          <w:rFonts w:ascii="Times New Roman" w:eastAsia="Times New Roman" w:hAnsi="Times New Roman" w:cs="Times New Roman"/>
          <w:sz w:val="24"/>
          <w:szCs w:val="24"/>
          <w:highlight w:val="white"/>
        </w:rPr>
        <w:t>pengamal</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undang-undang</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wajar</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untuk</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memplidkan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apa-apa</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perkara</w:t>
      </w:r>
      <w:proofErr w:type="spellEnd"/>
      <w:r>
        <w:rPr>
          <w:rFonts w:ascii="Times New Roman" w:eastAsia="Times New Roman" w:hAnsi="Times New Roman" w:cs="Times New Roman"/>
          <w:sz w:val="24"/>
          <w:szCs w:val="24"/>
          <w:highlight w:val="white"/>
        </w:rPr>
        <w:t xml:space="preserve"> yang </w:t>
      </w:r>
      <w:proofErr w:type="spellStart"/>
      <w:r>
        <w:rPr>
          <w:rFonts w:ascii="Times New Roman" w:eastAsia="Times New Roman" w:hAnsi="Times New Roman" w:cs="Times New Roman"/>
          <w:sz w:val="24"/>
          <w:szCs w:val="24"/>
          <w:highlight w:val="white"/>
        </w:rPr>
        <w:t>relevan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dalam</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pernyataan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tuntutan</w:t>
      </w:r>
      <w:proofErr w:type="spellEnd"/>
      <w:r>
        <w:rPr>
          <w:rFonts w:ascii="Times New Roman" w:eastAsia="Times New Roman" w:hAnsi="Times New Roman" w:cs="Times New Roman"/>
          <w:sz w:val="24"/>
          <w:szCs w:val="24"/>
          <w:highlight w:val="white"/>
        </w:rPr>
        <w:t xml:space="preserve"> dan </w:t>
      </w:r>
      <w:proofErr w:type="spellStart"/>
      <w:r>
        <w:rPr>
          <w:rFonts w:ascii="Times New Roman" w:eastAsia="Times New Roman" w:hAnsi="Times New Roman" w:cs="Times New Roman"/>
          <w:sz w:val="24"/>
          <w:szCs w:val="24"/>
          <w:highlight w:val="white"/>
        </w:rPr>
        <w:t>pernyataan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pembelaan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mereka</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dengan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terperinci</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khusus</w:t>
      </w:r>
      <w:proofErr w:type="spellEnd"/>
      <w:r>
        <w:rPr>
          <w:rFonts w:ascii="Times New Roman" w:eastAsia="Times New Roman" w:hAnsi="Times New Roman" w:cs="Times New Roman"/>
          <w:sz w:val="24"/>
          <w:szCs w:val="24"/>
          <w:highlight w:val="white"/>
        </w:rPr>
        <w:t xml:space="preserve"> dan </w:t>
      </w:r>
      <w:proofErr w:type="spellStart"/>
      <w:r>
        <w:rPr>
          <w:rFonts w:ascii="Times New Roman" w:eastAsia="Times New Roman" w:hAnsi="Times New Roman" w:cs="Times New Roman"/>
          <w:sz w:val="24"/>
          <w:szCs w:val="24"/>
          <w:highlight w:val="white"/>
        </w:rPr>
        <w:t>menyokong</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fakta</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serta</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butiran-butiran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mereka</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dengan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undang-undang</w:t>
      </w:r>
      <w:proofErr w:type="spellEnd"/>
      <w:r>
        <w:rPr>
          <w:rFonts w:ascii="Times New Roman" w:eastAsia="Times New Roman" w:hAnsi="Times New Roman" w:cs="Times New Roman"/>
          <w:sz w:val="24"/>
          <w:szCs w:val="24"/>
          <w:highlight w:val="white"/>
        </w:rPr>
        <w:t xml:space="preserve"> yang </w:t>
      </w:r>
      <w:proofErr w:type="spellStart"/>
      <w:r>
        <w:rPr>
          <w:rFonts w:ascii="Times New Roman" w:eastAsia="Times New Roman" w:hAnsi="Times New Roman" w:cs="Times New Roman"/>
          <w:sz w:val="24"/>
          <w:szCs w:val="24"/>
          <w:highlight w:val="white"/>
        </w:rPr>
        <w:t>relevan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Dalam</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kegagalan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untuk</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memplidkan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perkara</w:t>
      </w:r>
      <w:proofErr w:type="spellEnd"/>
      <w:r>
        <w:rPr>
          <w:rFonts w:ascii="Times New Roman" w:eastAsia="Times New Roman" w:hAnsi="Times New Roman" w:cs="Times New Roman"/>
          <w:sz w:val="24"/>
          <w:szCs w:val="24"/>
          <w:highlight w:val="white"/>
        </w:rPr>
        <w:t xml:space="preserve"> yang </w:t>
      </w:r>
      <w:proofErr w:type="spellStart"/>
      <w:r>
        <w:rPr>
          <w:rFonts w:ascii="Times New Roman" w:eastAsia="Times New Roman" w:hAnsi="Times New Roman" w:cs="Times New Roman"/>
          <w:sz w:val="24"/>
          <w:szCs w:val="24"/>
          <w:highlight w:val="white"/>
        </w:rPr>
        <w:t>perlu</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diplid</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atau</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dirayu</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dengan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khusus</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satu-satunya</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cara</w:t>
      </w:r>
      <w:proofErr w:type="spellEnd"/>
      <w:r>
        <w:rPr>
          <w:rFonts w:ascii="Times New Roman" w:eastAsia="Times New Roman" w:hAnsi="Times New Roman" w:cs="Times New Roman"/>
          <w:sz w:val="24"/>
          <w:szCs w:val="24"/>
          <w:highlight w:val="white"/>
        </w:rPr>
        <w:t xml:space="preserve"> yang </w:t>
      </w:r>
      <w:proofErr w:type="spellStart"/>
      <w:r>
        <w:rPr>
          <w:rFonts w:ascii="Times New Roman" w:eastAsia="Times New Roman" w:hAnsi="Times New Roman" w:cs="Times New Roman"/>
          <w:sz w:val="24"/>
          <w:szCs w:val="24"/>
          <w:highlight w:val="white"/>
        </w:rPr>
        <w:t>boleh</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dilakukan</w:t>
      </w:r>
      <w:proofErr w:type="spellEnd"/>
      <w:r>
        <w:rPr>
          <w:rFonts w:ascii="Times New Roman" w:eastAsia="Times New Roman" w:hAnsi="Times New Roman" w:cs="Times New Roman"/>
          <w:sz w:val="24"/>
          <w:szCs w:val="24"/>
          <w:highlight w:val="white"/>
        </w:rPr>
        <w:t xml:space="preserve"> oleh </w:t>
      </w:r>
      <w:proofErr w:type="spellStart"/>
      <w:r>
        <w:rPr>
          <w:rFonts w:ascii="Times New Roman" w:eastAsia="Times New Roman" w:hAnsi="Times New Roman" w:cs="Times New Roman"/>
          <w:sz w:val="24"/>
          <w:szCs w:val="24"/>
          <w:highlight w:val="white"/>
        </w:rPr>
        <w:t>pihak</w:t>
      </w:r>
      <w:proofErr w:type="spellEnd"/>
      <w:r>
        <w:rPr>
          <w:rFonts w:ascii="Times New Roman" w:eastAsia="Times New Roman" w:hAnsi="Times New Roman" w:cs="Times New Roman"/>
          <w:sz w:val="24"/>
          <w:szCs w:val="24"/>
          <w:highlight w:val="white"/>
        </w:rPr>
        <w:t xml:space="preserve"> yang </w:t>
      </w:r>
      <w:proofErr w:type="spellStart"/>
      <w:r>
        <w:rPr>
          <w:rFonts w:ascii="Times New Roman" w:eastAsia="Times New Roman" w:hAnsi="Times New Roman" w:cs="Times New Roman"/>
          <w:sz w:val="24"/>
          <w:szCs w:val="24"/>
          <w:highlight w:val="white"/>
        </w:rPr>
        <w:t>ingin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untuk</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membangkitkan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perkara</w:t>
      </w:r>
      <w:proofErr w:type="spellEnd"/>
      <w:r>
        <w:rPr>
          <w:rFonts w:ascii="Times New Roman" w:eastAsia="Times New Roman" w:hAnsi="Times New Roman" w:cs="Times New Roman"/>
          <w:sz w:val="24"/>
          <w:szCs w:val="24"/>
          <w:highlight w:val="white"/>
        </w:rPr>
        <w:t xml:space="preserve"> yang </w:t>
      </w:r>
      <w:proofErr w:type="spellStart"/>
      <w:r>
        <w:rPr>
          <w:rFonts w:ascii="Times New Roman" w:eastAsia="Times New Roman" w:hAnsi="Times New Roman" w:cs="Times New Roman"/>
          <w:sz w:val="24"/>
          <w:szCs w:val="24"/>
          <w:highlight w:val="white"/>
        </w:rPr>
        <w:t>tidak</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dirayu</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adalah</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untuk</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meminda</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pliding</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mereka</w:t>
      </w:r>
      <w:proofErr w:type="spellEnd"/>
      <w:r>
        <w:rPr>
          <w:rFonts w:ascii="Times New Roman" w:eastAsia="Times New Roman" w:hAnsi="Times New Roman" w:cs="Times New Roman"/>
          <w:sz w:val="24"/>
          <w:szCs w:val="24"/>
          <w:highlight w:val="white"/>
          <w:vertAlign w:val="superscript"/>
        </w:rPr>
        <w:footnoteReference w:id="49"/>
      </w:r>
      <w:r>
        <w:rPr>
          <w:rFonts w:ascii="Times New Roman" w:eastAsia="Times New Roman" w:hAnsi="Times New Roman" w:cs="Times New Roman"/>
          <w:sz w:val="24"/>
          <w:szCs w:val="24"/>
          <w:highlight w:val="white"/>
        </w:rPr>
        <w:t xml:space="preserve">. </w:t>
      </w:r>
    </w:p>
    <w:p w14:paraId="000000AA" w14:textId="77777777" w:rsidR="00E97409" w:rsidRDefault="00E97409" w:rsidP="00690802">
      <w:pPr>
        <w:spacing w:line="240" w:lineRule="auto"/>
        <w:ind w:firstLine="567"/>
        <w:jc w:val="both"/>
        <w:rPr>
          <w:rFonts w:ascii="Times New Roman" w:eastAsia="Times New Roman" w:hAnsi="Times New Roman" w:cs="Times New Roman"/>
          <w:highlight w:val="white"/>
        </w:rPr>
      </w:pPr>
    </w:p>
    <w:p w14:paraId="000000AB" w14:textId="79B6A727" w:rsidR="00E97409" w:rsidRDefault="007741DD" w:rsidP="00690802">
      <w:pPr>
        <w:spacing w:line="240" w:lineRule="auto"/>
        <w:jc w:val="center"/>
        <w:rPr>
          <w:rFonts w:ascii="Times New Roman" w:eastAsia="Times New Roman" w:hAnsi="Times New Roman" w:cs="Times New Roman"/>
          <w:b/>
          <w:sz w:val="24"/>
          <w:szCs w:val="24"/>
          <w:highlight w:val="white"/>
        </w:rPr>
      </w:pPr>
      <w:bookmarkStart w:id="10" w:name="_heading=h.4d34og8" w:colFirst="0" w:colLast="0"/>
      <w:bookmarkEnd w:id="10"/>
      <w:proofErr w:type="spellStart"/>
      <w:r>
        <w:rPr>
          <w:rFonts w:ascii="Times New Roman" w:eastAsia="Times New Roman" w:hAnsi="Times New Roman" w:cs="Times New Roman"/>
          <w:b/>
          <w:sz w:val="24"/>
          <w:szCs w:val="24"/>
          <w:highlight w:val="white"/>
        </w:rPr>
        <w:t>Isu</w:t>
      </w:r>
      <w:proofErr w:type="spellEnd"/>
      <w:r>
        <w:rPr>
          <w:rFonts w:ascii="Times New Roman" w:eastAsia="Times New Roman" w:hAnsi="Times New Roman" w:cs="Times New Roman"/>
          <w:b/>
          <w:sz w:val="24"/>
          <w:szCs w:val="24"/>
          <w:highlight w:val="white"/>
        </w:rPr>
        <w:t xml:space="preserve"> 3: </w:t>
      </w:r>
      <w:proofErr w:type="spellStart"/>
      <w:r>
        <w:rPr>
          <w:rFonts w:ascii="Times New Roman" w:eastAsia="Times New Roman" w:hAnsi="Times New Roman" w:cs="Times New Roman"/>
          <w:b/>
          <w:sz w:val="24"/>
          <w:szCs w:val="24"/>
          <w:highlight w:val="white"/>
        </w:rPr>
        <w:t>Pembatalan</w:t>
      </w:r>
      <w:proofErr w:type="spellEnd"/>
      <w:r>
        <w:rPr>
          <w:rFonts w:ascii="Times New Roman" w:eastAsia="Times New Roman" w:hAnsi="Times New Roman" w:cs="Times New Roman"/>
          <w:b/>
          <w:sz w:val="24"/>
          <w:szCs w:val="24"/>
          <w:highlight w:val="white"/>
        </w:rPr>
        <w:t xml:space="preserve"> </w:t>
      </w:r>
      <w:proofErr w:type="spellStart"/>
      <w:r>
        <w:rPr>
          <w:rFonts w:ascii="Times New Roman" w:eastAsia="Times New Roman" w:hAnsi="Times New Roman" w:cs="Times New Roman"/>
          <w:b/>
          <w:sz w:val="24"/>
          <w:szCs w:val="24"/>
          <w:highlight w:val="white"/>
        </w:rPr>
        <w:t>Sebuah</w:t>
      </w:r>
      <w:proofErr w:type="spellEnd"/>
      <w:r>
        <w:rPr>
          <w:rFonts w:ascii="Times New Roman" w:eastAsia="Times New Roman" w:hAnsi="Times New Roman" w:cs="Times New Roman"/>
          <w:b/>
          <w:sz w:val="24"/>
          <w:szCs w:val="24"/>
          <w:highlight w:val="white"/>
        </w:rPr>
        <w:t xml:space="preserve"> </w:t>
      </w:r>
      <w:proofErr w:type="spellStart"/>
      <w:r>
        <w:rPr>
          <w:rFonts w:ascii="Times New Roman" w:eastAsia="Times New Roman" w:hAnsi="Times New Roman" w:cs="Times New Roman"/>
          <w:b/>
          <w:sz w:val="24"/>
          <w:szCs w:val="24"/>
          <w:highlight w:val="white"/>
        </w:rPr>
        <w:t>Pliding</w:t>
      </w:r>
      <w:proofErr w:type="spellEnd"/>
      <w:r>
        <w:rPr>
          <w:rFonts w:ascii="Times New Roman" w:eastAsia="Times New Roman" w:hAnsi="Times New Roman" w:cs="Times New Roman"/>
          <w:b/>
          <w:sz w:val="24"/>
          <w:szCs w:val="24"/>
          <w:highlight w:val="white"/>
        </w:rPr>
        <w:t xml:space="preserve"> dan </w:t>
      </w:r>
      <w:proofErr w:type="spellStart"/>
      <w:r>
        <w:rPr>
          <w:rFonts w:ascii="Times New Roman" w:eastAsia="Times New Roman" w:hAnsi="Times New Roman" w:cs="Times New Roman"/>
          <w:b/>
          <w:sz w:val="24"/>
          <w:szCs w:val="24"/>
          <w:highlight w:val="white"/>
        </w:rPr>
        <w:t>Pengendorsan</w:t>
      </w:r>
      <w:proofErr w:type="spellEnd"/>
      <w:r>
        <w:rPr>
          <w:rFonts w:ascii="Times New Roman" w:eastAsia="Times New Roman" w:hAnsi="Times New Roman" w:cs="Times New Roman"/>
          <w:b/>
          <w:sz w:val="24"/>
          <w:szCs w:val="24"/>
          <w:highlight w:val="white"/>
        </w:rPr>
        <w:t xml:space="preserve"> Atas </w:t>
      </w:r>
      <w:proofErr w:type="spellStart"/>
      <w:r>
        <w:rPr>
          <w:rFonts w:ascii="Times New Roman" w:eastAsia="Times New Roman" w:hAnsi="Times New Roman" w:cs="Times New Roman"/>
          <w:b/>
          <w:sz w:val="24"/>
          <w:szCs w:val="24"/>
          <w:highlight w:val="white"/>
        </w:rPr>
        <w:t>Alasan</w:t>
      </w:r>
      <w:proofErr w:type="spellEnd"/>
      <w:r>
        <w:rPr>
          <w:rFonts w:ascii="Times New Roman" w:eastAsia="Times New Roman" w:hAnsi="Times New Roman" w:cs="Times New Roman"/>
          <w:b/>
          <w:sz w:val="24"/>
          <w:szCs w:val="24"/>
          <w:highlight w:val="white"/>
        </w:rPr>
        <w:t xml:space="preserve"> </w:t>
      </w:r>
      <w:proofErr w:type="spellStart"/>
      <w:r>
        <w:rPr>
          <w:rFonts w:ascii="Times New Roman" w:eastAsia="Times New Roman" w:hAnsi="Times New Roman" w:cs="Times New Roman"/>
          <w:b/>
          <w:sz w:val="24"/>
          <w:szCs w:val="24"/>
          <w:highlight w:val="white"/>
        </w:rPr>
        <w:t>Penyalahgunaan</w:t>
      </w:r>
      <w:proofErr w:type="spellEnd"/>
      <w:r>
        <w:rPr>
          <w:rFonts w:ascii="Times New Roman" w:eastAsia="Times New Roman" w:hAnsi="Times New Roman" w:cs="Times New Roman"/>
          <w:b/>
          <w:sz w:val="24"/>
          <w:szCs w:val="24"/>
          <w:highlight w:val="white"/>
        </w:rPr>
        <w:t xml:space="preserve"> Proses </w:t>
      </w:r>
      <w:proofErr w:type="spellStart"/>
      <w:r>
        <w:rPr>
          <w:rFonts w:ascii="Times New Roman" w:eastAsia="Times New Roman" w:hAnsi="Times New Roman" w:cs="Times New Roman"/>
          <w:b/>
          <w:sz w:val="24"/>
          <w:szCs w:val="24"/>
          <w:highlight w:val="white"/>
        </w:rPr>
        <w:t>Mahkamah</w:t>
      </w:r>
      <w:proofErr w:type="spellEnd"/>
    </w:p>
    <w:p w14:paraId="000000AD" w14:textId="366B4186" w:rsidR="00E97409" w:rsidRDefault="007741DD" w:rsidP="00690802">
      <w:pPr>
        <w:spacing w:line="240" w:lineRule="auto"/>
        <w:jc w:val="both"/>
        <w:rPr>
          <w:rFonts w:ascii="Times New Roman" w:eastAsia="Times New Roman" w:hAnsi="Times New Roman" w:cs="Times New Roman"/>
          <w:sz w:val="24"/>
          <w:szCs w:val="24"/>
          <w:highlight w:val="white"/>
        </w:rPr>
      </w:pPr>
      <w:bookmarkStart w:id="11" w:name="_heading=h.2s8eyo1" w:colFirst="0" w:colLast="0"/>
      <w:bookmarkEnd w:id="11"/>
      <w:r>
        <w:rPr>
          <w:rFonts w:ascii="Times New Roman" w:eastAsia="Times New Roman" w:hAnsi="Times New Roman" w:cs="Times New Roman"/>
          <w:sz w:val="24"/>
          <w:szCs w:val="24"/>
          <w:highlight w:val="white"/>
        </w:rPr>
        <w:tab/>
        <w:t xml:space="preserve">Bawah </w:t>
      </w:r>
      <w:proofErr w:type="spellStart"/>
      <w:r>
        <w:rPr>
          <w:rFonts w:ascii="Times New Roman" w:eastAsia="Times New Roman" w:hAnsi="Times New Roman" w:cs="Times New Roman"/>
          <w:sz w:val="24"/>
          <w:szCs w:val="24"/>
          <w:highlight w:val="white"/>
        </w:rPr>
        <w:t>Aturan</w:t>
      </w:r>
      <w:proofErr w:type="spellEnd"/>
      <w:r>
        <w:rPr>
          <w:rFonts w:ascii="Times New Roman" w:eastAsia="Times New Roman" w:hAnsi="Times New Roman" w:cs="Times New Roman"/>
          <w:sz w:val="24"/>
          <w:szCs w:val="24"/>
          <w:highlight w:val="white"/>
        </w:rPr>
        <w:t xml:space="preserve"> 18 </w:t>
      </w:r>
      <w:proofErr w:type="spellStart"/>
      <w:r>
        <w:rPr>
          <w:rFonts w:ascii="Times New Roman" w:eastAsia="Times New Roman" w:hAnsi="Times New Roman" w:cs="Times New Roman"/>
          <w:sz w:val="24"/>
          <w:szCs w:val="24"/>
          <w:highlight w:val="white"/>
        </w:rPr>
        <w:t>Kaedah</w:t>
      </w:r>
      <w:proofErr w:type="spellEnd"/>
      <w:r>
        <w:rPr>
          <w:rFonts w:ascii="Times New Roman" w:eastAsia="Times New Roman" w:hAnsi="Times New Roman" w:cs="Times New Roman"/>
          <w:sz w:val="24"/>
          <w:szCs w:val="24"/>
          <w:highlight w:val="white"/>
        </w:rPr>
        <w:t xml:space="preserve"> 19 KMM, </w:t>
      </w:r>
      <w:proofErr w:type="spellStart"/>
      <w:r>
        <w:rPr>
          <w:rFonts w:ascii="Times New Roman" w:eastAsia="Times New Roman" w:hAnsi="Times New Roman" w:cs="Times New Roman"/>
          <w:sz w:val="24"/>
          <w:szCs w:val="24"/>
          <w:highlight w:val="white"/>
        </w:rPr>
        <w:t>mahkamah</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akan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membatalkan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sebuah</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pliding</w:t>
      </w:r>
      <w:proofErr w:type="spellEnd"/>
      <w:r>
        <w:rPr>
          <w:rFonts w:ascii="Times New Roman" w:eastAsia="Times New Roman" w:hAnsi="Times New Roman" w:cs="Times New Roman"/>
          <w:sz w:val="24"/>
          <w:szCs w:val="24"/>
          <w:highlight w:val="white"/>
        </w:rPr>
        <w:t xml:space="preserve"> dan </w:t>
      </w:r>
      <w:proofErr w:type="spellStart"/>
      <w:r>
        <w:rPr>
          <w:rFonts w:ascii="Times New Roman" w:eastAsia="Times New Roman" w:hAnsi="Times New Roman" w:cs="Times New Roman"/>
          <w:sz w:val="24"/>
          <w:szCs w:val="24"/>
          <w:highlight w:val="white"/>
        </w:rPr>
        <w:t>pengendorsan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bawah</w:t>
      </w:r>
      <w:proofErr w:type="spellEnd"/>
      <w:r>
        <w:rPr>
          <w:rFonts w:ascii="Times New Roman" w:eastAsia="Times New Roman" w:hAnsi="Times New Roman" w:cs="Times New Roman"/>
          <w:sz w:val="24"/>
          <w:szCs w:val="24"/>
          <w:highlight w:val="white"/>
        </w:rPr>
        <w:t xml:space="preserve"> 4 </w:t>
      </w:r>
      <w:proofErr w:type="spellStart"/>
      <w:r>
        <w:rPr>
          <w:rFonts w:ascii="Times New Roman" w:eastAsia="Times New Roman" w:hAnsi="Times New Roman" w:cs="Times New Roman"/>
          <w:sz w:val="24"/>
          <w:szCs w:val="24"/>
          <w:highlight w:val="white"/>
        </w:rPr>
        <w:t>situasi</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iaitu</w:t>
      </w:r>
      <w:proofErr w:type="spellEnd"/>
      <w:r>
        <w:rPr>
          <w:rFonts w:ascii="Times New Roman" w:eastAsia="Times New Roman" w:hAnsi="Times New Roman" w:cs="Times New Roman"/>
          <w:sz w:val="24"/>
          <w:szCs w:val="24"/>
          <w:highlight w:val="white"/>
        </w:rPr>
        <w:t xml:space="preserve">: - </w:t>
      </w:r>
      <w:proofErr w:type="spellStart"/>
      <w:r>
        <w:rPr>
          <w:rFonts w:ascii="Times New Roman" w:eastAsia="Times New Roman" w:hAnsi="Times New Roman" w:cs="Times New Roman"/>
          <w:sz w:val="24"/>
          <w:szCs w:val="24"/>
          <w:highlight w:val="white"/>
        </w:rPr>
        <w:t>i</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jika</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kes</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tersebut</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adalah</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remeh</w:t>
      </w:r>
      <w:proofErr w:type="spellEnd"/>
      <w:r>
        <w:rPr>
          <w:rFonts w:ascii="Times New Roman" w:eastAsia="Times New Roman" w:hAnsi="Times New Roman" w:cs="Times New Roman"/>
          <w:sz w:val="24"/>
          <w:szCs w:val="24"/>
          <w:highlight w:val="white"/>
        </w:rPr>
        <w:t xml:space="preserve"> dan </w:t>
      </w:r>
      <w:proofErr w:type="spellStart"/>
      <w:r>
        <w:rPr>
          <w:rFonts w:ascii="Times New Roman" w:eastAsia="Times New Roman" w:hAnsi="Times New Roman" w:cs="Times New Roman"/>
          <w:sz w:val="24"/>
          <w:szCs w:val="24"/>
          <w:highlight w:val="white"/>
        </w:rPr>
        <w:t>jelas</w:t>
      </w:r>
      <w:proofErr w:type="spellEnd"/>
      <w:r>
        <w:rPr>
          <w:rFonts w:ascii="Times New Roman" w:eastAsia="Times New Roman" w:hAnsi="Times New Roman" w:cs="Times New Roman"/>
          <w:sz w:val="24"/>
          <w:szCs w:val="24"/>
          <w:highlight w:val="white"/>
        </w:rPr>
        <w:t xml:space="preserve">; ii) </w:t>
      </w:r>
      <w:proofErr w:type="spellStart"/>
      <w:r>
        <w:rPr>
          <w:rFonts w:ascii="Times New Roman" w:eastAsia="Times New Roman" w:hAnsi="Times New Roman" w:cs="Times New Roman"/>
          <w:sz w:val="24"/>
          <w:szCs w:val="24"/>
          <w:highlight w:val="white"/>
        </w:rPr>
        <w:t>jika</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kausa</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tindakan</w:t>
      </w:r>
      <w:proofErr w:type="spellEnd"/>
      <w:r>
        <w:rPr>
          <w:rFonts w:ascii="Times New Roman" w:eastAsia="Times New Roman" w:hAnsi="Times New Roman" w:cs="Times New Roman"/>
          <w:sz w:val="24"/>
          <w:szCs w:val="24"/>
          <w:highlight w:val="white"/>
        </w:rPr>
        <w:t xml:space="preserve"> yang </w:t>
      </w:r>
      <w:proofErr w:type="spellStart"/>
      <w:r>
        <w:rPr>
          <w:rFonts w:ascii="Times New Roman" w:eastAsia="Times New Roman" w:hAnsi="Times New Roman" w:cs="Times New Roman"/>
          <w:sz w:val="24"/>
          <w:szCs w:val="24"/>
          <w:highlight w:val="white"/>
        </w:rPr>
        <w:t>tidak</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munasabah</w:t>
      </w:r>
      <w:proofErr w:type="spellEnd"/>
      <w:r>
        <w:rPr>
          <w:rFonts w:ascii="Times New Roman" w:eastAsia="Times New Roman" w:hAnsi="Times New Roman" w:cs="Times New Roman"/>
          <w:sz w:val="24"/>
          <w:szCs w:val="24"/>
          <w:highlight w:val="white"/>
        </w:rPr>
        <w:t xml:space="preserve">; iii) </w:t>
      </w:r>
      <w:proofErr w:type="spellStart"/>
      <w:r>
        <w:rPr>
          <w:rFonts w:ascii="Times New Roman" w:eastAsia="Times New Roman" w:hAnsi="Times New Roman" w:cs="Times New Roman"/>
          <w:sz w:val="24"/>
          <w:szCs w:val="24"/>
          <w:highlight w:val="white"/>
        </w:rPr>
        <w:t>untuk</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mengelakkan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perbicaraan</w:t>
      </w:r>
      <w:proofErr w:type="spellEnd"/>
      <w:r>
        <w:rPr>
          <w:rFonts w:ascii="Times New Roman" w:eastAsia="Times New Roman" w:hAnsi="Times New Roman" w:cs="Times New Roman"/>
          <w:sz w:val="24"/>
          <w:szCs w:val="24"/>
          <w:highlight w:val="white"/>
        </w:rPr>
        <w:t xml:space="preserve"> yang </w:t>
      </w:r>
      <w:proofErr w:type="spellStart"/>
      <w:r>
        <w:rPr>
          <w:rFonts w:ascii="Times New Roman" w:eastAsia="Times New Roman" w:hAnsi="Times New Roman" w:cs="Times New Roman"/>
          <w:sz w:val="24"/>
          <w:szCs w:val="24"/>
          <w:highlight w:val="white"/>
        </w:rPr>
        <w:t>tidak</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mempunyai</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kebarangkalian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untuk</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berjaya</w:t>
      </w:r>
      <w:proofErr w:type="spellEnd"/>
      <w:r>
        <w:rPr>
          <w:rFonts w:ascii="Times New Roman" w:eastAsia="Times New Roman" w:hAnsi="Times New Roman" w:cs="Times New Roman"/>
          <w:sz w:val="24"/>
          <w:szCs w:val="24"/>
          <w:highlight w:val="white"/>
        </w:rPr>
        <w:t xml:space="preserve">; dan iv) </w:t>
      </w:r>
      <w:proofErr w:type="spellStart"/>
      <w:r>
        <w:rPr>
          <w:rFonts w:ascii="Times New Roman" w:eastAsia="Times New Roman" w:hAnsi="Times New Roman" w:cs="Times New Roman"/>
          <w:sz w:val="24"/>
          <w:szCs w:val="24"/>
          <w:highlight w:val="white"/>
        </w:rPr>
        <w:t>jika</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tuntutan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tersebut</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adalah</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mengaibkan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remeh</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atau</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menyusahkan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atau</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pembelaan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kes</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tersebut</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tidak</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boleh</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dipertikaikan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atau</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ia</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adalah</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suatu</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penyalahgunaan</w:t>
      </w:r>
      <w:proofErr w:type="spellEnd"/>
      <w:r>
        <w:rPr>
          <w:rFonts w:ascii="Times New Roman" w:eastAsia="Times New Roman" w:hAnsi="Times New Roman" w:cs="Times New Roman"/>
          <w:sz w:val="24"/>
          <w:szCs w:val="24"/>
          <w:highlight w:val="white"/>
        </w:rPr>
        <w:t xml:space="preserve"> proses </w:t>
      </w:r>
      <w:proofErr w:type="spellStart"/>
      <w:r>
        <w:rPr>
          <w:rFonts w:ascii="Times New Roman" w:eastAsia="Times New Roman" w:hAnsi="Times New Roman" w:cs="Times New Roman"/>
          <w:sz w:val="24"/>
          <w:szCs w:val="24"/>
          <w:highlight w:val="white"/>
        </w:rPr>
        <w:t>mahkamah</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Merujuk</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kepada</w:t>
      </w:r>
      <w:proofErr w:type="spellEnd"/>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b/>
          <w:i/>
          <w:sz w:val="24"/>
          <w:szCs w:val="24"/>
          <w:highlight w:val="white"/>
        </w:rPr>
        <w:t>Re Bartlett &amp; Berry’s Contract</w:t>
      </w:r>
      <w:r>
        <w:rPr>
          <w:rFonts w:ascii="Times New Roman" w:eastAsia="Times New Roman" w:hAnsi="Times New Roman" w:cs="Times New Roman"/>
          <w:i/>
          <w:sz w:val="24"/>
          <w:szCs w:val="24"/>
          <w:highlight w:val="white"/>
          <w:vertAlign w:val="superscript"/>
        </w:rPr>
        <w:footnoteReference w:id="50"/>
      </w:r>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aturan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ini</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terpakai</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kepada</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keseluruhan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atau</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sebahagian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daripada</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indorsmen</w:t>
      </w:r>
      <w:proofErr w:type="spellEnd"/>
      <w:r>
        <w:rPr>
          <w:rFonts w:ascii="Times New Roman" w:eastAsia="Times New Roman" w:hAnsi="Times New Roman" w:cs="Times New Roman"/>
          <w:sz w:val="24"/>
          <w:szCs w:val="24"/>
          <w:highlight w:val="white"/>
        </w:rPr>
        <w:t xml:space="preserve"> pada mana-mana writ, </w:t>
      </w:r>
      <w:proofErr w:type="spellStart"/>
      <w:r>
        <w:rPr>
          <w:rFonts w:ascii="Times New Roman" w:eastAsia="Times New Roman" w:hAnsi="Times New Roman" w:cs="Times New Roman"/>
          <w:sz w:val="24"/>
          <w:szCs w:val="24"/>
          <w:highlight w:val="white"/>
        </w:rPr>
        <w:t>atau</w:t>
      </w:r>
      <w:proofErr w:type="spellEnd"/>
      <w:r>
        <w:rPr>
          <w:rFonts w:ascii="Times New Roman" w:eastAsia="Times New Roman" w:hAnsi="Times New Roman" w:cs="Times New Roman"/>
          <w:sz w:val="24"/>
          <w:szCs w:val="24"/>
          <w:highlight w:val="white"/>
        </w:rPr>
        <w:t xml:space="preserve"> mana-mana </w:t>
      </w:r>
      <w:proofErr w:type="spellStart"/>
      <w:r>
        <w:rPr>
          <w:rFonts w:ascii="Times New Roman" w:eastAsia="Times New Roman" w:hAnsi="Times New Roman" w:cs="Times New Roman"/>
          <w:sz w:val="24"/>
          <w:szCs w:val="24"/>
          <w:highlight w:val="white"/>
        </w:rPr>
        <w:t>pliding</w:t>
      </w:r>
      <w:proofErr w:type="spellEnd"/>
      <w:r>
        <w:rPr>
          <w:rFonts w:ascii="Times New Roman" w:eastAsia="Times New Roman" w:hAnsi="Times New Roman" w:cs="Times New Roman"/>
          <w:sz w:val="24"/>
          <w:szCs w:val="24"/>
          <w:highlight w:val="white"/>
        </w:rPr>
        <w:t xml:space="preserve"> dan saman </w:t>
      </w:r>
      <w:proofErr w:type="spellStart"/>
      <w:r>
        <w:rPr>
          <w:rFonts w:ascii="Times New Roman" w:eastAsia="Times New Roman" w:hAnsi="Times New Roman" w:cs="Times New Roman"/>
          <w:sz w:val="24"/>
          <w:szCs w:val="24"/>
          <w:highlight w:val="white"/>
        </w:rPr>
        <w:t>pemula</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Namun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demikian</w:t>
      </w:r>
      <w:proofErr w:type="spellEnd"/>
      <w:r>
        <w:rPr>
          <w:rFonts w:ascii="Times New Roman" w:eastAsia="Times New Roman" w:hAnsi="Times New Roman" w:cs="Times New Roman"/>
          <w:sz w:val="24"/>
          <w:szCs w:val="24"/>
          <w:highlight w:val="white"/>
        </w:rPr>
        <w:t xml:space="preserve">, di Malaysia, </w:t>
      </w:r>
      <w:proofErr w:type="spellStart"/>
      <w:r>
        <w:rPr>
          <w:rFonts w:ascii="Times New Roman" w:eastAsia="Times New Roman" w:hAnsi="Times New Roman" w:cs="Times New Roman"/>
          <w:sz w:val="24"/>
          <w:szCs w:val="24"/>
          <w:highlight w:val="white"/>
        </w:rPr>
        <w:t>suatu</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notis</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pihak</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ketiga</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bukan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pliding</w:t>
      </w:r>
      <w:proofErr w:type="spellEnd"/>
      <w:r>
        <w:rPr>
          <w:rFonts w:ascii="Times New Roman" w:eastAsia="Times New Roman" w:hAnsi="Times New Roman" w:cs="Times New Roman"/>
          <w:sz w:val="24"/>
          <w:szCs w:val="24"/>
          <w:highlight w:val="white"/>
        </w:rPr>
        <w:t xml:space="preserve"> dan </w:t>
      </w:r>
      <w:proofErr w:type="spellStart"/>
      <w:r>
        <w:rPr>
          <w:rFonts w:ascii="Times New Roman" w:eastAsia="Times New Roman" w:hAnsi="Times New Roman" w:cs="Times New Roman"/>
          <w:sz w:val="24"/>
          <w:szCs w:val="24"/>
          <w:highlight w:val="white"/>
        </w:rPr>
        <w:t>aturan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ini</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tidak</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digunakan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bagi</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notis</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pihak</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ketiga</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seperti</w:t>
      </w:r>
      <w:proofErr w:type="spellEnd"/>
      <w:r>
        <w:rPr>
          <w:rFonts w:ascii="Times New Roman" w:eastAsia="Times New Roman" w:hAnsi="Times New Roman" w:cs="Times New Roman"/>
          <w:sz w:val="24"/>
          <w:szCs w:val="24"/>
          <w:highlight w:val="white"/>
        </w:rPr>
        <w:t xml:space="preserve"> yang </w:t>
      </w:r>
      <w:proofErr w:type="spellStart"/>
      <w:r>
        <w:rPr>
          <w:rFonts w:ascii="Times New Roman" w:eastAsia="Times New Roman" w:hAnsi="Times New Roman" w:cs="Times New Roman"/>
          <w:sz w:val="24"/>
          <w:szCs w:val="24"/>
          <w:highlight w:val="white"/>
        </w:rPr>
        <w:t>telah</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dijelaskan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dalam</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kes</w:t>
      </w:r>
      <w:proofErr w:type="spellEnd"/>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b/>
          <w:i/>
          <w:sz w:val="24"/>
          <w:szCs w:val="24"/>
          <w:highlight w:val="white"/>
        </w:rPr>
        <w:t xml:space="preserve">Pacific Asia Leasing (M) </w:t>
      </w:r>
      <w:proofErr w:type="spellStart"/>
      <w:r>
        <w:rPr>
          <w:rFonts w:ascii="Times New Roman" w:eastAsia="Times New Roman" w:hAnsi="Times New Roman" w:cs="Times New Roman"/>
          <w:b/>
          <w:i/>
          <w:sz w:val="24"/>
          <w:szCs w:val="24"/>
          <w:highlight w:val="white"/>
        </w:rPr>
        <w:t>Sdn</w:t>
      </w:r>
      <w:proofErr w:type="spellEnd"/>
      <w:r>
        <w:rPr>
          <w:rFonts w:ascii="Times New Roman" w:eastAsia="Times New Roman" w:hAnsi="Times New Roman" w:cs="Times New Roman"/>
          <w:b/>
          <w:i/>
          <w:sz w:val="24"/>
          <w:szCs w:val="24"/>
          <w:highlight w:val="white"/>
        </w:rPr>
        <w:t xml:space="preserve"> </w:t>
      </w:r>
      <w:proofErr w:type="spellStart"/>
      <w:r>
        <w:rPr>
          <w:rFonts w:ascii="Times New Roman" w:eastAsia="Times New Roman" w:hAnsi="Times New Roman" w:cs="Times New Roman"/>
          <w:b/>
          <w:i/>
          <w:sz w:val="24"/>
          <w:szCs w:val="24"/>
          <w:highlight w:val="white"/>
        </w:rPr>
        <w:t>Bhd</w:t>
      </w:r>
      <w:proofErr w:type="spellEnd"/>
      <w:r>
        <w:rPr>
          <w:rFonts w:ascii="Times New Roman" w:eastAsia="Times New Roman" w:hAnsi="Times New Roman" w:cs="Times New Roman"/>
          <w:b/>
          <w:i/>
          <w:sz w:val="24"/>
          <w:szCs w:val="24"/>
          <w:highlight w:val="white"/>
        </w:rPr>
        <w:t xml:space="preserve"> v </w:t>
      </w:r>
      <w:proofErr w:type="spellStart"/>
      <w:r>
        <w:rPr>
          <w:rFonts w:ascii="Times New Roman" w:eastAsia="Times New Roman" w:hAnsi="Times New Roman" w:cs="Times New Roman"/>
          <w:b/>
          <w:i/>
          <w:sz w:val="24"/>
          <w:szCs w:val="24"/>
          <w:highlight w:val="white"/>
        </w:rPr>
        <w:t>Senanti</w:t>
      </w:r>
      <w:proofErr w:type="spellEnd"/>
      <w:r>
        <w:rPr>
          <w:rFonts w:ascii="Times New Roman" w:eastAsia="Times New Roman" w:hAnsi="Times New Roman" w:cs="Times New Roman"/>
          <w:b/>
          <w:i/>
          <w:sz w:val="24"/>
          <w:szCs w:val="24"/>
          <w:highlight w:val="white"/>
        </w:rPr>
        <w:t xml:space="preserve"> Motors </w:t>
      </w:r>
      <w:proofErr w:type="spellStart"/>
      <w:r>
        <w:rPr>
          <w:rFonts w:ascii="Times New Roman" w:eastAsia="Times New Roman" w:hAnsi="Times New Roman" w:cs="Times New Roman"/>
          <w:b/>
          <w:i/>
          <w:sz w:val="24"/>
          <w:szCs w:val="24"/>
          <w:highlight w:val="white"/>
        </w:rPr>
        <w:t>Sdn</w:t>
      </w:r>
      <w:proofErr w:type="spellEnd"/>
      <w:r>
        <w:rPr>
          <w:rFonts w:ascii="Times New Roman" w:eastAsia="Times New Roman" w:hAnsi="Times New Roman" w:cs="Times New Roman"/>
          <w:b/>
          <w:i/>
          <w:sz w:val="24"/>
          <w:szCs w:val="24"/>
          <w:highlight w:val="white"/>
        </w:rPr>
        <w:t xml:space="preserve"> </w:t>
      </w:r>
      <w:proofErr w:type="spellStart"/>
      <w:r>
        <w:rPr>
          <w:rFonts w:ascii="Times New Roman" w:eastAsia="Times New Roman" w:hAnsi="Times New Roman" w:cs="Times New Roman"/>
          <w:b/>
          <w:i/>
          <w:sz w:val="24"/>
          <w:szCs w:val="24"/>
          <w:highlight w:val="white"/>
        </w:rPr>
        <w:t>Bhd</w:t>
      </w:r>
      <w:proofErr w:type="spellEnd"/>
      <w:r>
        <w:rPr>
          <w:rFonts w:ascii="Times New Roman" w:eastAsia="Times New Roman" w:hAnsi="Times New Roman" w:cs="Times New Roman"/>
          <w:b/>
          <w:i/>
          <w:sz w:val="24"/>
          <w:szCs w:val="24"/>
          <w:highlight w:val="white"/>
        </w:rPr>
        <w:t xml:space="preserve"> &amp; Anor </w:t>
      </w:r>
      <w:r>
        <w:rPr>
          <w:rFonts w:ascii="Times New Roman" w:eastAsia="Times New Roman" w:hAnsi="Times New Roman" w:cs="Times New Roman"/>
          <w:b/>
          <w:i/>
          <w:sz w:val="24"/>
          <w:szCs w:val="24"/>
          <w:highlight w:val="white"/>
        </w:rPr>
        <w:lastRenderedPageBreak/>
        <w:t xml:space="preserve">(Y.M. </w:t>
      </w:r>
      <w:proofErr w:type="spellStart"/>
      <w:r>
        <w:rPr>
          <w:rFonts w:ascii="Times New Roman" w:eastAsia="Times New Roman" w:hAnsi="Times New Roman" w:cs="Times New Roman"/>
          <w:b/>
          <w:i/>
          <w:sz w:val="24"/>
          <w:szCs w:val="24"/>
          <w:highlight w:val="white"/>
        </w:rPr>
        <w:t>Tunku</w:t>
      </w:r>
      <w:proofErr w:type="spellEnd"/>
      <w:r>
        <w:rPr>
          <w:rFonts w:ascii="Times New Roman" w:eastAsia="Times New Roman" w:hAnsi="Times New Roman" w:cs="Times New Roman"/>
          <w:b/>
          <w:i/>
          <w:sz w:val="24"/>
          <w:szCs w:val="24"/>
          <w:highlight w:val="white"/>
        </w:rPr>
        <w:t xml:space="preserve"> Kamil Ikram, Third Party)</w:t>
      </w:r>
      <w:r>
        <w:rPr>
          <w:rFonts w:ascii="Times New Roman" w:eastAsia="Times New Roman" w:hAnsi="Times New Roman" w:cs="Times New Roman"/>
          <w:i/>
          <w:sz w:val="24"/>
          <w:szCs w:val="24"/>
          <w:highlight w:val="white"/>
          <w:vertAlign w:val="superscript"/>
        </w:rPr>
        <w:footnoteReference w:id="51"/>
      </w:r>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Walau</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bagaimanapun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untuk</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tujuan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isu</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ini</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hanya</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Aturan</w:t>
      </w:r>
      <w:proofErr w:type="spellEnd"/>
      <w:r>
        <w:rPr>
          <w:rFonts w:ascii="Times New Roman" w:eastAsia="Times New Roman" w:hAnsi="Times New Roman" w:cs="Times New Roman"/>
          <w:sz w:val="24"/>
          <w:szCs w:val="24"/>
          <w:highlight w:val="white"/>
        </w:rPr>
        <w:t xml:space="preserve"> 18 </w:t>
      </w:r>
      <w:proofErr w:type="spellStart"/>
      <w:r>
        <w:rPr>
          <w:rFonts w:ascii="Times New Roman" w:eastAsia="Times New Roman" w:hAnsi="Times New Roman" w:cs="Times New Roman"/>
          <w:sz w:val="24"/>
          <w:szCs w:val="24"/>
          <w:highlight w:val="white"/>
        </w:rPr>
        <w:t>Kaedah</w:t>
      </w:r>
      <w:proofErr w:type="spellEnd"/>
      <w:r>
        <w:rPr>
          <w:rFonts w:ascii="Times New Roman" w:eastAsia="Times New Roman" w:hAnsi="Times New Roman" w:cs="Times New Roman"/>
          <w:sz w:val="24"/>
          <w:szCs w:val="24"/>
          <w:highlight w:val="white"/>
        </w:rPr>
        <w:t xml:space="preserve"> 19(d) </w:t>
      </w:r>
      <w:proofErr w:type="spellStart"/>
      <w:r>
        <w:rPr>
          <w:rFonts w:ascii="Times New Roman" w:eastAsia="Times New Roman" w:hAnsi="Times New Roman" w:cs="Times New Roman"/>
          <w:sz w:val="24"/>
          <w:szCs w:val="24"/>
          <w:highlight w:val="white"/>
        </w:rPr>
        <w:t>akan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dibincangkan</w:t>
      </w:r>
      <w:proofErr w:type="spellEnd"/>
      <w:r>
        <w:rPr>
          <w:rFonts w:ascii="Times New Roman" w:eastAsia="Times New Roman" w:hAnsi="Times New Roman" w:cs="Times New Roman"/>
          <w:sz w:val="24"/>
          <w:szCs w:val="24"/>
          <w:highlight w:val="white"/>
        </w:rPr>
        <w:t xml:space="preserve">. </w:t>
      </w:r>
      <w:bookmarkStart w:id="12" w:name="_heading=h.fem4ihwts41l" w:colFirst="0" w:colLast="0"/>
      <w:bookmarkEnd w:id="12"/>
    </w:p>
    <w:p w14:paraId="000000AE" w14:textId="77777777" w:rsidR="00E97409" w:rsidRDefault="007741DD" w:rsidP="00690802">
      <w:pPr>
        <w:spacing w:line="240" w:lineRule="auto"/>
        <w:jc w:val="center"/>
        <w:rPr>
          <w:rFonts w:ascii="Times New Roman" w:eastAsia="Times New Roman" w:hAnsi="Times New Roman" w:cs="Times New Roman"/>
          <w:highlight w:val="white"/>
        </w:rPr>
      </w:pPr>
      <w:proofErr w:type="spellStart"/>
      <w:r>
        <w:rPr>
          <w:rFonts w:ascii="Times New Roman" w:eastAsia="Times New Roman" w:hAnsi="Times New Roman" w:cs="Times New Roman"/>
          <w:b/>
          <w:highlight w:val="white"/>
        </w:rPr>
        <w:t>Pembatalan</w:t>
      </w:r>
      <w:proofErr w:type="spellEnd"/>
      <w:r>
        <w:rPr>
          <w:rFonts w:ascii="Times New Roman" w:eastAsia="Times New Roman" w:hAnsi="Times New Roman" w:cs="Times New Roman"/>
          <w:b/>
          <w:highlight w:val="white"/>
        </w:rPr>
        <w:t xml:space="preserve"> </w:t>
      </w:r>
      <w:proofErr w:type="spellStart"/>
      <w:r>
        <w:rPr>
          <w:rFonts w:ascii="Times New Roman" w:eastAsia="Times New Roman" w:hAnsi="Times New Roman" w:cs="Times New Roman"/>
          <w:b/>
          <w:highlight w:val="white"/>
        </w:rPr>
        <w:t>Sebuah</w:t>
      </w:r>
      <w:proofErr w:type="spellEnd"/>
      <w:r>
        <w:rPr>
          <w:rFonts w:ascii="Times New Roman" w:eastAsia="Times New Roman" w:hAnsi="Times New Roman" w:cs="Times New Roman"/>
          <w:b/>
          <w:highlight w:val="white"/>
        </w:rPr>
        <w:t xml:space="preserve"> </w:t>
      </w:r>
      <w:proofErr w:type="spellStart"/>
      <w:r>
        <w:rPr>
          <w:rFonts w:ascii="Times New Roman" w:eastAsia="Times New Roman" w:hAnsi="Times New Roman" w:cs="Times New Roman"/>
          <w:b/>
          <w:highlight w:val="white"/>
        </w:rPr>
        <w:t>Pliding</w:t>
      </w:r>
      <w:proofErr w:type="spellEnd"/>
      <w:r>
        <w:rPr>
          <w:rFonts w:ascii="Times New Roman" w:eastAsia="Times New Roman" w:hAnsi="Times New Roman" w:cs="Times New Roman"/>
          <w:b/>
          <w:highlight w:val="white"/>
        </w:rPr>
        <w:t xml:space="preserve"> dan </w:t>
      </w:r>
      <w:proofErr w:type="spellStart"/>
      <w:r>
        <w:rPr>
          <w:rFonts w:ascii="Times New Roman" w:eastAsia="Times New Roman" w:hAnsi="Times New Roman" w:cs="Times New Roman"/>
          <w:b/>
          <w:highlight w:val="white"/>
        </w:rPr>
        <w:t>Pengendorsan</w:t>
      </w:r>
      <w:proofErr w:type="spellEnd"/>
      <w:r>
        <w:rPr>
          <w:rFonts w:ascii="Times New Roman" w:eastAsia="Times New Roman" w:hAnsi="Times New Roman" w:cs="Times New Roman"/>
          <w:b/>
          <w:highlight w:val="white"/>
        </w:rPr>
        <w:t xml:space="preserve"> Atas </w:t>
      </w:r>
      <w:proofErr w:type="spellStart"/>
      <w:r>
        <w:rPr>
          <w:rFonts w:ascii="Times New Roman" w:eastAsia="Times New Roman" w:hAnsi="Times New Roman" w:cs="Times New Roman"/>
          <w:b/>
          <w:highlight w:val="white"/>
        </w:rPr>
        <w:t>Alasan</w:t>
      </w:r>
      <w:proofErr w:type="spellEnd"/>
      <w:r>
        <w:rPr>
          <w:rFonts w:ascii="Times New Roman" w:eastAsia="Times New Roman" w:hAnsi="Times New Roman" w:cs="Times New Roman"/>
          <w:b/>
          <w:highlight w:val="white"/>
        </w:rPr>
        <w:t xml:space="preserve"> </w:t>
      </w:r>
      <w:proofErr w:type="spellStart"/>
      <w:r>
        <w:rPr>
          <w:rFonts w:ascii="Times New Roman" w:eastAsia="Times New Roman" w:hAnsi="Times New Roman" w:cs="Times New Roman"/>
          <w:b/>
          <w:highlight w:val="white"/>
        </w:rPr>
        <w:t>Penyalahgunaan</w:t>
      </w:r>
      <w:proofErr w:type="spellEnd"/>
      <w:r>
        <w:rPr>
          <w:rFonts w:ascii="Times New Roman" w:eastAsia="Times New Roman" w:hAnsi="Times New Roman" w:cs="Times New Roman"/>
          <w:b/>
          <w:highlight w:val="white"/>
        </w:rPr>
        <w:t xml:space="preserve"> Proses </w:t>
      </w:r>
      <w:proofErr w:type="spellStart"/>
      <w:r>
        <w:rPr>
          <w:rFonts w:ascii="Times New Roman" w:eastAsia="Times New Roman" w:hAnsi="Times New Roman" w:cs="Times New Roman"/>
          <w:b/>
          <w:highlight w:val="white"/>
        </w:rPr>
        <w:t>Mahkamah</w:t>
      </w:r>
      <w:proofErr w:type="spellEnd"/>
      <w:r>
        <w:rPr>
          <w:rFonts w:ascii="Times New Roman" w:eastAsia="Times New Roman" w:hAnsi="Times New Roman" w:cs="Times New Roman"/>
          <w:b/>
          <w:highlight w:val="white"/>
        </w:rPr>
        <w:t xml:space="preserve"> di Malaysia</w:t>
      </w:r>
    </w:p>
    <w:p w14:paraId="000000AF" w14:textId="77777777" w:rsidR="00E97409" w:rsidRDefault="007741DD" w:rsidP="00690802">
      <w:pPr>
        <w:spacing w:line="240" w:lineRule="auto"/>
        <w:ind w:firstLine="567"/>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Di Malaysia, </w:t>
      </w:r>
      <w:proofErr w:type="spellStart"/>
      <w:r>
        <w:rPr>
          <w:rFonts w:ascii="Times New Roman" w:eastAsia="Times New Roman" w:hAnsi="Times New Roman" w:cs="Times New Roman"/>
          <w:sz w:val="24"/>
          <w:szCs w:val="24"/>
          <w:highlight w:val="white"/>
        </w:rPr>
        <w:t>Aturan</w:t>
      </w:r>
      <w:proofErr w:type="spellEnd"/>
      <w:r>
        <w:rPr>
          <w:rFonts w:ascii="Times New Roman" w:eastAsia="Times New Roman" w:hAnsi="Times New Roman" w:cs="Times New Roman"/>
          <w:sz w:val="24"/>
          <w:szCs w:val="24"/>
          <w:highlight w:val="white"/>
        </w:rPr>
        <w:t xml:space="preserve"> 18 </w:t>
      </w:r>
      <w:proofErr w:type="spellStart"/>
      <w:r>
        <w:rPr>
          <w:rFonts w:ascii="Times New Roman" w:eastAsia="Times New Roman" w:hAnsi="Times New Roman" w:cs="Times New Roman"/>
          <w:sz w:val="24"/>
          <w:szCs w:val="24"/>
          <w:highlight w:val="white"/>
        </w:rPr>
        <w:t>Kaedah</w:t>
      </w:r>
      <w:proofErr w:type="spellEnd"/>
      <w:r>
        <w:rPr>
          <w:rFonts w:ascii="Times New Roman" w:eastAsia="Times New Roman" w:hAnsi="Times New Roman" w:cs="Times New Roman"/>
          <w:sz w:val="24"/>
          <w:szCs w:val="24"/>
          <w:highlight w:val="white"/>
        </w:rPr>
        <w:t xml:space="preserve"> 19(1) KKM </w:t>
      </w:r>
      <w:proofErr w:type="spellStart"/>
      <w:r>
        <w:rPr>
          <w:rFonts w:ascii="Times New Roman" w:eastAsia="Times New Roman" w:hAnsi="Times New Roman" w:cs="Times New Roman"/>
          <w:sz w:val="24"/>
          <w:szCs w:val="24"/>
          <w:highlight w:val="white"/>
        </w:rPr>
        <w:t>memperuntukan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bahawa</w:t>
      </w:r>
      <w:proofErr w:type="spellEnd"/>
      <w:r>
        <w:rPr>
          <w:rFonts w:ascii="Times New Roman" w:eastAsia="Times New Roman" w:hAnsi="Times New Roman" w:cs="Times New Roman"/>
          <w:sz w:val="24"/>
          <w:szCs w:val="24"/>
          <w:highlight w:val="white"/>
        </w:rPr>
        <w:t xml:space="preserve">: - </w:t>
      </w:r>
    </w:p>
    <w:p w14:paraId="000000B0" w14:textId="77777777" w:rsidR="00E97409" w:rsidRDefault="007741DD" w:rsidP="00690802">
      <w:pPr>
        <w:spacing w:after="0" w:line="240" w:lineRule="auto"/>
        <w:ind w:firstLine="720"/>
        <w:jc w:val="both"/>
        <w:rPr>
          <w:rFonts w:ascii="Times New Roman" w:eastAsia="Times New Roman" w:hAnsi="Times New Roman" w:cs="Times New Roman"/>
          <w:i/>
          <w:sz w:val="20"/>
          <w:szCs w:val="20"/>
          <w:highlight w:val="white"/>
        </w:rPr>
      </w:pPr>
      <w:r>
        <w:rPr>
          <w:rFonts w:ascii="Times New Roman" w:eastAsia="Times New Roman" w:hAnsi="Times New Roman" w:cs="Times New Roman"/>
          <w:i/>
          <w:sz w:val="20"/>
          <w:szCs w:val="20"/>
          <w:highlight w:val="white"/>
        </w:rPr>
        <w:t>“</w:t>
      </w:r>
      <w:proofErr w:type="spellStart"/>
      <w:r>
        <w:rPr>
          <w:rFonts w:ascii="Times New Roman" w:eastAsia="Times New Roman" w:hAnsi="Times New Roman" w:cs="Times New Roman"/>
          <w:i/>
          <w:sz w:val="20"/>
          <w:szCs w:val="20"/>
          <w:highlight w:val="white"/>
        </w:rPr>
        <w:t>Aturan</w:t>
      </w:r>
      <w:proofErr w:type="spellEnd"/>
      <w:r>
        <w:rPr>
          <w:rFonts w:ascii="Times New Roman" w:eastAsia="Times New Roman" w:hAnsi="Times New Roman" w:cs="Times New Roman"/>
          <w:i/>
          <w:sz w:val="20"/>
          <w:szCs w:val="20"/>
          <w:highlight w:val="white"/>
        </w:rPr>
        <w:t xml:space="preserve"> 18 </w:t>
      </w:r>
      <w:proofErr w:type="spellStart"/>
      <w:r>
        <w:rPr>
          <w:rFonts w:ascii="Times New Roman" w:eastAsia="Times New Roman" w:hAnsi="Times New Roman" w:cs="Times New Roman"/>
          <w:i/>
          <w:sz w:val="20"/>
          <w:szCs w:val="20"/>
          <w:highlight w:val="white"/>
        </w:rPr>
        <w:t>Kaedah</w:t>
      </w:r>
      <w:proofErr w:type="spellEnd"/>
      <w:r>
        <w:rPr>
          <w:rFonts w:ascii="Times New Roman" w:eastAsia="Times New Roman" w:hAnsi="Times New Roman" w:cs="Times New Roman"/>
          <w:i/>
          <w:sz w:val="20"/>
          <w:szCs w:val="20"/>
          <w:highlight w:val="white"/>
        </w:rPr>
        <w:t xml:space="preserve"> 19(1)</w:t>
      </w:r>
    </w:p>
    <w:p w14:paraId="000000B1" w14:textId="77777777" w:rsidR="00E97409" w:rsidRDefault="007741DD" w:rsidP="00690802">
      <w:pPr>
        <w:numPr>
          <w:ilvl w:val="0"/>
          <w:numId w:val="3"/>
        </w:numPr>
        <w:pBdr>
          <w:top w:val="nil"/>
          <w:left w:val="nil"/>
          <w:bottom w:val="nil"/>
          <w:right w:val="nil"/>
          <w:between w:val="nil"/>
        </w:pBdr>
        <w:spacing w:after="0" w:line="240" w:lineRule="auto"/>
        <w:ind w:left="1287" w:hanging="566"/>
        <w:jc w:val="both"/>
        <w:rPr>
          <w:rFonts w:ascii="Times New Roman" w:eastAsia="Times New Roman" w:hAnsi="Times New Roman" w:cs="Times New Roman"/>
          <w:i/>
          <w:color w:val="000000"/>
          <w:sz w:val="20"/>
          <w:szCs w:val="20"/>
          <w:highlight w:val="white"/>
        </w:rPr>
      </w:pPr>
      <w:proofErr w:type="spellStart"/>
      <w:r>
        <w:rPr>
          <w:rFonts w:ascii="Times New Roman" w:eastAsia="Times New Roman" w:hAnsi="Times New Roman" w:cs="Times New Roman"/>
          <w:i/>
          <w:color w:val="000000"/>
          <w:sz w:val="20"/>
          <w:szCs w:val="20"/>
          <w:highlight w:val="white"/>
        </w:rPr>
        <w:t>Mahkamah</w:t>
      </w:r>
      <w:proofErr w:type="spellEnd"/>
      <w:r>
        <w:rPr>
          <w:rFonts w:ascii="Times New Roman" w:eastAsia="Times New Roman" w:hAnsi="Times New Roman" w:cs="Times New Roman"/>
          <w:i/>
          <w:color w:val="000000"/>
          <w:sz w:val="20"/>
          <w:szCs w:val="20"/>
          <w:highlight w:val="white"/>
        </w:rPr>
        <w:t xml:space="preserve"> </w:t>
      </w:r>
      <w:proofErr w:type="spellStart"/>
      <w:r>
        <w:rPr>
          <w:rFonts w:ascii="Times New Roman" w:eastAsia="Times New Roman" w:hAnsi="Times New Roman" w:cs="Times New Roman"/>
          <w:i/>
          <w:color w:val="000000"/>
          <w:sz w:val="20"/>
          <w:szCs w:val="20"/>
          <w:highlight w:val="white"/>
        </w:rPr>
        <w:t>boleh</w:t>
      </w:r>
      <w:proofErr w:type="spellEnd"/>
      <w:r>
        <w:rPr>
          <w:rFonts w:ascii="Times New Roman" w:eastAsia="Times New Roman" w:hAnsi="Times New Roman" w:cs="Times New Roman"/>
          <w:i/>
          <w:color w:val="000000"/>
          <w:sz w:val="20"/>
          <w:szCs w:val="20"/>
          <w:highlight w:val="white"/>
        </w:rPr>
        <w:t xml:space="preserve"> pada mana-mana </w:t>
      </w:r>
      <w:proofErr w:type="spellStart"/>
      <w:r>
        <w:rPr>
          <w:rFonts w:ascii="Times New Roman" w:eastAsia="Times New Roman" w:hAnsi="Times New Roman" w:cs="Times New Roman"/>
          <w:i/>
          <w:color w:val="000000"/>
          <w:sz w:val="20"/>
          <w:szCs w:val="20"/>
          <w:highlight w:val="white"/>
        </w:rPr>
        <w:t>peringkat</w:t>
      </w:r>
      <w:proofErr w:type="spellEnd"/>
      <w:r>
        <w:rPr>
          <w:rFonts w:ascii="Times New Roman" w:eastAsia="Times New Roman" w:hAnsi="Times New Roman" w:cs="Times New Roman"/>
          <w:i/>
          <w:color w:val="000000"/>
          <w:sz w:val="20"/>
          <w:szCs w:val="20"/>
          <w:highlight w:val="white"/>
        </w:rPr>
        <w:t xml:space="preserve"> </w:t>
      </w:r>
      <w:proofErr w:type="spellStart"/>
      <w:r>
        <w:rPr>
          <w:rFonts w:ascii="Times New Roman" w:eastAsia="Times New Roman" w:hAnsi="Times New Roman" w:cs="Times New Roman"/>
          <w:i/>
          <w:color w:val="000000"/>
          <w:sz w:val="20"/>
          <w:szCs w:val="20"/>
          <w:highlight w:val="white"/>
        </w:rPr>
        <w:t>prosiding</w:t>
      </w:r>
      <w:proofErr w:type="spellEnd"/>
      <w:r>
        <w:rPr>
          <w:rFonts w:ascii="Times New Roman" w:eastAsia="Times New Roman" w:hAnsi="Times New Roman" w:cs="Times New Roman"/>
          <w:i/>
          <w:color w:val="000000"/>
          <w:sz w:val="20"/>
          <w:szCs w:val="20"/>
          <w:highlight w:val="white"/>
        </w:rPr>
        <w:t xml:space="preserve"> </w:t>
      </w:r>
      <w:proofErr w:type="spellStart"/>
      <w:r>
        <w:rPr>
          <w:rFonts w:ascii="Times New Roman" w:eastAsia="Times New Roman" w:hAnsi="Times New Roman" w:cs="Times New Roman"/>
          <w:i/>
          <w:color w:val="000000"/>
          <w:sz w:val="20"/>
          <w:szCs w:val="20"/>
          <w:highlight w:val="white"/>
        </w:rPr>
        <w:t>memerintahkan</w:t>
      </w:r>
      <w:proofErr w:type="spellEnd"/>
      <w:r>
        <w:rPr>
          <w:rFonts w:ascii="Times New Roman" w:eastAsia="Times New Roman" w:hAnsi="Times New Roman" w:cs="Times New Roman"/>
          <w:i/>
          <w:color w:val="000000"/>
          <w:sz w:val="20"/>
          <w:szCs w:val="20"/>
          <w:highlight w:val="white"/>
        </w:rPr>
        <w:t xml:space="preserve"> </w:t>
      </w:r>
      <w:proofErr w:type="spellStart"/>
      <w:r>
        <w:rPr>
          <w:rFonts w:ascii="Times New Roman" w:eastAsia="Times New Roman" w:hAnsi="Times New Roman" w:cs="Times New Roman"/>
          <w:i/>
          <w:color w:val="000000"/>
          <w:sz w:val="20"/>
          <w:szCs w:val="20"/>
          <w:highlight w:val="white"/>
        </w:rPr>
        <w:t>supaya</w:t>
      </w:r>
      <w:proofErr w:type="spellEnd"/>
      <w:r>
        <w:rPr>
          <w:rFonts w:ascii="Times New Roman" w:eastAsia="Times New Roman" w:hAnsi="Times New Roman" w:cs="Times New Roman"/>
          <w:i/>
          <w:color w:val="000000"/>
          <w:sz w:val="20"/>
          <w:szCs w:val="20"/>
          <w:highlight w:val="white"/>
        </w:rPr>
        <w:t xml:space="preserve"> </w:t>
      </w:r>
      <w:proofErr w:type="spellStart"/>
      <w:r>
        <w:rPr>
          <w:rFonts w:ascii="Times New Roman" w:eastAsia="Times New Roman" w:hAnsi="Times New Roman" w:cs="Times New Roman"/>
          <w:i/>
          <w:color w:val="000000"/>
          <w:sz w:val="20"/>
          <w:szCs w:val="20"/>
          <w:highlight w:val="white"/>
        </w:rPr>
        <w:t>dibatalkan</w:t>
      </w:r>
      <w:proofErr w:type="spellEnd"/>
      <w:r>
        <w:rPr>
          <w:rFonts w:ascii="Times New Roman" w:eastAsia="Times New Roman" w:hAnsi="Times New Roman" w:cs="Times New Roman"/>
          <w:i/>
          <w:color w:val="000000"/>
          <w:sz w:val="20"/>
          <w:szCs w:val="20"/>
          <w:highlight w:val="white"/>
        </w:rPr>
        <w:t>…</w:t>
      </w:r>
      <w:proofErr w:type="spellStart"/>
      <w:r>
        <w:rPr>
          <w:rFonts w:ascii="Times New Roman" w:eastAsia="Times New Roman" w:hAnsi="Times New Roman" w:cs="Times New Roman"/>
          <w:i/>
          <w:color w:val="000000"/>
          <w:sz w:val="20"/>
          <w:szCs w:val="20"/>
          <w:highlight w:val="white"/>
        </w:rPr>
        <w:t>atas</w:t>
      </w:r>
      <w:proofErr w:type="spellEnd"/>
      <w:r>
        <w:rPr>
          <w:rFonts w:ascii="Times New Roman" w:eastAsia="Times New Roman" w:hAnsi="Times New Roman" w:cs="Times New Roman"/>
          <w:i/>
          <w:color w:val="000000"/>
          <w:sz w:val="20"/>
          <w:szCs w:val="20"/>
          <w:highlight w:val="white"/>
        </w:rPr>
        <w:t xml:space="preserve"> </w:t>
      </w:r>
      <w:proofErr w:type="spellStart"/>
      <w:r>
        <w:rPr>
          <w:rFonts w:ascii="Times New Roman" w:eastAsia="Times New Roman" w:hAnsi="Times New Roman" w:cs="Times New Roman"/>
          <w:i/>
          <w:color w:val="000000"/>
          <w:sz w:val="20"/>
          <w:szCs w:val="20"/>
          <w:highlight w:val="white"/>
        </w:rPr>
        <w:t>alasan</w:t>
      </w:r>
      <w:proofErr w:type="spellEnd"/>
      <w:r>
        <w:rPr>
          <w:rFonts w:ascii="Times New Roman" w:eastAsia="Times New Roman" w:hAnsi="Times New Roman" w:cs="Times New Roman"/>
          <w:i/>
          <w:color w:val="000000"/>
          <w:sz w:val="20"/>
          <w:szCs w:val="20"/>
          <w:highlight w:val="white"/>
        </w:rPr>
        <w:t xml:space="preserve"> </w:t>
      </w:r>
      <w:proofErr w:type="spellStart"/>
      <w:r>
        <w:rPr>
          <w:rFonts w:ascii="Times New Roman" w:eastAsia="Times New Roman" w:hAnsi="Times New Roman" w:cs="Times New Roman"/>
          <w:i/>
          <w:color w:val="000000"/>
          <w:sz w:val="20"/>
          <w:szCs w:val="20"/>
          <w:highlight w:val="white"/>
        </w:rPr>
        <w:t>bahawa</w:t>
      </w:r>
      <w:proofErr w:type="spellEnd"/>
      <w:r>
        <w:rPr>
          <w:rFonts w:ascii="Times New Roman" w:eastAsia="Times New Roman" w:hAnsi="Times New Roman" w:cs="Times New Roman"/>
          <w:i/>
          <w:color w:val="000000"/>
          <w:sz w:val="20"/>
          <w:szCs w:val="20"/>
          <w:highlight w:val="white"/>
        </w:rPr>
        <w:t xml:space="preserve"> – </w:t>
      </w:r>
    </w:p>
    <w:p w14:paraId="000000B2" w14:textId="77777777" w:rsidR="00E97409" w:rsidRDefault="007741DD" w:rsidP="00690802">
      <w:pPr>
        <w:numPr>
          <w:ilvl w:val="0"/>
          <w:numId w:val="7"/>
        </w:numPr>
        <w:pBdr>
          <w:top w:val="nil"/>
          <w:left w:val="nil"/>
          <w:bottom w:val="nil"/>
          <w:right w:val="nil"/>
          <w:between w:val="nil"/>
        </w:pBdr>
        <w:spacing w:after="0" w:line="240" w:lineRule="auto"/>
        <w:ind w:hanging="513"/>
        <w:jc w:val="both"/>
        <w:rPr>
          <w:rFonts w:ascii="Times New Roman" w:eastAsia="Times New Roman" w:hAnsi="Times New Roman" w:cs="Times New Roman"/>
          <w:i/>
          <w:color w:val="000000"/>
          <w:sz w:val="20"/>
          <w:szCs w:val="20"/>
          <w:highlight w:val="white"/>
        </w:rPr>
      </w:pPr>
      <w:proofErr w:type="spellStart"/>
      <w:r>
        <w:rPr>
          <w:rFonts w:ascii="Times New Roman" w:eastAsia="Times New Roman" w:hAnsi="Times New Roman" w:cs="Times New Roman"/>
          <w:i/>
          <w:color w:val="000000"/>
          <w:sz w:val="20"/>
          <w:szCs w:val="20"/>
          <w:highlight w:val="white"/>
        </w:rPr>
        <w:t>ia</w:t>
      </w:r>
      <w:proofErr w:type="spellEnd"/>
      <w:r>
        <w:rPr>
          <w:rFonts w:ascii="Times New Roman" w:eastAsia="Times New Roman" w:hAnsi="Times New Roman" w:cs="Times New Roman"/>
          <w:i/>
          <w:color w:val="000000"/>
          <w:sz w:val="20"/>
          <w:szCs w:val="20"/>
          <w:highlight w:val="white"/>
        </w:rPr>
        <w:t xml:space="preserve"> </w:t>
      </w:r>
      <w:proofErr w:type="spellStart"/>
      <w:r>
        <w:rPr>
          <w:rFonts w:ascii="Times New Roman" w:eastAsia="Times New Roman" w:hAnsi="Times New Roman" w:cs="Times New Roman"/>
          <w:i/>
          <w:color w:val="000000"/>
          <w:sz w:val="20"/>
          <w:szCs w:val="20"/>
          <w:highlight w:val="white"/>
        </w:rPr>
        <w:t>selainnya</w:t>
      </w:r>
      <w:proofErr w:type="spellEnd"/>
      <w:r>
        <w:rPr>
          <w:rFonts w:ascii="Times New Roman" w:eastAsia="Times New Roman" w:hAnsi="Times New Roman" w:cs="Times New Roman"/>
          <w:i/>
          <w:color w:val="000000"/>
          <w:sz w:val="20"/>
          <w:szCs w:val="20"/>
          <w:highlight w:val="white"/>
        </w:rPr>
        <w:t xml:space="preserve"> </w:t>
      </w:r>
      <w:proofErr w:type="spellStart"/>
      <w:r>
        <w:rPr>
          <w:rFonts w:ascii="Times New Roman" w:eastAsia="Times New Roman" w:hAnsi="Times New Roman" w:cs="Times New Roman"/>
          <w:i/>
          <w:color w:val="000000"/>
          <w:sz w:val="20"/>
          <w:szCs w:val="20"/>
          <w:highlight w:val="white"/>
        </w:rPr>
        <w:t>adalah</w:t>
      </w:r>
      <w:proofErr w:type="spellEnd"/>
      <w:r>
        <w:rPr>
          <w:rFonts w:ascii="Times New Roman" w:eastAsia="Times New Roman" w:hAnsi="Times New Roman" w:cs="Times New Roman"/>
          <w:i/>
          <w:color w:val="000000"/>
          <w:sz w:val="20"/>
          <w:szCs w:val="20"/>
          <w:highlight w:val="white"/>
        </w:rPr>
        <w:t xml:space="preserve"> </w:t>
      </w:r>
      <w:proofErr w:type="spellStart"/>
      <w:r>
        <w:rPr>
          <w:rFonts w:ascii="Times New Roman" w:eastAsia="Times New Roman" w:hAnsi="Times New Roman" w:cs="Times New Roman"/>
          <w:b/>
          <w:i/>
          <w:color w:val="000000"/>
          <w:sz w:val="20"/>
          <w:szCs w:val="20"/>
          <w:highlight w:val="white"/>
        </w:rPr>
        <w:t>suatu</w:t>
      </w:r>
      <w:proofErr w:type="spellEnd"/>
      <w:r>
        <w:rPr>
          <w:rFonts w:ascii="Times New Roman" w:eastAsia="Times New Roman" w:hAnsi="Times New Roman" w:cs="Times New Roman"/>
          <w:b/>
          <w:i/>
          <w:color w:val="000000"/>
          <w:sz w:val="20"/>
          <w:szCs w:val="20"/>
          <w:highlight w:val="white"/>
        </w:rPr>
        <w:t xml:space="preserve"> </w:t>
      </w:r>
      <w:proofErr w:type="spellStart"/>
      <w:r>
        <w:rPr>
          <w:rFonts w:ascii="Times New Roman" w:eastAsia="Times New Roman" w:hAnsi="Times New Roman" w:cs="Times New Roman"/>
          <w:b/>
          <w:i/>
          <w:color w:val="000000"/>
          <w:sz w:val="20"/>
          <w:szCs w:val="20"/>
          <w:highlight w:val="white"/>
        </w:rPr>
        <w:t>penyalahgunaan</w:t>
      </w:r>
      <w:proofErr w:type="spellEnd"/>
      <w:r>
        <w:rPr>
          <w:rFonts w:ascii="Times New Roman" w:eastAsia="Times New Roman" w:hAnsi="Times New Roman" w:cs="Times New Roman"/>
          <w:b/>
          <w:i/>
          <w:color w:val="000000"/>
          <w:sz w:val="20"/>
          <w:szCs w:val="20"/>
          <w:highlight w:val="white"/>
        </w:rPr>
        <w:t xml:space="preserve"> proses </w:t>
      </w:r>
      <w:proofErr w:type="spellStart"/>
      <w:r>
        <w:rPr>
          <w:rFonts w:ascii="Times New Roman" w:eastAsia="Times New Roman" w:hAnsi="Times New Roman" w:cs="Times New Roman"/>
          <w:b/>
          <w:i/>
          <w:color w:val="000000"/>
          <w:sz w:val="20"/>
          <w:szCs w:val="20"/>
          <w:highlight w:val="white"/>
        </w:rPr>
        <w:t>Mahkamah</w:t>
      </w:r>
      <w:proofErr w:type="spellEnd"/>
      <w:r>
        <w:rPr>
          <w:rFonts w:ascii="Times New Roman" w:eastAsia="Times New Roman" w:hAnsi="Times New Roman" w:cs="Times New Roman"/>
          <w:i/>
          <w:color w:val="000000"/>
          <w:sz w:val="20"/>
          <w:szCs w:val="20"/>
          <w:highlight w:val="white"/>
        </w:rPr>
        <w:t>.”</w:t>
      </w:r>
      <w:r>
        <w:rPr>
          <w:rFonts w:ascii="Times New Roman" w:eastAsia="Times New Roman" w:hAnsi="Times New Roman" w:cs="Times New Roman"/>
          <w:i/>
          <w:color w:val="000000"/>
          <w:sz w:val="20"/>
          <w:szCs w:val="20"/>
          <w:highlight w:val="white"/>
          <w:vertAlign w:val="superscript"/>
        </w:rPr>
        <w:footnoteReference w:id="52"/>
      </w:r>
    </w:p>
    <w:p w14:paraId="000000B3" w14:textId="77777777" w:rsidR="00E97409" w:rsidRDefault="00E97409" w:rsidP="00690802">
      <w:pPr>
        <w:pBdr>
          <w:top w:val="nil"/>
          <w:left w:val="nil"/>
          <w:bottom w:val="nil"/>
          <w:right w:val="nil"/>
          <w:between w:val="nil"/>
        </w:pBdr>
        <w:spacing w:after="0" w:line="240" w:lineRule="auto"/>
        <w:ind w:left="1080"/>
        <w:jc w:val="both"/>
        <w:rPr>
          <w:rFonts w:ascii="Times New Roman" w:eastAsia="Times New Roman" w:hAnsi="Times New Roman" w:cs="Times New Roman"/>
          <w:i/>
          <w:color w:val="000000"/>
          <w:sz w:val="24"/>
          <w:szCs w:val="24"/>
          <w:highlight w:val="white"/>
        </w:rPr>
      </w:pPr>
    </w:p>
    <w:p w14:paraId="000000B4" w14:textId="77777777" w:rsidR="00E97409" w:rsidRDefault="007741DD" w:rsidP="00690802">
      <w:pPr>
        <w:spacing w:after="0" w:line="240" w:lineRule="auto"/>
        <w:ind w:firstLine="567"/>
        <w:jc w:val="both"/>
        <w:rPr>
          <w:rFonts w:ascii="Times New Roman" w:eastAsia="Times New Roman" w:hAnsi="Times New Roman" w:cs="Times New Roman"/>
          <w:sz w:val="24"/>
          <w:szCs w:val="24"/>
          <w:highlight w:val="white"/>
        </w:rPr>
      </w:pPr>
      <w:bookmarkStart w:id="13" w:name="_heading=h.17dp8vu" w:colFirst="0" w:colLast="0"/>
      <w:bookmarkEnd w:id="13"/>
      <w:proofErr w:type="spellStart"/>
      <w:r>
        <w:rPr>
          <w:rFonts w:ascii="Times New Roman" w:eastAsia="Times New Roman" w:hAnsi="Times New Roman" w:cs="Times New Roman"/>
          <w:sz w:val="24"/>
          <w:szCs w:val="24"/>
          <w:highlight w:val="white"/>
        </w:rPr>
        <w:t>Penyalahgunaan</w:t>
      </w:r>
      <w:proofErr w:type="spellEnd"/>
      <w:r>
        <w:rPr>
          <w:rFonts w:ascii="Times New Roman" w:eastAsia="Times New Roman" w:hAnsi="Times New Roman" w:cs="Times New Roman"/>
          <w:sz w:val="24"/>
          <w:szCs w:val="24"/>
          <w:highlight w:val="white"/>
        </w:rPr>
        <w:t xml:space="preserve"> proses </w:t>
      </w:r>
      <w:proofErr w:type="spellStart"/>
      <w:r>
        <w:rPr>
          <w:rFonts w:ascii="Times New Roman" w:eastAsia="Times New Roman" w:hAnsi="Times New Roman" w:cs="Times New Roman"/>
          <w:sz w:val="24"/>
          <w:szCs w:val="24"/>
          <w:highlight w:val="white"/>
        </w:rPr>
        <w:t>mahkamah</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adalah</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tidak</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didefinisikan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dalam</w:t>
      </w:r>
      <w:proofErr w:type="spellEnd"/>
      <w:r>
        <w:rPr>
          <w:rFonts w:ascii="Times New Roman" w:eastAsia="Times New Roman" w:hAnsi="Times New Roman" w:cs="Times New Roman"/>
          <w:sz w:val="24"/>
          <w:szCs w:val="24"/>
          <w:highlight w:val="white"/>
        </w:rPr>
        <w:t xml:space="preserve"> KMM </w:t>
      </w:r>
      <w:proofErr w:type="spellStart"/>
      <w:r>
        <w:rPr>
          <w:rFonts w:ascii="Times New Roman" w:eastAsia="Times New Roman" w:hAnsi="Times New Roman" w:cs="Times New Roman"/>
          <w:sz w:val="24"/>
          <w:szCs w:val="24"/>
          <w:highlight w:val="white"/>
        </w:rPr>
        <w:t>atau</w:t>
      </w:r>
      <w:proofErr w:type="spellEnd"/>
      <w:r>
        <w:rPr>
          <w:rFonts w:ascii="Times New Roman" w:eastAsia="Times New Roman" w:hAnsi="Times New Roman" w:cs="Times New Roman"/>
          <w:sz w:val="24"/>
          <w:szCs w:val="24"/>
          <w:highlight w:val="white"/>
        </w:rPr>
        <w:t xml:space="preserve"> CPR, </w:t>
      </w:r>
      <w:proofErr w:type="spellStart"/>
      <w:r>
        <w:rPr>
          <w:rFonts w:ascii="Times New Roman" w:eastAsia="Times New Roman" w:hAnsi="Times New Roman" w:cs="Times New Roman"/>
          <w:sz w:val="24"/>
          <w:szCs w:val="24"/>
          <w:highlight w:val="white"/>
        </w:rPr>
        <w:t>tetapi</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dalam</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kes</w:t>
      </w:r>
      <w:proofErr w:type="spellEnd"/>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b/>
          <w:i/>
          <w:sz w:val="24"/>
          <w:szCs w:val="24"/>
          <w:highlight w:val="white"/>
        </w:rPr>
        <w:t>Attorney General v Barker</w:t>
      </w:r>
      <w:r>
        <w:rPr>
          <w:rFonts w:ascii="Times New Roman" w:eastAsia="Times New Roman" w:hAnsi="Times New Roman" w:cs="Times New Roman"/>
          <w:sz w:val="24"/>
          <w:szCs w:val="24"/>
          <w:highlight w:val="white"/>
          <w:vertAlign w:val="superscript"/>
        </w:rPr>
        <w:footnoteReference w:id="53"/>
      </w:r>
      <w:r>
        <w:rPr>
          <w:rFonts w:ascii="Times New Roman" w:eastAsia="Times New Roman" w:hAnsi="Times New Roman" w:cs="Times New Roman"/>
          <w:sz w:val="24"/>
          <w:szCs w:val="24"/>
          <w:highlight w:val="white"/>
        </w:rPr>
        <w:t xml:space="preserve">, Lord Bingham </w:t>
      </w:r>
      <w:proofErr w:type="spellStart"/>
      <w:r>
        <w:rPr>
          <w:rFonts w:ascii="Times New Roman" w:eastAsia="Times New Roman" w:hAnsi="Times New Roman" w:cs="Times New Roman"/>
          <w:sz w:val="24"/>
          <w:szCs w:val="24"/>
          <w:highlight w:val="white"/>
        </w:rPr>
        <w:t>telah</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menjelaskan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terma</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tersebut</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sebagai</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penggunaan</w:t>
      </w:r>
      <w:proofErr w:type="spellEnd"/>
      <w:r>
        <w:rPr>
          <w:rFonts w:ascii="Times New Roman" w:eastAsia="Times New Roman" w:hAnsi="Times New Roman" w:cs="Times New Roman"/>
          <w:sz w:val="24"/>
          <w:szCs w:val="24"/>
          <w:highlight w:val="white"/>
        </w:rPr>
        <w:t xml:space="preserve"> proses </w:t>
      </w:r>
      <w:proofErr w:type="spellStart"/>
      <w:r>
        <w:rPr>
          <w:rFonts w:ascii="Times New Roman" w:eastAsia="Times New Roman" w:hAnsi="Times New Roman" w:cs="Times New Roman"/>
          <w:sz w:val="24"/>
          <w:szCs w:val="24"/>
          <w:highlight w:val="white"/>
        </w:rPr>
        <w:t>tersebut</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untuk</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tujuan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atau</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dengan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cara</w:t>
      </w:r>
      <w:proofErr w:type="spellEnd"/>
      <w:r>
        <w:rPr>
          <w:rFonts w:ascii="Times New Roman" w:eastAsia="Times New Roman" w:hAnsi="Times New Roman" w:cs="Times New Roman"/>
          <w:sz w:val="24"/>
          <w:szCs w:val="24"/>
          <w:highlight w:val="white"/>
        </w:rPr>
        <w:t xml:space="preserve"> yang </w:t>
      </w:r>
      <w:proofErr w:type="spellStart"/>
      <w:r>
        <w:rPr>
          <w:rFonts w:ascii="Times New Roman" w:eastAsia="Times New Roman" w:hAnsi="Times New Roman" w:cs="Times New Roman"/>
          <w:sz w:val="24"/>
          <w:szCs w:val="24"/>
          <w:highlight w:val="white"/>
        </w:rPr>
        <w:t>jauh</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berbeza</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daripada</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penggunaan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biasa</w:t>
      </w:r>
      <w:proofErr w:type="spellEnd"/>
      <w:r>
        <w:rPr>
          <w:rFonts w:ascii="Times New Roman" w:eastAsia="Times New Roman" w:hAnsi="Times New Roman" w:cs="Times New Roman"/>
          <w:sz w:val="24"/>
          <w:szCs w:val="24"/>
          <w:highlight w:val="white"/>
        </w:rPr>
        <w:t xml:space="preserve"> dan </w:t>
      </w:r>
      <w:proofErr w:type="spellStart"/>
      <w:r>
        <w:rPr>
          <w:rFonts w:ascii="Times New Roman" w:eastAsia="Times New Roman" w:hAnsi="Times New Roman" w:cs="Times New Roman"/>
          <w:sz w:val="24"/>
          <w:szCs w:val="24"/>
          <w:highlight w:val="white"/>
        </w:rPr>
        <w:t>betul</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Mahkamah</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mempunyai</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bidang</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kuasa</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sedia</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ada</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untuk</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mengelakkan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daripada</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penyalahgunaan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prosesnya</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Prinsip</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ini</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telah</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dibincangkan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dalam</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kes</w:t>
      </w:r>
      <w:proofErr w:type="spellEnd"/>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b/>
          <w:i/>
          <w:sz w:val="24"/>
          <w:szCs w:val="24"/>
          <w:highlight w:val="white"/>
        </w:rPr>
        <w:t xml:space="preserve">Raja Zainal Abidin Bin Raja Haji </w:t>
      </w:r>
      <w:proofErr w:type="spellStart"/>
      <w:r>
        <w:rPr>
          <w:rFonts w:ascii="Times New Roman" w:eastAsia="Times New Roman" w:hAnsi="Times New Roman" w:cs="Times New Roman"/>
          <w:b/>
          <w:i/>
          <w:sz w:val="24"/>
          <w:szCs w:val="24"/>
          <w:highlight w:val="white"/>
        </w:rPr>
        <w:t>Tachik</w:t>
      </w:r>
      <w:proofErr w:type="spellEnd"/>
      <w:r>
        <w:rPr>
          <w:rFonts w:ascii="Times New Roman" w:eastAsia="Times New Roman" w:hAnsi="Times New Roman" w:cs="Times New Roman"/>
          <w:b/>
          <w:i/>
          <w:sz w:val="24"/>
          <w:szCs w:val="24"/>
          <w:highlight w:val="white"/>
        </w:rPr>
        <w:t xml:space="preserve"> &amp; </w:t>
      </w:r>
      <w:proofErr w:type="spellStart"/>
      <w:r>
        <w:rPr>
          <w:rFonts w:ascii="Times New Roman" w:eastAsia="Times New Roman" w:hAnsi="Times New Roman" w:cs="Times New Roman"/>
          <w:b/>
          <w:i/>
          <w:sz w:val="24"/>
          <w:szCs w:val="24"/>
          <w:highlight w:val="white"/>
        </w:rPr>
        <w:t>Ors</w:t>
      </w:r>
      <w:proofErr w:type="spellEnd"/>
      <w:r>
        <w:rPr>
          <w:rFonts w:ascii="Times New Roman" w:eastAsia="Times New Roman" w:hAnsi="Times New Roman" w:cs="Times New Roman"/>
          <w:b/>
          <w:i/>
          <w:sz w:val="24"/>
          <w:szCs w:val="24"/>
          <w:highlight w:val="white"/>
        </w:rPr>
        <w:t xml:space="preserve"> v British-American Life &amp; General Insurance </w:t>
      </w:r>
      <w:proofErr w:type="spellStart"/>
      <w:r>
        <w:rPr>
          <w:rFonts w:ascii="Times New Roman" w:eastAsia="Times New Roman" w:hAnsi="Times New Roman" w:cs="Times New Roman"/>
          <w:b/>
          <w:i/>
          <w:sz w:val="24"/>
          <w:szCs w:val="24"/>
          <w:highlight w:val="white"/>
        </w:rPr>
        <w:t>Bhd</w:t>
      </w:r>
      <w:proofErr w:type="spellEnd"/>
      <w:r>
        <w:rPr>
          <w:rFonts w:ascii="Times New Roman" w:eastAsia="Times New Roman" w:hAnsi="Times New Roman" w:cs="Times New Roman"/>
          <w:sz w:val="24"/>
          <w:szCs w:val="24"/>
          <w:highlight w:val="white"/>
          <w:vertAlign w:val="superscript"/>
        </w:rPr>
        <w:footnoteReference w:id="54"/>
      </w:r>
      <w:r>
        <w:rPr>
          <w:rFonts w:ascii="Times New Roman" w:eastAsia="Times New Roman" w:hAnsi="Times New Roman" w:cs="Times New Roman"/>
          <w:sz w:val="24"/>
          <w:szCs w:val="24"/>
          <w:highlight w:val="white"/>
        </w:rPr>
        <w:t xml:space="preserve"> di mana </w:t>
      </w:r>
      <w:proofErr w:type="spellStart"/>
      <w:r>
        <w:rPr>
          <w:rFonts w:ascii="Times New Roman" w:eastAsia="Times New Roman" w:hAnsi="Times New Roman" w:cs="Times New Roman"/>
          <w:sz w:val="24"/>
          <w:szCs w:val="24"/>
          <w:highlight w:val="white"/>
        </w:rPr>
        <w:t>mahkamah</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menjelaskan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bahawa</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Mahkamah</w:t>
      </w:r>
      <w:proofErr w:type="spellEnd"/>
      <w:r>
        <w:rPr>
          <w:rFonts w:ascii="Times New Roman" w:eastAsia="Times New Roman" w:hAnsi="Times New Roman" w:cs="Times New Roman"/>
          <w:sz w:val="24"/>
          <w:szCs w:val="24"/>
          <w:highlight w:val="white"/>
        </w:rPr>
        <w:t xml:space="preserve"> Tinggi </w:t>
      </w:r>
      <w:proofErr w:type="spellStart"/>
      <w:r>
        <w:rPr>
          <w:rFonts w:ascii="Times New Roman" w:eastAsia="Times New Roman" w:hAnsi="Times New Roman" w:cs="Times New Roman"/>
          <w:sz w:val="24"/>
          <w:szCs w:val="24"/>
          <w:highlight w:val="white"/>
        </w:rPr>
        <w:t>selalu</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mempunyai</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bidang</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kuasa</w:t>
      </w:r>
      <w:proofErr w:type="spellEnd"/>
      <w:r>
        <w:rPr>
          <w:rFonts w:ascii="Times New Roman" w:eastAsia="Times New Roman" w:hAnsi="Times New Roman" w:cs="Times New Roman"/>
          <w:sz w:val="24"/>
          <w:szCs w:val="24"/>
          <w:highlight w:val="white"/>
        </w:rPr>
        <w:t xml:space="preserve"> yang </w:t>
      </w:r>
      <w:proofErr w:type="spellStart"/>
      <w:r>
        <w:rPr>
          <w:rFonts w:ascii="Times New Roman" w:eastAsia="Times New Roman" w:hAnsi="Times New Roman" w:cs="Times New Roman"/>
          <w:sz w:val="24"/>
          <w:szCs w:val="24"/>
          <w:highlight w:val="white"/>
        </w:rPr>
        <w:t>sedia</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ada</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untuk</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mencegah</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penyalahgunaan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prosesnya</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tidak</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kira</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sama</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ada</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ia</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dipohon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dengan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nyata</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atau</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tidak</w:t>
      </w:r>
      <w:proofErr w:type="spellEnd"/>
      <w:r>
        <w:rPr>
          <w:rFonts w:ascii="Times New Roman" w:eastAsia="Times New Roman" w:hAnsi="Times New Roman" w:cs="Times New Roman"/>
          <w:sz w:val="24"/>
          <w:szCs w:val="24"/>
          <w:highlight w:val="white"/>
        </w:rPr>
        <w:t xml:space="preserve"> di </w:t>
      </w:r>
      <w:proofErr w:type="spellStart"/>
      <w:r>
        <w:rPr>
          <w:rFonts w:ascii="Times New Roman" w:eastAsia="Times New Roman" w:hAnsi="Times New Roman" w:cs="Times New Roman"/>
          <w:sz w:val="24"/>
          <w:szCs w:val="24"/>
          <w:highlight w:val="white"/>
        </w:rPr>
        <w:t>dalam</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suatu</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permohonan</w:t>
      </w:r>
      <w:proofErr w:type="spellEnd"/>
      <w:r>
        <w:rPr>
          <w:rFonts w:ascii="Times New Roman" w:eastAsia="Times New Roman" w:hAnsi="Times New Roman" w:cs="Times New Roman"/>
          <w:sz w:val="24"/>
          <w:szCs w:val="24"/>
          <w:highlight w:val="white"/>
        </w:rPr>
        <w:t xml:space="preserve"> di </w:t>
      </w:r>
      <w:proofErr w:type="spellStart"/>
      <w:r>
        <w:rPr>
          <w:rFonts w:ascii="Times New Roman" w:eastAsia="Times New Roman" w:hAnsi="Times New Roman" w:cs="Times New Roman"/>
          <w:sz w:val="24"/>
          <w:szCs w:val="24"/>
          <w:highlight w:val="white"/>
        </w:rPr>
        <w:t>bawah</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Aturan</w:t>
      </w:r>
      <w:proofErr w:type="spellEnd"/>
      <w:r>
        <w:rPr>
          <w:rFonts w:ascii="Times New Roman" w:eastAsia="Times New Roman" w:hAnsi="Times New Roman" w:cs="Times New Roman"/>
          <w:sz w:val="24"/>
          <w:szCs w:val="24"/>
          <w:highlight w:val="white"/>
        </w:rPr>
        <w:t xml:space="preserve"> 18 </w:t>
      </w:r>
      <w:proofErr w:type="spellStart"/>
      <w:r>
        <w:rPr>
          <w:rFonts w:ascii="Times New Roman" w:eastAsia="Times New Roman" w:hAnsi="Times New Roman" w:cs="Times New Roman"/>
          <w:sz w:val="24"/>
          <w:szCs w:val="24"/>
          <w:highlight w:val="white"/>
        </w:rPr>
        <w:t>Kaedah</w:t>
      </w:r>
      <w:proofErr w:type="spellEnd"/>
      <w:r>
        <w:rPr>
          <w:rFonts w:ascii="Times New Roman" w:eastAsia="Times New Roman" w:hAnsi="Times New Roman" w:cs="Times New Roman"/>
          <w:sz w:val="24"/>
          <w:szCs w:val="24"/>
          <w:highlight w:val="white"/>
        </w:rPr>
        <w:t xml:space="preserve"> 19 </w:t>
      </w:r>
      <w:proofErr w:type="spellStart"/>
      <w:r>
        <w:rPr>
          <w:rFonts w:ascii="Times New Roman" w:eastAsia="Times New Roman" w:hAnsi="Times New Roman" w:cs="Times New Roman"/>
          <w:sz w:val="24"/>
          <w:szCs w:val="24"/>
          <w:highlight w:val="white"/>
        </w:rPr>
        <w:t>kecuali</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jika</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permohonan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itu</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dihadkan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semata-mata</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atas</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alasan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bahawa</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sesuatu</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pliding</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tidak</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menzahirkan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kausa</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tindakan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atau</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pembelaan</w:t>
      </w:r>
      <w:proofErr w:type="spellEnd"/>
      <w:r>
        <w:rPr>
          <w:rFonts w:ascii="Times New Roman" w:eastAsia="Times New Roman" w:hAnsi="Times New Roman" w:cs="Times New Roman"/>
          <w:sz w:val="24"/>
          <w:szCs w:val="24"/>
          <w:highlight w:val="white"/>
        </w:rPr>
        <w:t xml:space="preserve"> yang </w:t>
      </w:r>
      <w:proofErr w:type="spellStart"/>
      <w:r>
        <w:rPr>
          <w:rFonts w:ascii="Times New Roman" w:eastAsia="Times New Roman" w:hAnsi="Times New Roman" w:cs="Times New Roman"/>
          <w:sz w:val="24"/>
          <w:szCs w:val="24"/>
          <w:highlight w:val="white"/>
        </w:rPr>
        <w:t>munasabah</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mengikut</w:t>
      </w:r>
      <w:proofErr w:type="spellEnd"/>
      <w:r>
        <w:rPr>
          <w:rFonts w:ascii="Times New Roman" w:eastAsia="Times New Roman" w:hAnsi="Times New Roman" w:cs="Times New Roman"/>
          <w:sz w:val="24"/>
          <w:szCs w:val="24"/>
          <w:highlight w:val="white"/>
        </w:rPr>
        <w:t xml:space="preserve"> mana yang </w:t>
      </w:r>
      <w:proofErr w:type="spellStart"/>
      <w:r>
        <w:rPr>
          <w:rFonts w:ascii="Times New Roman" w:eastAsia="Times New Roman" w:hAnsi="Times New Roman" w:cs="Times New Roman"/>
          <w:sz w:val="24"/>
          <w:szCs w:val="24"/>
          <w:highlight w:val="white"/>
        </w:rPr>
        <w:t>berkenaan</w:t>
      </w:r>
      <w:proofErr w:type="spellEnd"/>
      <w:r>
        <w:rPr>
          <w:rFonts w:ascii="Times New Roman" w:eastAsia="Times New Roman" w:hAnsi="Times New Roman" w:cs="Times New Roman"/>
          <w:sz w:val="24"/>
          <w:szCs w:val="24"/>
          <w:highlight w:val="white"/>
        </w:rPr>
        <w:t xml:space="preserve">. </w:t>
      </w:r>
    </w:p>
    <w:p w14:paraId="000000B5" w14:textId="77777777" w:rsidR="00E97409" w:rsidRDefault="00E97409" w:rsidP="00690802">
      <w:pPr>
        <w:spacing w:after="0" w:line="240" w:lineRule="auto"/>
        <w:ind w:firstLine="567"/>
        <w:jc w:val="both"/>
        <w:rPr>
          <w:rFonts w:ascii="Times New Roman" w:eastAsia="Times New Roman" w:hAnsi="Times New Roman" w:cs="Times New Roman"/>
          <w:sz w:val="24"/>
          <w:szCs w:val="24"/>
          <w:highlight w:val="white"/>
        </w:rPr>
      </w:pPr>
      <w:bookmarkStart w:id="14" w:name="_heading=h.4br82c2fg3ep" w:colFirst="0" w:colLast="0"/>
      <w:bookmarkEnd w:id="14"/>
    </w:p>
    <w:p w14:paraId="000000B6" w14:textId="77777777" w:rsidR="00E97409" w:rsidRDefault="007741DD" w:rsidP="00690802">
      <w:pPr>
        <w:spacing w:after="0" w:line="240" w:lineRule="auto"/>
        <w:ind w:firstLine="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Keputusan yang </w:t>
      </w:r>
      <w:proofErr w:type="spellStart"/>
      <w:r>
        <w:rPr>
          <w:rFonts w:ascii="Times New Roman" w:eastAsia="Times New Roman" w:hAnsi="Times New Roman" w:cs="Times New Roman"/>
          <w:sz w:val="24"/>
          <w:szCs w:val="24"/>
          <w:highlight w:val="white"/>
        </w:rPr>
        <w:t>telah</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dibuat</w:t>
      </w:r>
      <w:proofErr w:type="spellEnd"/>
      <w:r>
        <w:rPr>
          <w:rFonts w:ascii="Times New Roman" w:eastAsia="Times New Roman" w:hAnsi="Times New Roman" w:cs="Times New Roman"/>
          <w:sz w:val="24"/>
          <w:szCs w:val="24"/>
          <w:highlight w:val="white"/>
        </w:rPr>
        <w:t xml:space="preserve"> oleh </w:t>
      </w:r>
      <w:proofErr w:type="spellStart"/>
      <w:r>
        <w:rPr>
          <w:rFonts w:ascii="Times New Roman" w:eastAsia="Times New Roman" w:hAnsi="Times New Roman" w:cs="Times New Roman"/>
          <w:sz w:val="24"/>
          <w:szCs w:val="24"/>
          <w:highlight w:val="white"/>
        </w:rPr>
        <w:t>Mahkamah</w:t>
      </w:r>
      <w:proofErr w:type="spellEnd"/>
      <w:r>
        <w:rPr>
          <w:rFonts w:ascii="Times New Roman" w:eastAsia="Times New Roman" w:hAnsi="Times New Roman" w:cs="Times New Roman"/>
          <w:sz w:val="24"/>
          <w:szCs w:val="24"/>
          <w:highlight w:val="white"/>
        </w:rPr>
        <w:t xml:space="preserve"> Agung </w:t>
      </w:r>
      <w:proofErr w:type="spellStart"/>
      <w:r>
        <w:rPr>
          <w:rFonts w:ascii="Times New Roman" w:eastAsia="Times New Roman" w:hAnsi="Times New Roman" w:cs="Times New Roman"/>
          <w:sz w:val="24"/>
          <w:szCs w:val="24"/>
          <w:highlight w:val="white"/>
        </w:rPr>
        <w:t>ini</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jelas</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menunjukkan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kuasa</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sedia</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ada</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ini</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sememangnya</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dimiliki</w:t>
      </w:r>
      <w:proofErr w:type="spellEnd"/>
      <w:r>
        <w:rPr>
          <w:rFonts w:ascii="Times New Roman" w:eastAsia="Times New Roman" w:hAnsi="Times New Roman" w:cs="Times New Roman"/>
          <w:sz w:val="24"/>
          <w:szCs w:val="24"/>
          <w:highlight w:val="white"/>
        </w:rPr>
        <w:t xml:space="preserve"> oleh </w:t>
      </w:r>
      <w:proofErr w:type="spellStart"/>
      <w:r>
        <w:rPr>
          <w:rFonts w:ascii="Times New Roman" w:eastAsia="Times New Roman" w:hAnsi="Times New Roman" w:cs="Times New Roman"/>
          <w:sz w:val="24"/>
          <w:szCs w:val="24"/>
          <w:highlight w:val="white"/>
        </w:rPr>
        <w:t>mahkamah</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selain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daripada</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apa</w:t>
      </w:r>
      <w:proofErr w:type="spellEnd"/>
      <w:r>
        <w:rPr>
          <w:rFonts w:ascii="Times New Roman" w:eastAsia="Times New Roman" w:hAnsi="Times New Roman" w:cs="Times New Roman"/>
          <w:sz w:val="24"/>
          <w:szCs w:val="24"/>
          <w:highlight w:val="white"/>
        </w:rPr>
        <w:t xml:space="preserve"> yang </w:t>
      </w:r>
      <w:proofErr w:type="spellStart"/>
      <w:r>
        <w:rPr>
          <w:rFonts w:ascii="Times New Roman" w:eastAsia="Times New Roman" w:hAnsi="Times New Roman" w:cs="Times New Roman"/>
          <w:sz w:val="24"/>
          <w:szCs w:val="24"/>
          <w:highlight w:val="white"/>
        </w:rPr>
        <w:t>diperuntukan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dalam</w:t>
      </w:r>
      <w:proofErr w:type="spellEnd"/>
      <w:r>
        <w:rPr>
          <w:rFonts w:ascii="Times New Roman" w:eastAsia="Times New Roman" w:hAnsi="Times New Roman" w:cs="Times New Roman"/>
          <w:sz w:val="24"/>
          <w:szCs w:val="24"/>
          <w:highlight w:val="white"/>
        </w:rPr>
        <w:t xml:space="preserve"> mana-mana </w:t>
      </w:r>
      <w:proofErr w:type="spellStart"/>
      <w:r>
        <w:rPr>
          <w:rFonts w:ascii="Times New Roman" w:eastAsia="Times New Roman" w:hAnsi="Times New Roman" w:cs="Times New Roman"/>
          <w:sz w:val="24"/>
          <w:szCs w:val="24"/>
          <w:highlight w:val="white"/>
        </w:rPr>
        <w:t>kaedah</w:t>
      </w:r>
      <w:proofErr w:type="spellEnd"/>
      <w:r>
        <w:rPr>
          <w:rFonts w:ascii="Times New Roman" w:eastAsia="Times New Roman" w:hAnsi="Times New Roman" w:cs="Times New Roman"/>
          <w:sz w:val="24"/>
          <w:szCs w:val="24"/>
          <w:highlight w:val="white"/>
        </w:rPr>
        <w:t xml:space="preserve"> dan </w:t>
      </w:r>
      <w:proofErr w:type="spellStart"/>
      <w:r>
        <w:rPr>
          <w:rFonts w:ascii="Times New Roman" w:eastAsia="Times New Roman" w:hAnsi="Times New Roman" w:cs="Times New Roman"/>
          <w:sz w:val="24"/>
          <w:szCs w:val="24"/>
          <w:highlight w:val="white"/>
        </w:rPr>
        <w:t>aturan</w:t>
      </w:r>
      <w:proofErr w:type="spellEnd"/>
      <w:r>
        <w:rPr>
          <w:rFonts w:ascii="Times New Roman" w:eastAsia="Times New Roman" w:hAnsi="Times New Roman" w:cs="Times New Roman"/>
          <w:sz w:val="24"/>
          <w:szCs w:val="24"/>
          <w:highlight w:val="white"/>
        </w:rPr>
        <w:t xml:space="preserve"> KKM dan </w:t>
      </w:r>
      <w:proofErr w:type="spellStart"/>
      <w:r>
        <w:rPr>
          <w:rFonts w:ascii="Times New Roman" w:eastAsia="Times New Roman" w:hAnsi="Times New Roman" w:cs="Times New Roman"/>
          <w:sz w:val="24"/>
          <w:szCs w:val="24"/>
          <w:highlight w:val="white"/>
        </w:rPr>
        <w:t>kuasa</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ini</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sama</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sekali</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tidak</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terjejas</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atau</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berkurangan</w:t>
      </w:r>
      <w:proofErr w:type="spellEnd"/>
      <w:r>
        <w:rPr>
          <w:rFonts w:ascii="Times New Roman" w:eastAsia="Times New Roman" w:hAnsi="Times New Roman" w:cs="Times New Roman"/>
          <w:sz w:val="24"/>
          <w:szCs w:val="24"/>
          <w:highlight w:val="white"/>
        </w:rPr>
        <w:t xml:space="preserve"> oleh </w:t>
      </w:r>
      <w:proofErr w:type="spellStart"/>
      <w:r>
        <w:rPr>
          <w:rFonts w:ascii="Times New Roman" w:eastAsia="Times New Roman" w:hAnsi="Times New Roman" w:cs="Times New Roman"/>
          <w:sz w:val="24"/>
          <w:szCs w:val="24"/>
          <w:highlight w:val="white"/>
        </w:rPr>
        <w:t>peruntukkan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ini</w:t>
      </w:r>
      <w:proofErr w:type="spellEnd"/>
      <w:r>
        <w:rPr>
          <w:rFonts w:ascii="Times New Roman" w:eastAsia="Times New Roman" w:hAnsi="Times New Roman" w:cs="Times New Roman"/>
          <w:sz w:val="24"/>
          <w:szCs w:val="24"/>
          <w:highlight w:val="white"/>
        </w:rPr>
        <w:t xml:space="preserve">. Kuasa </w:t>
      </w:r>
      <w:proofErr w:type="spellStart"/>
      <w:r>
        <w:rPr>
          <w:rFonts w:ascii="Times New Roman" w:eastAsia="Times New Roman" w:hAnsi="Times New Roman" w:cs="Times New Roman"/>
          <w:sz w:val="24"/>
          <w:szCs w:val="24"/>
          <w:highlight w:val="white"/>
        </w:rPr>
        <w:t>untuk</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membenarkan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atau</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menolak</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tuntutan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bawah</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bidang</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kuasa</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mahkamah</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sedia</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ada</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ini</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atas</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alasan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penyalahgunaan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prosesnya</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adalah</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terletak</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bawah</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budi</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bicara</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mahkamah</w:t>
      </w:r>
      <w:proofErr w:type="spellEnd"/>
      <w:r>
        <w:rPr>
          <w:rFonts w:ascii="Times New Roman" w:eastAsia="Times New Roman" w:hAnsi="Times New Roman" w:cs="Times New Roman"/>
          <w:sz w:val="24"/>
          <w:szCs w:val="24"/>
          <w:highlight w:val="white"/>
          <w:vertAlign w:val="superscript"/>
        </w:rPr>
        <w:footnoteReference w:id="55"/>
      </w:r>
      <w:r>
        <w:rPr>
          <w:rFonts w:ascii="Times New Roman" w:eastAsia="Times New Roman" w:hAnsi="Times New Roman" w:cs="Times New Roman"/>
          <w:sz w:val="24"/>
          <w:szCs w:val="24"/>
          <w:highlight w:val="white"/>
        </w:rPr>
        <w:t xml:space="preserve"> dan </w:t>
      </w:r>
      <w:proofErr w:type="spellStart"/>
      <w:r>
        <w:rPr>
          <w:rFonts w:ascii="Times New Roman" w:eastAsia="Times New Roman" w:hAnsi="Times New Roman" w:cs="Times New Roman"/>
          <w:sz w:val="24"/>
          <w:szCs w:val="24"/>
          <w:highlight w:val="white"/>
        </w:rPr>
        <w:t>harus</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dijalankan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dengan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niat</w:t>
      </w:r>
      <w:proofErr w:type="spellEnd"/>
      <w:r>
        <w:rPr>
          <w:rFonts w:ascii="Times New Roman" w:eastAsia="Times New Roman" w:hAnsi="Times New Roman" w:cs="Times New Roman"/>
          <w:sz w:val="24"/>
          <w:szCs w:val="24"/>
          <w:highlight w:val="white"/>
        </w:rPr>
        <w:t xml:space="preserve"> yang </w:t>
      </w:r>
      <w:proofErr w:type="spellStart"/>
      <w:r>
        <w:rPr>
          <w:rFonts w:ascii="Times New Roman" w:eastAsia="Times New Roman" w:hAnsi="Times New Roman" w:cs="Times New Roman"/>
          <w:sz w:val="24"/>
          <w:szCs w:val="24"/>
          <w:highlight w:val="white"/>
        </w:rPr>
        <w:t>baik</w:t>
      </w:r>
      <w:proofErr w:type="spellEnd"/>
      <w:r>
        <w:rPr>
          <w:rFonts w:ascii="Times New Roman" w:eastAsia="Times New Roman" w:hAnsi="Times New Roman" w:cs="Times New Roman"/>
          <w:sz w:val="24"/>
          <w:szCs w:val="24"/>
          <w:highlight w:val="white"/>
        </w:rPr>
        <w:t xml:space="preserve"> (bona fide)</w:t>
      </w:r>
      <w:r>
        <w:rPr>
          <w:rFonts w:ascii="Times New Roman" w:eastAsia="Times New Roman" w:hAnsi="Times New Roman" w:cs="Times New Roman"/>
          <w:sz w:val="24"/>
          <w:szCs w:val="24"/>
          <w:highlight w:val="white"/>
          <w:vertAlign w:val="superscript"/>
        </w:rPr>
        <w:footnoteReference w:id="56"/>
      </w:r>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Pendek</w:t>
      </w:r>
      <w:proofErr w:type="spellEnd"/>
      <w:r>
        <w:rPr>
          <w:rFonts w:ascii="Times New Roman" w:eastAsia="Times New Roman" w:hAnsi="Times New Roman" w:cs="Times New Roman"/>
          <w:sz w:val="24"/>
          <w:szCs w:val="24"/>
          <w:highlight w:val="white"/>
        </w:rPr>
        <w:t xml:space="preserve"> kata, </w:t>
      </w:r>
      <w:proofErr w:type="spellStart"/>
      <w:r>
        <w:rPr>
          <w:rFonts w:ascii="Times New Roman" w:eastAsia="Times New Roman" w:hAnsi="Times New Roman" w:cs="Times New Roman"/>
          <w:sz w:val="24"/>
          <w:szCs w:val="24"/>
          <w:highlight w:val="white"/>
        </w:rPr>
        <w:t>penyalahgunaan</w:t>
      </w:r>
      <w:proofErr w:type="spellEnd"/>
      <w:r>
        <w:rPr>
          <w:rFonts w:ascii="Times New Roman" w:eastAsia="Times New Roman" w:hAnsi="Times New Roman" w:cs="Times New Roman"/>
          <w:sz w:val="24"/>
          <w:szCs w:val="24"/>
          <w:highlight w:val="white"/>
        </w:rPr>
        <w:t xml:space="preserve"> proses </w:t>
      </w:r>
      <w:proofErr w:type="spellStart"/>
      <w:r>
        <w:rPr>
          <w:rFonts w:ascii="Times New Roman" w:eastAsia="Times New Roman" w:hAnsi="Times New Roman" w:cs="Times New Roman"/>
          <w:sz w:val="24"/>
          <w:szCs w:val="24"/>
          <w:highlight w:val="white"/>
        </w:rPr>
        <w:t>mahkamah</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boleh</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beroperasi</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secara</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bebas</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sebagai</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alasan</w:t>
      </w:r>
      <w:proofErr w:type="spellEnd"/>
      <w:r>
        <w:rPr>
          <w:rFonts w:ascii="Times New Roman" w:eastAsia="Times New Roman" w:hAnsi="Times New Roman" w:cs="Times New Roman"/>
          <w:sz w:val="24"/>
          <w:szCs w:val="24"/>
          <w:highlight w:val="white"/>
        </w:rPr>
        <w:t xml:space="preserve"> yang </w:t>
      </w:r>
      <w:proofErr w:type="spellStart"/>
      <w:r>
        <w:rPr>
          <w:rFonts w:ascii="Times New Roman" w:eastAsia="Times New Roman" w:hAnsi="Times New Roman" w:cs="Times New Roman"/>
          <w:sz w:val="24"/>
          <w:szCs w:val="24"/>
          <w:highlight w:val="white"/>
        </w:rPr>
        <w:t>berasingan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untuk</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membatalkan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tindakan</w:t>
      </w:r>
      <w:proofErr w:type="spellEnd"/>
      <w:r>
        <w:rPr>
          <w:rFonts w:ascii="Times New Roman" w:eastAsia="Times New Roman" w:hAnsi="Times New Roman" w:cs="Times New Roman"/>
          <w:sz w:val="24"/>
          <w:szCs w:val="24"/>
          <w:highlight w:val="white"/>
        </w:rPr>
        <w:t xml:space="preserve"> dan </w:t>
      </w:r>
      <w:proofErr w:type="spellStart"/>
      <w:r>
        <w:rPr>
          <w:rFonts w:ascii="Times New Roman" w:eastAsia="Times New Roman" w:hAnsi="Times New Roman" w:cs="Times New Roman"/>
          <w:sz w:val="24"/>
          <w:szCs w:val="24"/>
          <w:highlight w:val="white"/>
        </w:rPr>
        <w:t>alasan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ini</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tidak</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bergantung</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kepada</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sama</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ada</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terdapat</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sebarang</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prejudis</w:t>
      </w:r>
      <w:proofErr w:type="spellEnd"/>
      <w:r>
        <w:rPr>
          <w:rFonts w:ascii="Times New Roman" w:eastAsia="Times New Roman" w:hAnsi="Times New Roman" w:cs="Times New Roman"/>
          <w:sz w:val="24"/>
          <w:szCs w:val="24"/>
          <w:highlight w:val="white"/>
        </w:rPr>
        <w:t xml:space="preserve"> yang </w:t>
      </w:r>
      <w:proofErr w:type="spellStart"/>
      <w:r>
        <w:rPr>
          <w:rFonts w:ascii="Times New Roman" w:eastAsia="Times New Roman" w:hAnsi="Times New Roman" w:cs="Times New Roman"/>
          <w:sz w:val="24"/>
          <w:szCs w:val="24"/>
          <w:highlight w:val="white"/>
        </w:rPr>
        <w:t>dialami</w:t>
      </w:r>
      <w:proofErr w:type="spellEnd"/>
      <w:r>
        <w:rPr>
          <w:rFonts w:ascii="Times New Roman" w:eastAsia="Times New Roman" w:hAnsi="Times New Roman" w:cs="Times New Roman"/>
          <w:sz w:val="24"/>
          <w:szCs w:val="24"/>
          <w:highlight w:val="white"/>
        </w:rPr>
        <w:t xml:space="preserve"> oleh </w:t>
      </w:r>
      <w:proofErr w:type="spellStart"/>
      <w:r>
        <w:rPr>
          <w:rFonts w:ascii="Times New Roman" w:eastAsia="Times New Roman" w:hAnsi="Times New Roman" w:cs="Times New Roman"/>
          <w:sz w:val="24"/>
          <w:szCs w:val="24"/>
          <w:highlight w:val="white"/>
        </w:rPr>
        <w:t>tertuduh</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atau</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sama</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ada</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tidak</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ada</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kemungkinan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lagi</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untuk</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mempunyai</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perbicaraan</w:t>
      </w:r>
      <w:proofErr w:type="spellEnd"/>
      <w:r>
        <w:rPr>
          <w:rFonts w:ascii="Times New Roman" w:eastAsia="Times New Roman" w:hAnsi="Times New Roman" w:cs="Times New Roman"/>
          <w:sz w:val="24"/>
          <w:szCs w:val="24"/>
          <w:highlight w:val="white"/>
        </w:rPr>
        <w:t xml:space="preserve"> yang </w:t>
      </w:r>
      <w:proofErr w:type="spellStart"/>
      <w:r>
        <w:rPr>
          <w:rFonts w:ascii="Times New Roman" w:eastAsia="Times New Roman" w:hAnsi="Times New Roman" w:cs="Times New Roman"/>
          <w:sz w:val="24"/>
          <w:szCs w:val="24"/>
          <w:highlight w:val="white"/>
        </w:rPr>
        <w:t>adil</w:t>
      </w:r>
      <w:proofErr w:type="spellEnd"/>
      <w:r>
        <w:rPr>
          <w:rFonts w:ascii="Times New Roman" w:eastAsia="Times New Roman" w:hAnsi="Times New Roman" w:cs="Times New Roman"/>
          <w:sz w:val="24"/>
          <w:szCs w:val="24"/>
          <w:highlight w:val="white"/>
          <w:vertAlign w:val="superscript"/>
        </w:rPr>
        <w:footnoteReference w:id="57"/>
      </w:r>
      <w:r>
        <w:rPr>
          <w:rFonts w:ascii="Times New Roman" w:eastAsia="Times New Roman" w:hAnsi="Times New Roman" w:cs="Times New Roman"/>
          <w:sz w:val="24"/>
          <w:szCs w:val="24"/>
          <w:highlight w:val="white"/>
        </w:rPr>
        <w:t xml:space="preserve">. </w:t>
      </w:r>
    </w:p>
    <w:p w14:paraId="000000B7" w14:textId="77777777" w:rsidR="00E97409" w:rsidRDefault="00E97409" w:rsidP="00690802">
      <w:pPr>
        <w:spacing w:after="0" w:line="240" w:lineRule="auto"/>
        <w:ind w:firstLine="720"/>
        <w:jc w:val="both"/>
        <w:rPr>
          <w:rFonts w:ascii="Times New Roman" w:eastAsia="Times New Roman" w:hAnsi="Times New Roman" w:cs="Times New Roman"/>
          <w:sz w:val="24"/>
          <w:szCs w:val="24"/>
          <w:highlight w:val="white"/>
        </w:rPr>
      </w:pPr>
    </w:p>
    <w:p w14:paraId="000000B8" w14:textId="77777777" w:rsidR="00E97409" w:rsidRDefault="007741DD" w:rsidP="00690802">
      <w:pPr>
        <w:spacing w:line="240" w:lineRule="auto"/>
        <w:ind w:firstLine="720"/>
        <w:jc w:val="both"/>
        <w:rPr>
          <w:rFonts w:ascii="Times New Roman" w:eastAsia="Times New Roman" w:hAnsi="Times New Roman" w:cs="Times New Roman"/>
          <w:sz w:val="24"/>
          <w:szCs w:val="24"/>
          <w:highlight w:val="white"/>
        </w:rPr>
      </w:pPr>
      <w:bookmarkStart w:id="17" w:name="_heading=h.3rdcrjn" w:colFirst="0" w:colLast="0"/>
      <w:bookmarkEnd w:id="17"/>
      <w:proofErr w:type="spellStart"/>
      <w:r>
        <w:rPr>
          <w:rFonts w:ascii="Times New Roman" w:eastAsia="Times New Roman" w:hAnsi="Times New Roman" w:cs="Times New Roman"/>
          <w:sz w:val="24"/>
          <w:szCs w:val="24"/>
          <w:highlight w:val="white"/>
        </w:rPr>
        <w:lastRenderedPageBreak/>
        <w:t>Mahkamah</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Rayuan</w:t>
      </w:r>
      <w:proofErr w:type="spellEnd"/>
      <w:r>
        <w:rPr>
          <w:rFonts w:ascii="Times New Roman" w:eastAsia="Times New Roman" w:hAnsi="Times New Roman" w:cs="Times New Roman"/>
          <w:sz w:val="24"/>
          <w:szCs w:val="24"/>
          <w:highlight w:val="white"/>
        </w:rPr>
        <w:t xml:space="preserve"> di Kuching </w:t>
      </w:r>
      <w:proofErr w:type="spellStart"/>
      <w:r>
        <w:rPr>
          <w:rFonts w:ascii="Times New Roman" w:eastAsia="Times New Roman" w:hAnsi="Times New Roman" w:cs="Times New Roman"/>
          <w:sz w:val="24"/>
          <w:szCs w:val="24"/>
          <w:highlight w:val="white"/>
        </w:rPr>
        <w:t>dalam</w:t>
      </w:r>
      <w:proofErr w:type="spellEnd"/>
      <w:r>
        <w:rPr>
          <w:rFonts w:ascii="Times New Roman" w:eastAsia="Times New Roman" w:hAnsi="Times New Roman" w:cs="Times New Roman"/>
          <w:b/>
          <w:sz w:val="24"/>
          <w:szCs w:val="24"/>
          <w:highlight w:val="white"/>
        </w:rPr>
        <w:t xml:space="preserve"> </w:t>
      </w:r>
      <w:r>
        <w:rPr>
          <w:rFonts w:ascii="Times New Roman" w:eastAsia="Times New Roman" w:hAnsi="Times New Roman" w:cs="Times New Roman"/>
          <w:b/>
          <w:i/>
          <w:sz w:val="24"/>
          <w:szCs w:val="24"/>
          <w:highlight w:val="white"/>
        </w:rPr>
        <w:t xml:space="preserve">Indah </w:t>
      </w:r>
      <w:proofErr w:type="spellStart"/>
      <w:r>
        <w:rPr>
          <w:rFonts w:ascii="Times New Roman" w:eastAsia="Times New Roman" w:hAnsi="Times New Roman" w:cs="Times New Roman"/>
          <w:b/>
          <w:i/>
          <w:sz w:val="24"/>
          <w:szCs w:val="24"/>
          <w:highlight w:val="white"/>
        </w:rPr>
        <w:t>Desa</w:t>
      </w:r>
      <w:proofErr w:type="spellEnd"/>
      <w:r>
        <w:rPr>
          <w:rFonts w:ascii="Times New Roman" w:eastAsia="Times New Roman" w:hAnsi="Times New Roman" w:cs="Times New Roman"/>
          <w:b/>
          <w:i/>
          <w:sz w:val="24"/>
          <w:szCs w:val="24"/>
          <w:highlight w:val="white"/>
        </w:rPr>
        <w:t xml:space="preserve"> </w:t>
      </w:r>
      <w:proofErr w:type="spellStart"/>
      <w:r>
        <w:rPr>
          <w:rFonts w:ascii="Times New Roman" w:eastAsia="Times New Roman" w:hAnsi="Times New Roman" w:cs="Times New Roman"/>
          <w:b/>
          <w:i/>
          <w:sz w:val="24"/>
          <w:szCs w:val="24"/>
          <w:highlight w:val="white"/>
        </w:rPr>
        <w:t>Saujana</w:t>
      </w:r>
      <w:proofErr w:type="spellEnd"/>
      <w:r>
        <w:rPr>
          <w:rFonts w:ascii="Times New Roman" w:eastAsia="Times New Roman" w:hAnsi="Times New Roman" w:cs="Times New Roman"/>
          <w:b/>
          <w:i/>
          <w:sz w:val="24"/>
          <w:szCs w:val="24"/>
          <w:highlight w:val="white"/>
        </w:rPr>
        <w:t xml:space="preserve"> Corp </w:t>
      </w:r>
      <w:proofErr w:type="spellStart"/>
      <w:r>
        <w:rPr>
          <w:rFonts w:ascii="Times New Roman" w:eastAsia="Times New Roman" w:hAnsi="Times New Roman" w:cs="Times New Roman"/>
          <w:b/>
          <w:i/>
          <w:sz w:val="24"/>
          <w:szCs w:val="24"/>
          <w:highlight w:val="white"/>
        </w:rPr>
        <w:t>Sdn</w:t>
      </w:r>
      <w:proofErr w:type="spellEnd"/>
      <w:r>
        <w:rPr>
          <w:rFonts w:ascii="Times New Roman" w:eastAsia="Times New Roman" w:hAnsi="Times New Roman" w:cs="Times New Roman"/>
          <w:b/>
          <w:i/>
          <w:sz w:val="24"/>
          <w:szCs w:val="24"/>
          <w:highlight w:val="white"/>
        </w:rPr>
        <w:t xml:space="preserve"> </w:t>
      </w:r>
      <w:proofErr w:type="spellStart"/>
      <w:r>
        <w:rPr>
          <w:rFonts w:ascii="Times New Roman" w:eastAsia="Times New Roman" w:hAnsi="Times New Roman" w:cs="Times New Roman"/>
          <w:b/>
          <w:i/>
          <w:sz w:val="24"/>
          <w:szCs w:val="24"/>
          <w:highlight w:val="white"/>
        </w:rPr>
        <w:t>Bhd</w:t>
      </w:r>
      <w:proofErr w:type="spellEnd"/>
      <w:r>
        <w:rPr>
          <w:rFonts w:ascii="Times New Roman" w:eastAsia="Times New Roman" w:hAnsi="Times New Roman" w:cs="Times New Roman"/>
          <w:b/>
          <w:i/>
          <w:sz w:val="24"/>
          <w:szCs w:val="24"/>
          <w:highlight w:val="white"/>
        </w:rPr>
        <w:t xml:space="preserve"> &amp; </w:t>
      </w:r>
      <w:proofErr w:type="spellStart"/>
      <w:r>
        <w:rPr>
          <w:rFonts w:ascii="Times New Roman" w:eastAsia="Times New Roman" w:hAnsi="Times New Roman" w:cs="Times New Roman"/>
          <w:b/>
          <w:i/>
          <w:sz w:val="24"/>
          <w:szCs w:val="24"/>
          <w:highlight w:val="white"/>
        </w:rPr>
        <w:t>Ors</w:t>
      </w:r>
      <w:proofErr w:type="spellEnd"/>
      <w:r>
        <w:rPr>
          <w:rFonts w:ascii="Times New Roman" w:eastAsia="Times New Roman" w:hAnsi="Times New Roman" w:cs="Times New Roman"/>
          <w:b/>
          <w:i/>
          <w:sz w:val="24"/>
          <w:szCs w:val="24"/>
          <w:highlight w:val="white"/>
        </w:rPr>
        <w:t xml:space="preserve"> v James </w:t>
      </w:r>
      <w:proofErr w:type="spellStart"/>
      <w:r>
        <w:rPr>
          <w:rFonts w:ascii="Times New Roman" w:eastAsia="Times New Roman" w:hAnsi="Times New Roman" w:cs="Times New Roman"/>
          <w:b/>
          <w:i/>
          <w:sz w:val="24"/>
          <w:szCs w:val="24"/>
          <w:highlight w:val="white"/>
        </w:rPr>
        <w:t>Foong</w:t>
      </w:r>
      <w:proofErr w:type="spellEnd"/>
      <w:r>
        <w:rPr>
          <w:rFonts w:ascii="Times New Roman" w:eastAsia="Times New Roman" w:hAnsi="Times New Roman" w:cs="Times New Roman"/>
          <w:b/>
          <w:i/>
          <w:sz w:val="24"/>
          <w:szCs w:val="24"/>
          <w:highlight w:val="white"/>
        </w:rPr>
        <w:t xml:space="preserve"> Cheng Yuen, Judge, High Court Malaya &amp; Anor</w:t>
      </w:r>
      <w:r>
        <w:rPr>
          <w:rFonts w:ascii="Times New Roman" w:eastAsia="Times New Roman" w:hAnsi="Times New Roman" w:cs="Times New Roman"/>
          <w:sz w:val="24"/>
          <w:szCs w:val="24"/>
          <w:highlight w:val="white"/>
          <w:vertAlign w:val="superscript"/>
        </w:rPr>
        <w:footnoteReference w:id="58"/>
      </w:r>
      <w:r>
        <w:rPr>
          <w:rFonts w:ascii="Times New Roman" w:eastAsia="Times New Roman" w:hAnsi="Times New Roman" w:cs="Times New Roman"/>
          <w:sz w:val="24"/>
          <w:szCs w:val="24"/>
          <w:highlight w:val="white"/>
          <w:vertAlign w:val="superscript"/>
        </w:rPr>
        <w:t xml:space="preserve"> </w:t>
      </w:r>
      <w:proofErr w:type="spellStart"/>
      <w:r>
        <w:rPr>
          <w:rFonts w:ascii="Times New Roman" w:eastAsia="Times New Roman" w:hAnsi="Times New Roman" w:cs="Times New Roman"/>
          <w:sz w:val="24"/>
          <w:szCs w:val="24"/>
          <w:highlight w:val="white"/>
        </w:rPr>
        <w:t>mengatakan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kategori</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kelakuan</w:t>
      </w:r>
      <w:proofErr w:type="spellEnd"/>
      <w:r>
        <w:rPr>
          <w:rFonts w:ascii="Times New Roman" w:eastAsia="Times New Roman" w:hAnsi="Times New Roman" w:cs="Times New Roman"/>
          <w:sz w:val="24"/>
          <w:szCs w:val="24"/>
          <w:highlight w:val="white"/>
        </w:rPr>
        <w:t xml:space="preserve"> yang </w:t>
      </w:r>
      <w:proofErr w:type="spellStart"/>
      <w:r>
        <w:rPr>
          <w:rFonts w:ascii="Times New Roman" w:eastAsia="Times New Roman" w:hAnsi="Times New Roman" w:cs="Times New Roman"/>
          <w:sz w:val="24"/>
          <w:szCs w:val="24"/>
          <w:highlight w:val="white"/>
        </w:rPr>
        <w:t>menyebabkan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suatu</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tuntutan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sebagai</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penyalahgunaan</w:t>
      </w:r>
      <w:proofErr w:type="spellEnd"/>
      <w:r>
        <w:rPr>
          <w:rFonts w:ascii="Times New Roman" w:eastAsia="Times New Roman" w:hAnsi="Times New Roman" w:cs="Times New Roman"/>
          <w:sz w:val="24"/>
          <w:szCs w:val="24"/>
          <w:highlight w:val="white"/>
        </w:rPr>
        <w:t xml:space="preserve"> proses </w:t>
      </w:r>
      <w:proofErr w:type="spellStart"/>
      <w:r>
        <w:rPr>
          <w:rFonts w:ascii="Times New Roman" w:eastAsia="Times New Roman" w:hAnsi="Times New Roman" w:cs="Times New Roman"/>
          <w:sz w:val="24"/>
          <w:szCs w:val="24"/>
          <w:highlight w:val="white"/>
        </w:rPr>
        <w:t>adalah</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luas</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tetapi</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bergantung</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kepada</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fakta</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kes</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serta</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mengambil</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kira</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kepentingan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awam</w:t>
      </w:r>
      <w:proofErr w:type="spellEnd"/>
      <w:r>
        <w:rPr>
          <w:rFonts w:ascii="Times New Roman" w:eastAsia="Times New Roman" w:hAnsi="Times New Roman" w:cs="Times New Roman"/>
          <w:sz w:val="24"/>
          <w:szCs w:val="24"/>
          <w:highlight w:val="white"/>
        </w:rPr>
        <w:t xml:space="preserve"> dan </w:t>
      </w:r>
      <w:proofErr w:type="spellStart"/>
      <w:r>
        <w:rPr>
          <w:rFonts w:ascii="Times New Roman" w:eastAsia="Times New Roman" w:hAnsi="Times New Roman" w:cs="Times New Roman"/>
          <w:sz w:val="24"/>
          <w:szCs w:val="24"/>
          <w:highlight w:val="white"/>
        </w:rPr>
        <w:t>kepentingan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keadilan</w:t>
      </w:r>
      <w:proofErr w:type="spellEnd"/>
      <w:r>
        <w:rPr>
          <w:rFonts w:ascii="Times New Roman" w:eastAsia="Times New Roman" w:hAnsi="Times New Roman" w:cs="Times New Roman"/>
          <w:sz w:val="24"/>
          <w:szCs w:val="24"/>
          <w:highlight w:val="white"/>
        </w:rPr>
        <w:t xml:space="preserve">. </w:t>
      </w:r>
    </w:p>
    <w:p w14:paraId="000000B9" w14:textId="77777777" w:rsidR="00E97409" w:rsidRDefault="007741DD" w:rsidP="00690802">
      <w:pPr>
        <w:spacing w:line="240" w:lineRule="auto"/>
        <w:jc w:val="center"/>
        <w:rPr>
          <w:rFonts w:ascii="Times New Roman" w:eastAsia="Times New Roman" w:hAnsi="Times New Roman" w:cs="Times New Roman"/>
          <w:b/>
          <w:highlight w:val="white"/>
        </w:rPr>
      </w:pPr>
      <w:proofErr w:type="spellStart"/>
      <w:r>
        <w:rPr>
          <w:rFonts w:ascii="Times New Roman" w:eastAsia="Times New Roman" w:hAnsi="Times New Roman" w:cs="Times New Roman"/>
          <w:b/>
          <w:highlight w:val="white"/>
        </w:rPr>
        <w:t>Pembatalan</w:t>
      </w:r>
      <w:proofErr w:type="spellEnd"/>
      <w:r>
        <w:rPr>
          <w:rFonts w:ascii="Times New Roman" w:eastAsia="Times New Roman" w:hAnsi="Times New Roman" w:cs="Times New Roman"/>
          <w:b/>
          <w:highlight w:val="white"/>
        </w:rPr>
        <w:t xml:space="preserve"> </w:t>
      </w:r>
      <w:proofErr w:type="spellStart"/>
      <w:r>
        <w:rPr>
          <w:rFonts w:ascii="Times New Roman" w:eastAsia="Times New Roman" w:hAnsi="Times New Roman" w:cs="Times New Roman"/>
          <w:b/>
          <w:highlight w:val="white"/>
        </w:rPr>
        <w:t>Sebuah</w:t>
      </w:r>
      <w:proofErr w:type="spellEnd"/>
      <w:r>
        <w:rPr>
          <w:rFonts w:ascii="Times New Roman" w:eastAsia="Times New Roman" w:hAnsi="Times New Roman" w:cs="Times New Roman"/>
          <w:b/>
          <w:highlight w:val="white"/>
        </w:rPr>
        <w:t xml:space="preserve"> </w:t>
      </w:r>
      <w:proofErr w:type="spellStart"/>
      <w:r>
        <w:rPr>
          <w:rFonts w:ascii="Times New Roman" w:eastAsia="Times New Roman" w:hAnsi="Times New Roman" w:cs="Times New Roman"/>
          <w:b/>
          <w:highlight w:val="white"/>
        </w:rPr>
        <w:t>Pliding</w:t>
      </w:r>
      <w:proofErr w:type="spellEnd"/>
      <w:r>
        <w:rPr>
          <w:rFonts w:ascii="Times New Roman" w:eastAsia="Times New Roman" w:hAnsi="Times New Roman" w:cs="Times New Roman"/>
          <w:b/>
          <w:highlight w:val="white"/>
        </w:rPr>
        <w:t xml:space="preserve"> dan </w:t>
      </w:r>
      <w:proofErr w:type="spellStart"/>
      <w:r>
        <w:rPr>
          <w:rFonts w:ascii="Times New Roman" w:eastAsia="Times New Roman" w:hAnsi="Times New Roman" w:cs="Times New Roman"/>
          <w:b/>
          <w:highlight w:val="white"/>
        </w:rPr>
        <w:t>Pengendorsan</w:t>
      </w:r>
      <w:proofErr w:type="spellEnd"/>
      <w:r>
        <w:rPr>
          <w:rFonts w:ascii="Times New Roman" w:eastAsia="Times New Roman" w:hAnsi="Times New Roman" w:cs="Times New Roman"/>
          <w:b/>
          <w:highlight w:val="white"/>
        </w:rPr>
        <w:t xml:space="preserve"> Atas </w:t>
      </w:r>
      <w:proofErr w:type="spellStart"/>
      <w:r>
        <w:rPr>
          <w:rFonts w:ascii="Times New Roman" w:eastAsia="Times New Roman" w:hAnsi="Times New Roman" w:cs="Times New Roman"/>
          <w:b/>
          <w:highlight w:val="white"/>
        </w:rPr>
        <w:t>Alasan</w:t>
      </w:r>
      <w:proofErr w:type="spellEnd"/>
      <w:r>
        <w:rPr>
          <w:rFonts w:ascii="Times New Roman" w:eastAsia="Times New Roman" w:hAnsi="Times New Roman" w:cs="Times New Roman"/>
          <w:b/>
          <w:highlight w:val="white"/>
        </w:rPr>
        <w:t xml:space="preserve"> </w:t>
      </w:r>
      <w:proofErr w:type="spellStart"/>
      <w:r>
        <w:rPr>
          <w:rFonts w:ascii="Times New Roman" w:eastAsia="Times New Roman" w:hAnsi="Times New Roman" w:cs="Times New Roman"/>
          <w:b/>
          <w:highlight w:val="white"/>
        </w:rPr>
        <w:t>Penyalahgunaan</w:t>
      </w:r>
      <w:proofErr w:type="spellEnd"/>
      <w:r>
        <w:rPr>
          <w:rFonts w:ascii="Times New Roman" w:eastAsia="Times New Roman" w:hAnsi="Times New Roman" w:cs="Times New Roman"/>
          <w:b/>
          <w:highlight w:val="white"/>
        </w:rPr>
        <w:t xml:space="preserve"> Proses </w:t>
      </w:r>
      <w:proofErr w:type="spellStart"/>
      <w:r>
        <w:rPr>
          <w:rFonts w:ascii="Times New Roman" w:eastAsia="Times New Roman" w:hAnsi="Times New Roman" w:cs="Times New Roman"/>
          <w:b/>
          <w:highlight w:val="white"/>
        </w:rPr>
        <w:t>Mahkamah</w:t>
      </w:r>
      <w:proofErr w:type="spellEnd"/>
      <w:r>
        <w:rPr>
          <w:rFonts w:ascii="Times New Roman" w:eastAsia="Times New Roman" w:hAnsi="Times New Roman" w:cs="Times New Roman"/>
          <w:b/>
          <w:highlight w:val="white"/>
        </w:rPr>
        <w:t xml:space="preserve"> di United Kingdom</w:t>
      </w:r>
    </w:p>
    <w:p w14:paraId="000000BA" w14:textId="77777777" w:rsidR="00E97409" w:rsidRDefault="007741DD" w:rsidP="00690802">
      <w:pPr>
        <w:spacing w:line="240" w:lineRule="auto"/>
        <w:ind w:firstLine="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Di United Kingdom, </w:t>
      </w:r>
      <w:proofErr w:type="spellStart"/>
      <w:r>
        <w:rPr>
          <w:rFonts w:ascii="Times New Roman" w:eastAsia="Times New Roman" w:hAnsi="Times New Roman" w:cs="Times New Roman"/>
          <w:sz w:val="24"/>
          <w:szCs w:val="24"/>
          <w:highlight w:val="white"/>
        </w:rPr>
        <w:t>mahkamah</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mempunyai</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kuasa</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bawah</w:t>
      </w:r>
      <w:proofErr w:type="spellEnd"/>
      <w:r>
        <w:rPr>
          <w:rFonts w:ascii="Times New Roman" w:eastAsia="Times New Roman" w:hAnsi="Times New Roman" w:cs="Times New Roman"/>
          <w:sz w:val="24"/>
          <w:szCs w:val="24"/>
          <w:highlight w:val="white"/>
        </w:rPr>
        <w:t xml:space="preserve"> Part 3 CPR The Court’s Case Management Powers </w:t>
      </w:r>
      <w:proofErr w:type="spellStart"/>
      <w:r>
        <w:rPr>
          <w:rFonts w:ascii="Times New Roman" w:eastAsia="Times New Roman" w:hAnsi="Times New Roman" w:cs="Times New Roman"/>
          <w:sz w:val="24"/>
          <w:szCs w:val="24"/>
          <w:highlight w:val="white"/>
        </w:rPr>
        <w:t>untuk</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menjalankan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pengurusan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kes</w:t>
      </w:r>
      <w:proofErr w:type="spellEnd"/>
      <w:r>
        <w:rPr>
          <w:rFonts w:ascii="Times New Roman" w:eastAsia="Times New Roman" w:hAnsi="Times New Roman" w:cs="Times New Roman"/>
          <w:sz w:val="24"/>
          <w:szCs w:val="24"/>
          <w:highlight w:val="white"/>
        </w:rPr>
        <w:t xml:space="preserve"> yang </w:t>
      </w:r>
      <w:proofErr w:type="spellStart"/>
      <w:r>
        <w:rPr>
          <w:rFonts w:ascii="Times New Roman" w:eastAsia="Times New Roman" w:hAnsi="Times New Roman" w:cs="Times New Roman"/>
          <w:sz w:val="24"/>
          <w:szCs w:val="24"/>
          <w:highlight w:val="white"/>
        </w:rPr>
        <w:t>aktif</w:t>
      </w:r>
      <w:proofErr w:type="spellEnd"/>
      <w:r>
        <w:rPr>
          <w:rFonts w:ascii="Times New Roman" w:eastAsia="Times New Roman" w:hAnsi="Times New Roman" w:cs="Times New Roman"/>
          <w:sz w:val="24"/>
          <w:szCs w:val="24"/>
          <w:highlight w:val="white"/>
        </w:rPr>
        <w:t xml:space="preserve">. Part 3.4 (2) Civil Procedure Rules </w:t>
      </w:r>
      <w:proofErr w:type="spellStart"/>
      <w:r>
        <w:rPr>
          <w:rFonts w:ascii="Times New Roman" w:eastAsia="Times New Roman" w:hAnsi="Times New Roman" w:cs="Times New Roman"/>
          <w:sz w:val="24"/>
          <w:szCs w:val="24"/>
          <w:highlight w:val="white"/>
        </w:rPr>
        <w:t>adalah</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ditetapkan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seperti</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berikut</w:t>
      </w:r>
      <w:proofErr w:type="spellEnd"/>
      <w:r>
        <w:rPr>
          <w:rFonts w:ascii="Times New Roman" w:eastAsia="Times New Roman" w:hAnsi="Times New Roman" w:cs="Times New Roman"/>
          <w:sz w:val="24"/>
          <w:szCs w:val="24"/>
          <w:highlight w:val="white"/>
        </w:rPr>
        <w:t>: -</w:t>
      </w:r>
    </w:p>
    <w:p w14:paraId="000000BB" w14:textId="77777777" w:rsidR="00E97409" w:rsidRDefault="007741DD" w:rsidP="00690802">
      <w:pPr>
        <w:spacing w:after="0" w:line="240" w:lineRule="auto"/>
        <w:ind w:firstLine="720"/>
        <w:jc w:val="both"/>
        <w:rPr>
          <w:rFonts w:ascii="Times New Roman" w:eastAsia="Times New Roman" w:hAnsi="Times New Roman" w:cs="Times New Roman"/>
          <w:i/>
          <w:sz w:val="20"/>
          <w:szCs w:val="20"/>
          <w:highlight w:val="white"/>
        </w:rPr>
      </w:pPr>
      <w:r>
        <w:rPr>
          <w:rFonts w:ascii="Times New Roman" w:eastAsia="Times New Roman" w:hAnsi="Times New Roman" w:cs="Times New Roman"/>
          <w:i/>
          <w:sz w:val="20"/>
          <w:szCs w:val="20"/>
          <w:highlight w:val="white"/>
        </w:rPr>
        <w:t>“Power to strike out a statement of case</w:t>
      </w:r>
    </w:p>
    <w:p w14:paraId="000000BC" w14:textId="77777777" w:rsidR="00E97409" w:rsidRDefault="007741DD" w:rsidP="00690802">
      <w:pPr>
        <w:spacing w:after="0" w:line="240" w:lineRule="auto"/>
        <w:ind w:left="720"/>
        <w:jc w:val="both"/>
        <w:rPr>
          <w:rFonts w:ascii="Times New Roman" w:eastAsia="Times New Roman" w:hAnsi="Times New Roman" w:cs="Times New Roman"/>
          <w:i/>
          <w:sz w:val="20"/>
          <w:szCs w:val="20"/>
          <w:highlight w:val="white"/>
        </w:rPr>
      </w:pPr>
      <w:r>
        <w:rPr>
          <w:rFonts w:ascii="Times New Roman" w:eastAsia="Times New Roman" w:hAnsi="Times New Roman" w:cs="Times New Roman"/>
          <w:i/>
          <w:sz w:val="20"/>
          <w:szCs w:val="20"/>
          <w:highlight w:val="white"/>
        </w:rPr>
        <w:t>3.4</w:t>
      </w:r>
    </w:p>
    <w:p w14:paraId="000000BD" w14:textId="77777777" w:rsidR="00E97409" w:rsidRDefault="007741DD" w:rsidP="00690802">
      <w:pPr>
        <w:spacing w:after="0" w:line="240" w:lineRule="auto"/>
        <w:ind w:left="720"/>
        <w:jc w:val="both"/>
        <w:rPr>
          <w:rFonts w:ascii="Times New Roman" w:eastAsia="Times New Roman" w:hAnsi="Times New Roman" w:cs="Times New Roman"/>
          <w:i/>
          <w:sz w:val="20"/>
          <w:szCs w:val="20"/>
          <w:highlight w:val="white"/>
        </w:rPr>
      </w:pPr>
      <w:r>
        <w:rPr>
          <w:rFonts w:ascii="Times New Roman" w:eastAsia="Times New Roman" w:hAnsi="Times New Roman" w:cs="Times New Roman"/>
          <w:i/>
          <w:sz w:val="20"/>
          <w:szCs w:val="20"/>
          <w:highlight w:val="white"/>
        </w:rPr>
        <w:t>…</w:t>
      </w:r>
    </w:p>
    <w:p w14:paraId="000000BE" w14:textId="77777777" w:rsidR="00E97409" w:rsidRDefault="007741DD" w:rsidP="00690802">
      <w:pPr>
        <w:spacing w:after="0" w:line="240" w:lineRule="auto"/>
        <w:ind w:left="720"/>
        <w:jc w:val="both"/>
        <w:rPr>
          <w:rFonts w:ascii="Times New Roman" w:eastAsia="Times New Roman" w:hAnsi="Times New Roman" w:cs="Times New Roman"/>
          <w:i/>
          <w:sz w:val="20"/>
          <w:szCs w:val="20"/>
          <w:highlight w:val="white"/>
        </w:rPr>
      </w:pPr>
      <w:r>
        <w:rPr>
          <w:rFonts w:ascii="Times New Roman" w:eastAsia="Times New Roman" w:hAnsi="Times New Roman" w:cs="Times New Roman"/>
          <w:i/>
          <w:sz w:val="20"/>
          <w:szCs w:val="20"/>
          <w:highlight w:val="white"/>
        </w:rPr>
        <w:t>(2) The court may strike out a statement of case if it appears to the court –</w:t>
      </w:r>
    </w:p>
    <w:p w14:paraId="000000BF" w14:textId="77777777" w:rsidR="00E97409" w:rsidRDefault="007741DD" w:rsidP="00690802">
      <w:pPr>
        <w:spacing w:after="0" w:line="240" w:lineRule="auto"/>
        <w:ind w:left="720"/>
        <w:jc w:val="both"/>
        <w:rPr>
          <w:rFonts w:ascii="Times New Roman" w:eastAsia="Times New Roman" w:hAnsi="Times New Roman" w:cs="Times New Roman"/>
          <w:i/>
          <w:sz w:val="20"/>
          <w:szCs w:val="20"/>
          <w:highlight w:val="white"/>
        </w:rPr>
      </w:pPr>
      <w:r>
        <w:rPr>
          <w:rFonts w:ascii="Times New Roman" w:eastAsia="Times New Roman" w:hAnsi="Times New Roman" w:cs="Times New Roman"/>
          <w:i/>
          <w:sz w:val="20"/>
          <w:szCs w:val="20"/>
          <w:highlight w:val="white"/>
        </w:rPr>
        <w:t>(a) that the statement of case discloses no reasonable grounds for bringing or defending the claim;</w:t>
      </w:r>
    </w:p>
    <w:p w14:paraId="000000C0" w14:textId="77777777" w:rsidR="00E97409" w:rsidRDefault="007741DD" w:rsidP="00690802">
      <w:pPr>
        <w:spacing w:after="0" w:line="240" w:lineRule="auto"/>
        <w:ind w:left="720"/>
        <w:jc w:val="both"/>
        <w:rPr>
          <w:rFonts w:ascii="Times New Roman" w:eastAsia="Times New Roman" w:hAnsi="Times New Roman" w:cs="Times New Roman"/>
          <w:i/>
          <w:sz w:val="20"/>
          <w:szCs w:val="20"/>
          <w:highlight w:val="white"/>
        </w:rPr>
      </w:pPr>
      <w:r>
        <w:rPr>
          <w:rFonts w:ascii="Times New Roman" w:eastAsia="Times New Roman" w:hAnsi="Times New Roman" w:cs="Times New Roman"/>
          <w:b/>
          <w:i/>
          <w:sz w:val="20"/>
          <w:szCs w:val="20"/>
          <w:highlight w:val="white"/>
        </w:rPr>
        <w:t>(b) that the statement of case is an abuse of the court’s process or is otherwise likely to obstruct the just disposal of the proceedings</w:t>
      </w:r>
      <w:r>
        <w:rPr>
          <w:rFonts w:ascii="Times New Roman" w:eastAsia="Times New Roman" w:hAnsi="Times New Roman" w:cs="Times New Roman"/>
          <w:i/>
          <w:sz w:val="20"/>
          <w:szCs w:val="20"/>
          <w:highlight w:val="white"/>
        </w:rPr>
        <w:t>; or</w:t>
      </w:r>
    </w:p>
    <w:p w14:paraId="000000C1" w14:textId="77777777" w:rsidR="00E97409" w:rsidRDefault="007741DD" w:rsidP="00690802">
      <w:pPr>
        <w:spacing w:after="0" w:line="240" w:lineRule="auto"/>
        <w:ind w:left="720"/>
        <w:jc w:val="both"/>
        <w:rPr>
          <w:rFonts w:ascii="Times New Roman" w:eastAsia="Times New Roman" w:hAnsi="Times New Roman" w:cs="Times New Roman"/>
          <w:i/>
          <w:sz w:val="20"/>
          <w:szCs w:val="20"/>
          <w:highlight w:val="white"/>
        </w:rPr>
      </w:pPr>
      <w:r>
        <w:rPr>
          <w:rFonts w:ascii="Times New Roman" w:eastAsia="Times New Roman" w:hAnsi="Times New Roman" w:cs="Times New Roman"/>
          <w:i/>
          <w:sz w:val="20"/>
          <w:szCs w:val="20"/>
          <w:highlight w:val="white"/>
        </w:rPr>
        <w:t>(c) that there has been a failure to comply with a rule, practice direction or court order.”</w:t>
      </w:r>
    </w:p>
    <w:p w14:paraId="000000C2" w14:textId="77777777" w:rsidR="00E97409" w:rsidRDefault="00E97409" w:rsidP="00690802">
      <w:pPr>
        <w:spacing w:after="0" w:line="240" w:lineRule="auto"/>
        <w:jc w:val="both"/>
        <w:rPr>
          <w:rFonts w:ascii="Times New Roman" w:eastAsia="Times New Roman" w:hAnsi="Times New Roman" w:cs="Times New Roman"/>
          <w:i/>
          <w:sz w:val="24"/>
          <w:szCs w:val="24"/>
          <w:highlight w:val="white"/>
        </w:rPr>
      </w:pPr>
    </w:p>
    <w:p w14:paraId="000000C4" w14:textId="4BBD7E2E" w:rsidR="00E97409" w:rsidRDefault="007741DD" w:rsidP="00690802">
      <w:pPr>
        <w:spacing w:line="240" w:lineRule="auto"/>
        <w:ind w:firstLine="567"/>
        <w:jc w:val="both"/>
        <w:rPr>
          <w:rFonts w:ascii="Times New Roman" w:eastAsia="Times New Roman" w:hAnsi="Times New Roman" w:cs="Times New Roman"/>
          <w:sz w:val="24"/>
          <w:szCs w:val="24"/>
          <w:highlight w:val="white"/>
        </w:rPr>
      </w:pPr>
      <w:proofErr w:type="spellStart"/>
      <w:r>
        <w:rPr>
          <w:rFonts w:ascii="Times New Roman" w:eastAsia="Times New Roman" w:hAnsi="Times New Roman" w:cs="Times New Roman"/>
          <w:sz w:val="24"/>
          <w:szCs w:val="24"/>
          <w:highlight w:val="white"/>
        </w:rPr>
        <w:t>Perkataan</w:t>
      </w:r>
      <w:proofErr w:type="spellEnd"/>
      <w:r>
        <w:rPr>
          <w:rFonts w:ascii="Times New Roman" w:eastAsia="Times New Roman" w:hAnsi="Times New Roman" w:cs="Times New Roman"/>
          <w:sz w:val="24"/>
          <w:szCs w:val="24"/>
          <w:highlight w:val="white"/>
        </w:rPr>
        <w:t xml:space="preserve"> “strike out” </w:t>
      </w:r>
      <w:proofErr w:type="spellStart"/>
      <w:r>
        <w:rPr>
          <w:rFonts w:ascii="Times New Roman" w:eastAsia="Times New Roman" w:hAnsi="Times New Roman" w:cs="Times New Roman"/>
          <w:sz w:val="24"/>
          <w:szCs w:val="24"/>
          <w:highlight w:val="white"/>
        </w:rPr>
        <w:t>bermaksud</w:t>
      </w:r>
      <w:proofErr w:type="spellEnd"/>
      <w:r>
        <w:rPr>
          <w:rFonts w:ascii="Times New Roman" w:eastAsia="Times New Roman" w:hAnsi="Times New Roman" w:cs="Times New Roman"/>
          <w:sz w:val="24"/>
          <w:szCs w:val="24"/>
          <w:highlight w:val="white"/>
        </w:rPr>
        <w:t xml:space="preserve"> “the court ordering written material to be deleted so that it may no longer be relied upon”</w:t>
      </w:r>
      <w:r>
        <w:rPr>
          <w:rFonts w:ascii="Times New Roman" w:eastAsia="Times New Roman" w:hAnsi="Times New Roman" w:cs="Times New Roman"/>
          <w:sz w:val="24"/>
          <w:szCs w:val="24"/>
          <w:highlight w:val="white"/>
          <w:vertAlign w:val="superscript"/>
        </w:rPr>
        <w:footnoteReference w:id="59"/>
      </w:r>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Aturan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ini</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memberikan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kuasa</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kepada</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mahkamah</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untuk</w:t>
      </w:r>
      <w:proofErr w:type="spellEnd"/>
      <w:r>
        <w:rPr>
          <w:rFonts w:ascii="Times New Roman" w:eastAsia="Times New Roman" w:hAnsi="Times New Roman" w:cs="Times New Roman"/>
          <w:sz w:val="24"/>
          <w:szCs w:val="24"/>
          <w:highlight w:val="white"/>
        </w:rPr>
        <w:t xml:space="preserve"> “strike out” </w:t>
      </w:r>
      <w:proofErr w:type="spellStart"/>
      <w:r>
        <w:rPr>
          <w:rFonts w:ascii="Times New Roman" w:eastAsia="Times New Roman" w:hAnsi="Times New Roman" w:cs="Times New Roman"/>
          <w:sz w:val="24"/>
          <w:szCs w:val="24"/>
          <w:highlight w:val="white"/>
        </w:rPr>
        <w:t>pernyataan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tuntutan</w:t>
      </w:r>
      <w:proofErr w:type="spellEnd"/>
      <w:r>
        <w:rPr>
          <w:rFonts w:ascii="Times New Roman" w:eastAsia="Times New Roman" w:hAnsi="Times New Roman" w:cs="Times New Roman"/>
          <w:sz w:val="24"/>
          <w:szCs w:val="24"/>
          <w:highlight w:val="white"/>
        </w:rPr>
        <w:t xml:space="preserve"> dan </w:t>
      </w:r>
      <w:proofErr w:type="spellStart"/>
      <w:r>
        <w:rPr>
          <w:rFonts w:ascii="Times New Roman" w:eastAsia="Times New Roman" w:hAnsi="Times New Roman" w:cs="Times New Roman"/>
          <w:sz w:val="24"/>
          <w:szCs w:val="24"/>
          <w:highlight w:val="white"/>
        </w:rPr>
        <w:t>pembelaan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dengan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sepenuhnya</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atau</w:t>
      </w:r>
      <w:proofErr w:type="spellEnd"/>
      <w:r>
        <w:rPr>
          <w:rFonts w:ascii="Times New Roman" w:eastAsia="Times New Roman" w:hAnsi="Times New Roman" w:cs="Times New Roman"/>
          <w:sz w:val="24"/>
          <w:szCs w:val="24"/>
          <w:highlight w:val="white"/>
        </w:rPr>
        <w:t xml:space="preserve"> pada </w:t>
      </w:r>
      <w:proofErr w:type="spellStart"/>
      <w:r>
        <w:rPr>
          <w:rFonts w:ascii="Times New Roman" w:eastAsia="Times New Roman" w:hAnsi="Times New Roman" w:cs="Times New Roman"/>
          <w:sz w:val="24"/>
          <w:szCs w:val="24"/>
          <w:highlight w:val="white"/>
        </w:rPr>
        <w:t>bahagian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tertentu</w:t>
      </w:r>
      <w:proofErr w:type="spellEnd"/>
      <w:r>
        <w:rPr>
          <w:rFonts w:ascii="Times New Roman" w:eastAsia="Times New Roman" w:hAnsi="Times New Roman" w:cs="Times New Roman"/>
          <w:sz w:val="24"/>
          <w:szCs w:val="24"/>
          <w:highlight w:val="white"/>
        </w:rPr>
        <w:t xml:space="preserve"> dan </w:t>
      </w:r>
      <w:proofErr w:type="spellStart"/>
      <w:r>
        <w:rPr>
          <w:rFonts w:ascii="Times New Roman" w:eastAsia="Times New Roman" w:hAnsi="Times New Roman" w:cs="Times New Roman"/>
          <w:sz w:val="24"/>
          <w:szCs w:val="24"/>
          <w:highlight w:val="white"/>
        </w:rPr>
        <w:t>mahkamah</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akan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memberikan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arahan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seterusnya</w:t>
      </w:r>
      <w:proofErr w:type="spellEnd"/>
      <w:r>
        <w:rPr>
          <w:rFonts w:ascii="Times New Roman" w:eastAsia="Times New Roman" w:hAnsi="Times New Roman" w:cs="Times New Roman"/>
          <w:sz w:val="24"/>
          <w:szCs w:val="24"/>
          <w:highlight w:val="white"/>
        </w:rPr>
        <w:t xml:space="preserve">. Sama </w:t>
      </w:r>
      <w:proofErr w:type="spellStart"/>
      <w:r>
        <w:rPr>
          <w:rFonts w:ascii="Times New Roman" w:eastAsia="Times New Roman" w:hAnsi="Times New Roman" w:cs="Times New Roman"/>
          <w:sz w:val="24"/>
          <w:szCs w:val="24"/>
          <w:highlight w:val="white"/>
        </w:rPr>
        <w:t>seperti</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apa</w:t>
      </w:r>
      <w:proofErr w:type="spellEnd"/>
      <w:r>
        <w:rPr>
          <w:rFonts w:ascii="Times New Roman" w:eastAsia="Times New Roman" w:hAnsi="Times New Roman" w:cs="Times New Roman"/>
          <w:sz w:val="24"/>
          <w:szCs w:val="24"/>
          <w:highlight w:val="white"/>
        </w:rPr>
        <w:t xml:space="preserve"> yang </w:t>
      </w:r>
      <w:proofErr w:type="spellStart"/>
      <w:r>
        <w:rPr>
          <w:rFonts w:ascii="Times New Roman" w:eastAsia="Times New Roman" w:hAnsi="Times New Roman" w:cs="Times New Roman"/>
          <w:sz w:val="24"/>
          <w:szCs w:val="24"/>
          <w:highlight w:val="white"/>
        </w:rPr>
        <w:t>dibincangkan</w:t>
      </w:r>
      <w:proofErr w:type="spellEnd"/>
      <w:r>
        <w:rPr>
          <w:rFonts w:ascii="Times New Roman" w:eastAsia="Times New Roman" w:hAnsi="Times New Roman" w:cs="Times New Roman"/>
          <w:sz w:val="24"/>
          <w:szCs w:val="24"/>
          <w:highlight w:val="white"/>
        </w:rPr>
        <w:t xml:space="preserve"> di </w:t>
      </w:r>
      <w:proofErr w:type="spellStart"/>
      <w:r>
        <w:rPr>
          <w:rFonts w:ascii="Times New Roman" w:eastAsia="Times New Roman" w:hAnsi="Times New Roman" w:cs="Times New Roman"/>
          <w:sz w:val="24"/>
          <w:szCs w:val="24"/>
          <w:highlight w:val="white"/>
        </w:rPr>
        <w:t>atas</w:t>
      </w:r>
      <w:proofErr w:type="spellEnd"/>
      <w:r>
        <w:rPr>
          <w:rFonts w:ascii="Times New Roman" w:eastAsia="Times New Roman" w:hAnsi="Times New Roman" w:cs="Times New Roman"/>
          <w:sz w:val="24"/>
          <w:szCs w:val="24"/>
          <w:highlight w:val="white"/>
        </w:rPr>
        <w:t xml:space="preserve">, Bean J </w:t>
      </w:r>
      <w:proofErr w:type="spellStart"/>
      <w:r>
        <w:rPr>
          <w:rFonts w:ascii="Times New Roman" w:eastAsia="Times New Roman" w:hAnsi="Times New Roman" w:cs="Times New Roman"/>
          <w:sz w:val="24"/>
          <w:szCs w:val="24"/>
          <w:highlight w:val="white"/>
        </w:rPr>
        <w:t>dalam</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b/>
          <w:i/>
          <w:sz w:val="24"/>
          <w:szCs w:val="24"/>
          <w:highlight w:val="white"/>
        </w:rPr>
        <w:t>Madarassy</w:t>
      </w:r>
      <w:proofErr w:type="spellEnd"/>
      <w:r>
        <w:rPr>
          <w:rFonts w:ascii="Times New Roman" w:eastAsia="Times New Roman" w:hAnsi="Times New Roman" w:cs="Times New Roman"/>
          <w:b/>
          <w:i/>
          <w:sz w:val="24"/>
          <w:szCs w:val="24"/>
          <w:highlight w:val="white"/>
        </w:rPr>
        <w:t xml:space="preserve"> v Nomura International Plc</w:t>
      </w:r>
      <w:r>
        <w:rPr>
          <w:rFonts w:ascii="Times New Roman" w:eastAsia="Times New Roman" w:hAnsi="Times New Roman" w:cs="Times New Roman"/>
          <w:sz w:val="24"/>
          <w:szCs w:val="24"/>
          <w:highlight w:val="white"/>
          <w:vertAlign w:val="superscript"/>
        </w:rPr>
        <w:footnoteReference w:id="60"/>
      </w:r>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menjelaskan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bahawa</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terdapat</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banyak</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kategori</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penyalahgunaan</w:t>
      </w:r>
      <w:proofErr w:type="spellEnd"/>
      <w:r>
        <w:rPr>
          <w:rFonts w:ascii="Times New Roman" w:eastAsia="Times New Roman" w:hAnsi="Times New Roman" w:cs="Times New Roman"/>
          <w:sz w:val="24"/>
          <w:szCs w:val="24"/>
          <w:highlight w:val="white"/>
        </w:rPr>
        <w:t xml:space="preserve"> proses </w:t>
      </w:r>
      <w:proofErr w:type="spellStart"/>
      <w:r>
        <w:rPr>
          <w:rFonts w:ascii="Times New Roman" w:eastAsia="Times New Roman" w:hAnsi="Times New Roman" w:cs="Times New Roman"/>
          <w:sz w:val="24"/>
          <w:szCs w:val="24"/>
          <w:highlight w:val="white"/>
        </w:rPr>
        <w:t>mahkamah</w:t>
      </w:r>
      <w:proofErr w:type="spellEnd"/>
      <w:r>
        <w:rPr>
          <w:rFonts w:ascii="Times New Roman" w:eastAsia="Times New Roman" w:hAnsi="Times New Roman" w:cs="Times New Roman"/>
          <w:sz w:val="24"/>
          <w:szCs w:val="24"/>
          <w:highlight w:val="white"/>
        </w:rPr>
        <w:t xml:space="preserve"> dan </w:t>
      </w:r>
      <w:proofErr w:type="spellStart"/>
      <w:r>
        <w:rPr>
          <w:rFonts w:ascii="Times New Roman" w:eastAsia="Times New Roman" w:hAnsi="Times New Roman" w:cs="Times New Roman"/>
          <w:sz w:val="24"/>
          <w:szCs w:val="24"/>
          <w:highlight w:val="white"/>
        </w:rPr>
        <w:t>ia</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adalah</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tidak</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terhad</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Fungsi</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mahkamah</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adalah</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untuk</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mencapai</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keadilan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atas</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pihak</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dalam</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perbicaraan</w:t>
      </w:r>
      <w:proofErr w:type="spellEnd"/>
      <w:r>
        <w:rPr>
          <w:rFonts w:ascii="Times New Roman" w:eastAsia="Times New Roman" w:hAnsi="Times New Roman" w:cs="Times New Roman"/>
          <w:sz w:val="24"/>
          <w:szCs w:val="24"/>
          <w:highlight w:val="white"/>
        </w:rPr>
        <w:t xml:space="preserve"> dan </w:t>
      </w:r>
      <w:proofErr w:type="spellStart"/>
      <w:r>
        <w:rPr>
          <w:rFonts w:ascii="Times New Roman" w:eastAsia="Times New Roman" w:hAnsi="Times New Roman" w:cs="Times New Roman"/>
          <w:sz w:val="24"/>
          <w:szCs w:val="24"/>
          <w:highlight w:val="white"/>
        </w:rPr>
        <w:t>mahkamah</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tidak</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boleh</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membenarkan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prosesnya</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untuk</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digunakan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sebagai</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cara</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untuk</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mencapai</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ketidakadilan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Untuk</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memastikan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sama</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ada</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suatu</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kes</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tersebut</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adalah</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suatu</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penyalahgunaan</w:t>
      </w:r>
      <w:proofErr w:type="spellEnd"/>
      <w:r>
        <w:rPr>
          <w:rFonts w:ascii="Times New Roman" w:eastAsia="Times New Roman" w:hAnsi="Times New Roman" w:cs="Times New Roman"/>
          <w:sz w:val="24"/>
          <w:szCs w:val="24"/>
          <w:highlight w:val="white"/>
        </w:rPr>
        <w:t xml:space="preserve"> proses </w:t>
      </w:r>
      <w:proofErr w:type="spellStart"/>
      <w:r>
        <w:rPr>
          <w:rFonts w:ascii="Times New Roman" w:eastAsia="Times New Roman" w:hAnsi="Times New Roman" w:cs="Times New Roman"/>
          <w:sz w:val="24"/>
          <w:szCs w:val="24"/>
          <w:highlight w:val="white"/>
        </w:rPr>
        <w:t>mahkamah</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penghakiman</w:t>
      </w:r>
      <w:proofErr w:type="spellEnd"/>
      <w:r>
        <w:rPr>
          <w:rFonts w:ascii="Times New Roman" w:eastAsia="Times New Roman" w:hAnsi="Times New Roman" w:cs="Times New Roman"/>
          <w:sz w:val="24"/>
          <w:szCs w:val="24"/>
          <w:highlight w:val="white"/>
        </w:rPr>
        <w:t xml:space="preserve"> yang </w:t>
      </w:r>
      <w:proofErr w:type="spellStart"/>
      <w:r>
        <w:rPr>
          <w:rFonts w:ascii="Times New Roman" w:eastAsia="Times New Roman" w:hAnsi="Times New Roman" w:cs="Times New Roman"/>
          <w:sz w:val="24"/>
          <w:szCs w:val="24"/>
          <w:highlight w:val="white"/>
        </w:rPr>
        <w:t>luas</w:t>
      </w:r>
      <w:proofErr w:type="spellEnd"/>
      <w:r>
        <w:rPr>
          <w:rFonts w:ascii="Times New Roman" w:eastAsia="Times New Roman" w:hAnsi="Times New Roman" w:cs="Times New Roman"/>
          <w:sz w:val="24"/>
          <w:szCs w:val="24"/>
          <w:highlight w:val="white"/>
        </w:rPr>
        <w:t xml:space="preserve"> dan </w:t>
      </w:r>
      <w:proofErr w:type="spellStart"/>
      <w:r>
        <w:rPr>
          <w:rFonts w:ascii="Times New Roman" w:eastAsia="Times New Roman" w:hAnsi="Times New Roman" w:cs="Times New Roman"/>
          <w:sz w:val="24"/>
          <w:szCs w:val="24"/>
          <w:highlight w:val="white"/>
        </w:rPr>
        <w:t>berasaskan</w:t>
      </w:r>
      <w:proofErr w:type="spellEnd"/>
      <w:r>
        <w:rPr>
          <w:rFonts w:ascii="Times New Roman" w:eastAsia="Times New Roman" w:hAnsi="Times New Roman" w:cs="Times New Roman"/>
          <w:sz w:val="24"/>
          <w:szCs w:val="24"/>
          <w:highlight w:val="white"/>
        </w:rPr>
        <w:t xml:space="preserve"> merit </w:t>
      </w:r>
      <w:proofErr w:type="spellStart"/>
      <w:r>
        <w:rPr>
          <w:rFonts w:ascii="Times New Roman" w:eastAsia="Times New Roman" w:hAnsi="Times New Roman" w:cs="Times New Roman"/>
          <w:sz w:val="24"/>
          <w:szCs w:val="24"/>
          <w:highlight w:val="white"/>
        </w:rPr>
        <w:t>harus</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digunakan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dengan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mengambil</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kira</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semua</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kepentingan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awam</w:t>
      </w:r>
      <w:proofErr w:type="spellEnd"/>
      <w:r>
        <w:rPr>
          <w:rFonts w:ascii="Times New Roman" w:eastAsia="Times New Roman" w:hAnsi="Times New Roman" w:cs="Times New Roman"/>
          <w:sz w:val="24"/>
          <w:szCs w:val="24"/>
          <w:highlight w:val="white"/>
        </w:rPr>
        <w:t xml:space="preserve"> dan </w:t>
      </w:r>
      <w:proofErr w:type="spellStart"/>
      <w:r>
        <w:rPr>
          <w:rFonts w:ascii="Times New Roman" w:eastAsia="Times New Roman" w:hAnsi="Times New Roman" w:cs="Times New Roman"/>
          <w:sz w:val="24"/>
          <w:szCs w:val="24"/>
          <w:highlight w:val="white"/>
        </w:rPr>
        <w:t>peribadi</w:t>
      </w:r>
      <w:proofErr w:type="spellEnd"/>
      <w:r>
        <w:rPr>
          <w:rFonts w:ascii="Times New Roman" w:eastAsia="Times New Roman" w:hAnsi="Times New Roman" w:cs="Times New Roman"/>
          <w:sz w:val="24"/>
          <w:szCs w:val="24"/>
          <w:highlight w:val="white"/>
        </w:rPr>
        <w:t xml:space="preserve"> yang </w:t>
      </w:r>
      <w:proofErr w:type="spellStart"/>
      <w:r>
        <w:rPr>
          <w:rFonts w:ascii="Times New Roman" w:eastAsia="Times New Roman" w:hAnsi="Times New Roman" w:cs="Times New Roman"/>
          <w:sz w:val="24"/>
          <w:szCs w:val="24"/>
          <w:highlight w:val="white"/>
        </w:rPr>
        <w:t>terlibat</w:t>
      </w:r>
      <w:proofErr w:type="spellEnd"/>
      <w:r>
        <w:rPr>
          <w:rFonts w:ascii="Times New Roman" w:eastAsia="Times New Roman" w:hAnsi="Times New Roman" w:cs="Times New Roman"/>
          <w:sz w:val="24"/>
          <w:szCs w:val="24"/>
          <w:highlight w:val="white"/>
        </w:rPr>
        <w:t xml:space="preserve"> dan </w:t>
      </w:r>
      <w:proofErr w:type="spellStart"/>
      <w:r>
        <w:rPr>
          <w:rFonts w:ascii="Times New Roman" w:eastAsia="Times New Roman" w:hAnsi="Times New Roman" w:cs="Times New Roman"/>
          <w:sz w:val="24"/>
          <w:szCs w:val="24"/>
          <w:highlight w:val="white"/>
        </w:rPr>
        <w:t>semua</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fakta</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kes</w:t>
      </w:r>
      <w:proofErr w:type="spellEnd"/>
      <w:r>
        <w:rPr>
          <w:rFonts w:ascii="Times New Roman" w:eastAsia="Times New Roman" w:hAnsi="Times New Roman" w:cs="Times New Roman"/>
          <w:sz w:val="24"/>
          <w:szCs w:val="24"/>
          <w:highlight w:val="white"/>
        </w:rPr>
        <w:t xml:space="preserve"> yang </w:t>
      </w:r>
      <w:proofErr w:type="spellStart"/>
      <w:r>
        <w:rPr>
          <w:rFonts w:ascii="Times New Roman" w:eastAsia="Times New Roman" w:hAnsi="Times New Roman" w:cs="Times New Roman"/>
          <w:sz w:val="24"/>
          <w:szCs w:val="24"/>
          <w:highlight w:val="white"/>
        </w:rPr>
        <w:t>relevan</w:t>
      </w:r>
      <w:proofErr w:type="spellEnd"/>
      <w:r>
        <w:rPr>
          <w:rFonts w:ascii="Times New Roman" w:eastAsia="Times New Roman" w:hAnsi="Times New Roman" w:cs="Times New Roman"/>
          <w:sz w:val="24"/>
          <w:szCs w:val="24"/>
          <w:highlight w:val="white"/>
        </w:rPr>
        <w:t xml:space="preserve">. </w:t>
      </w:r>
    </w:p>
    <w:p w14:paraId="000000C5" w14:textId="77777777" w:rsidR="00E97409" w:rsidRDefault="007741DD" w:rsidP="00690802">
      <w:pPr>
        <w:spacing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ab/>
      </w:r>
      <w:proofErr w:type="spellStart"/>
      <w:r>
        <w:rPr>
          <w:rFonts w:ascii="Times New Roman" w:eastAsia="Times New Roman" w:hAnsi="Times New Roman" w:cs="Times New Roman"/>
          <w:sz w:val="24"/>
          <w:szCs w:val="24"/>
          <w:highlight w:val="white"/>
        </w:rPr>
        <w:t>Memandangkan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undang-undang</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kedua-dua</w:t>
      </w:r>
      <w:proofErr w:type="spellEnd"/>
      <w:r>
        <w:rPr>
          <w:rFonts w:ascii="Times New Roman" w:eastAsia="Times New Roman" w:hAnsi="Times New Roman" w:cs="Times New Roman"/>
          <w:sz w:val="24"/>
          <w:szCs w:val="24"/>
          <w:highlight w:val="white"/>
        </w:rPr>
        <w:t xml:space="preserve"> negara </w:t>
      </w:r>
      <w:proofErr w:type="spellStart"/>
      <w:r>
        <w:rPr>
          <w:rFonts w:ascii="Times New Roman" w:eastAsia="Times New Roman" w:hAnsi="Times New Roman" w:cs="Times New Roman"/>
          <w:sz w:val="24"/>
          <w:szCs w:val="24"/>
          <w:highlight w:val="white"/>
        </w:rPr>
        <w:t>bersetuju</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bahawa</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kategori</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penyalahgunaan</w:t>
      </w:r>
      <w:proofErr w:type="spellEnd"/>
      <w:r>
        <w:rPr>
          <w:rFonts w:ascii="Times New Roman" w:eastAsia="Times New Roman" w:hAnsi="Times New Roman" w:cs="Times New Roman"/>
          <w:sz w:val="24"/>
          <w:szCs w:val="24"/>
          <w:highlight w:val="white"/>
        </w:rPr>
        <w:t xml:space="preserve"> proses </w:t>
      </w:r>
      <w:proofErr w:type="spellStart"/>
      <w:r>
        <w:rPr>
          <w:rFonts w:ascii="Times New Roman" w:eastAsia="Times New Roman" w:hAnsi="Times New Roman" w:cs="Times New Roman"/>
          <w:sz w:val="24"/>
          <w:szCs w:val="24"/>
          <w:highlight w:val="white"/>
        </w:rPr>
        <w:t>mahkamah</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adalah</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tidak</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terhad</w:t>
      </w:r>
      <w:proofErr w:type="spellEnd"/>
      <w:r>
        <w:rPr>
          <w:rFonts w:ascii="Times New Roman" w:eastAsia="Times New Roman" w:hAnsi="Times New Roman" w:cs="Times New Roman"/>
          <w:sz w:val="24"/>
          <w:szCs w:val="24"/>
          <w:highlight w:val="white"/>
        </w:rPr>
        <w:t xml:space="preserve"> dan </w:t>
      </w:r>
      <w:proofErr w:type="spellStart"/>
      <w:r>
        <w:rPr>
          <w:rFonts w:ascii="Times New Roman" w:eastAsia="Times New Roman" w:hAnsi="Times New Roman" w:cs="Times New Roman"/>
          <w:sz w:val="24"/>
          <w:szCs w:val="24"/>
          <w:highlight w:val="white"/>
        </w:rPr>
        <w:t>boleh</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terdiri</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daripada</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pelbagai</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kategori</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antara</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kategori</w:t>
      </w:r>
      <w:proofErr w:type="spellEnd"/>
      <w:r>
        <w:rPr>
          <w:rFonts w:ascii="Times New Roman" w:eastAsia="Times New Roman" w:hAnsi="Times New Roman" w:cs="Times New Roman"/>
          <w:sz w:val="24"/>
          <w:szCs w:val="24"/>
          <w:highlight w:val="white"/>
        </w:rPr>
        <w:t xml:space="preserve"> yang </w:t>
      </w:r>
      <w:proofErr w:type="spellStart"/>
      <w:r>
        <w:rPr>
          <w:rFonts w:ascii="Times New Roman" w:eastAsia="Times New Roman" w:hAnsi="Times New Roman" w:cs="Times New Roman"/>
          <w:sz w:val="24"/>
          <w:szCs w:val="24"/>
          <w:highlight w:val="white"/>
        </w:rPr>
        <w:t>dimaksudkan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tersebut</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merangkumi</w:t>
      </w:r>
      <w:proofErr w:type="spellEnd"/>
      <w:r>
        <w:rPr>
          <w:rFonts w:ascii="Times New Roman" w:eastAsia="Times New Roman" w:hAnsi="Times New Roman" w:cs="Times New Roman"/>
          <w:sz w:val="24"/>
          <w:szCs w:val="24"/>
          <w:highlight w:val="white"/>
        </w:rPr>
        <w:t xml:space="preserve">: - </w:t>
      </w:r>
    </w:p>
    <w:p w14:paraId="000000C6" w14:textId="77777777" w:rsidR="00E97409" w:rsidRDefault="007741DD" w:rsidP="00690802">
      <w:pPr>
        <w:numPr>
          <w:ilvl w:val="0"/>
          <w:numId w:val="4"/>
        </w:numPr>
        <w:pBdr>
          <w:top w:val="nil"/>
          <w:left w:val="nil"/>
          <w:bottom w:val="nil"/>
          <w:right w:val="nil"/>
          <w:between w:val="nil"/>
        </w:pBdr>
        <w:spacing w:after="0" w:line="240" w:lineRule="auto"/>
        <w:ind w:left="567" w:hanging="567"/>
        <w:jc w:val="both"/>
        <w:rPr>
          <w:rFonts w:ascii="Times New Roman" w:eastAsia="Times New Roman" w:hAnsi="Times New Roman" w:cs="Times New Roman"/>
          <w:color w:val="000000"/>
          <w:sz w:val="24"/>
          <w:szCs w:val="24"/>
          <w:highlight w:val="white"/>
        </w:rPr>
      </w:pPr>
      <w:bookmarkStart w:id="18" w:name="_heading=h.26in1rg" w:colFirst="0" w:colLast="0"/>
      <w:bookmarkEnd w:id="18"/>
      <w:proofErr w:type="spellStart"/>
      <w:r>
        <w:rPr>
          <w:rFonts w:ascii="Times New Roman" w:eastAsia="Times New Roman" w:hAnsi="Times New Roman" w:cs="Times New Roman"/>
          <w:b/>
          <w:color w:val="000000"/>
          <w:sz w:val="24"/>
          <w:szCs w:val="24"/>
          <w:highlight w:val="white"/>
        </w:rPr>
        <w:t>Litigasi</w:t>
      </w:r>
      <w:proofErr w:type="spellEnd"/>
      <w:r>
        <w:rPr>
          <w:rFonts w:ascii="Times New Roman" w:eastAsia="Times New Roman" w:hAnsi="Times New Roman" w:cs="Times New Roman"/>
          <w:b/>
          <w:color w:val="000000"/>
          <w:sz w:val="24"/>
          <w:szCs w:val="24"/>
          <w:highlight w:val="white"/>
        </w:rPr>
        <w:t xml:space="preserve"> </w:t>
      </w:r>
      <w:proofErr w:type="spellStart"/>
      <w:r>
        <w:rPr>
          <w:rFonts w:ascii="Times New Roman" w:eastAsia="Times New Roman" w:hAnsi="Times New Roman" w:cs="Times New Roman"/>
          <w:b/>
          <w:color w:val="000000"/>
          <w:sz w:val="24"/>
          <w:szCs w:val="24"/>
          <w:highlight w:val="white"/>
        </w:rPr>
        <w:t>semula</w:t>
      </w:r>
      <w:proofErr w:type="spellEnd"/>
      <w:r>
        <w:rPr>
          <w:rFonts w:ascii="Times New Roman" w:eastAsia="Times New Roman" w:hAnsi="Times New Roman" w:cs="Times New Roman"/>
          <w:color w:val="000000"/>
          <w:sz w:val="24"/>
          <w:szCs w:val="24"/>
          <w:highlight w:val="white"/>
        </w:rPr>
        <w:t xml:space="preserve"> – Kuasa </w:t>
      </w:r>
      <w:proofErr w:type="spellStart"/>
      <w:r>
        <w:rPr>
          <w:rFonts w:ascii="Times New Roman" w:eastAsia="Times New Roman" w:hAnsi="Times New Roman" w:cs="Times New Roman"/>
          <w:color w:val="000000"/>
          <w:sz w:val="24"/>
          <w:szCs w:val="24"/>
          <w:highlight w:val="white"/>
        </w:rPr>
        <w:t>pembatalan</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tuntutan</w:t>
      </w:r>
      <w:proofErr w:type="spellEnd"/>
      <w:r>
        <w:rPr>
          <w:rFonts w:ascii="Times New Roman" w:eastAsia="Times New Roman" w:hAnsi="Times New Roman" w:cs="Times New Roman"/>
          <w:color w:val="000000"/>
          <w:sz w:val="24"/>
          <w:szCs w:val="24"/>
          <w:highlight w:val="white"/>
        </w:rPr>
        <w:t xml:space="preserve"> oleh </w:t>
      </w:r>
      <w:proofErr w:type="spellStart"/>
      <w:r>
        <w:rPr>
          <w:rFonts w:ascii="Times New Roman" w:eastAsia="Times New Roman" w:hAnsi="Times New Roman" w:cs="Times New Roman"/>
          <w:color w:val="000000"/>
          <w:sz w:val="24"/>
          <w:szCs w:val="24"/>
          <w:highlight w:val="white"/>
        </w:rPr>
        <w:t>mahkamah</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sz w:val="24"/>
          <w:szCs w:val="24"/>
          <w:highlight w:val="white"/>
        </w:rPr>
        <w:t>termasuk</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keadaan</w:t>
      </w:r>
      <w:proofErr w:type="spellEnd"/>
      <w:r>
        <w:rPr>
          <w:rFonts w:ascii="Times New Roman" w:eastAsia="Times New Roman" w:hAnsi="Times New Roman" w:cs="Times New Roman"/>
          <w:color w:val="000000"/>
          <w:sz w:val="24"/>
          <w:szCs w:val="24"/>
          <w:highlight w:val="white"/>
        </w:rPr>
        <w:t xml:space="preserve"> di mana proses </w:t>
      </w:r>
      <w:proofErr w:type="spellStart"/>
      <w:r>
        <w:rPr>
          <w:rFonts w:ascii="Times New Roman" w:eastAsia="Times New Roman" w:hAnsi="Times New Roman" w:cs="Times New Roman"/>
          <w:color w:val="000000"/>
          <w:sz w:val="24"/>
          <w:szCs w:val="24"/>
          <w:highlight w:val="white"/>
        </w:rPr>
        <w:t>tersebut</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telah</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dijalankan</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tanpa</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niat</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baik</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seperti</w:t>
      </w:r>
      <w:proofErr w:type="spellEnd"/>
      <w:r>
        <w:rPr>
          <w:rFonts w:ascii="Times New Roman" w:eastAsia="Times New Roman" w:hAnsi="Times New Roman" w:cs="Times New Roman"/>
          <w:color w:val="000000"/>
          <w:sz w:val="24"/>
          <w:szCs w:val="24"/>
          <w:highlight w:val="white"/>
        </w:rPr>
        <w:t xml:space="preserve"> yang </w:t>
      </w:r>
      <w:proofErr w:type="spellStart"/>
      <w:r>
        <w:rPr>
          <w:rFonts w:ascii="Times New Roman" w:eastAsia="Times New Roman" w:hAnsi="Times New Roman" w:cs="Times New Roman"/>
          <w:color w:val="000000"/>
          <w:sz w:val="24"/>
          <w:szCs w:val="24"/>
          <w:highlight w:val="white"/>
        </w:rPr>
        <w:t>diputuskan</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dalam</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b/>
          <w:i/>
          <w:color w:val="000000"/>
          <w:sz w:val="24"/>
          <w:szCs w:val="24"/>
          <w:highlight w:val="white"/>
        </w:rPr>
        <w:t>Hadi</w:t>
      </w:r>
      <w:proofErr w:type="spellEnd"/>
      <w:r>
        <w:rPr>
          <w:rFonts w:ascii="Times New Roman" w:eastAsia="Times New Roman" w:hAnsi="Times New Roman" w:cs="Times New Roman"/>
          <w:b/>
          <w:i/>
          <w:color w:val="000000"/>
          <w:sz w:val="24"/>
          <w:szCs w:val="24"/>
          <w:highlight w:val="white"/>
        </w:rPr>
        <w:t xml:space="preserve"> Bin Hassan v Suria Records </w:t>
      </w:r>
      <w:proofErr w:type="spellStart"/>
      <w:r>
        <w:rPr>
          <w:rFonts w:ascii="Times New Roman" w:eastAsia="Times New Roman" w:hAnsi="Times New Roman" w:cs="Times New Roman"/>
          <w:b/>
          <w:i/>
          <w:color w:val="000000"/>
          <w:sz w:val="24"/>
          <w:szCs w:val="24"/>
          <w:highlight w:val="white"/>
        </w:rPr>
        <w:t>Sdn</w:t>
      </w:r>
      <w:proofErr w:type="spellEnd"/>
      <w:r>
        <w:rPr>
          <w:rFonts w:ascii="Times New Roman" w:eastAsia="Times New Roman" w:hAnsi="Times New Roman" w:cs="Times New Roman"/>
          <w:b/>
          <w:i/>
          <w:color w:val="000000"/>
          <w:sz w:val="24"/>
          <w:szCs w:val="24"/>
          <w:highlight w:val="white"/>
        </w:rPr>
        <w:t xml:space="preserve"> </w:t>
      </w:r>
      <w:proofErr w:type="spellStart"/>
      <w:r>
        <w:rPr>
          <w:rFonts w:ascii="Times New Roman" w:eastAsia="Times New Roman" w:hAnsi="Times New Roman" w:cs="Times New Roman"/>
          <w:b/>
          <w:i/>
          <w:color w:val="000000"/>
          <w:sz w:val="24"/>
          <w:szCs w:val="24"/>
          <w:highlight w:val="white"/>
        </w:rPr>
        <w:t>Bhd</w:t>
      </w:r>
      <w:proofErr w:type="spellEnd"/>
      <w:r>
        <w:rPr>
          <w:rFonts w:ascii="Times New Roman" w:eastAsia="Times New Roman" w:hAnsi="Times New Roman" w:cs="Times New Roman"/>
          <w:color w:val="000000"/>
          <w:sz w:val="24"/>
          <w:szCs w:val="24"/>
          <w:highlight w:val="white"/>
        </w:rPr>
        <w:t xml:space="preserve"> </w:t>
      </w:r>
      <w:r>
        <w:rPr>
          <w:rFonts w:ascii="Times New Roman" w:eastAsia="Times New Roman" w:hAnsi="Times New Roman" w:cs="Times New Roman"/>
          <w:color w:val="000000"/>
          <w:sz w:val="24"/>
          <w:szCs w:val="24"/>
          <w:highlight w:val="white"/>
          <w:vertAlign w:val="superscript"/>
        </w:rPr>
        <w:footnoteReference w:id="61"/>
      </w:r>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tetapi</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ia</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tidak</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dihadkan</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kepada</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situasi</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tersebut</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sahaja</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Litigasi</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semula</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atas</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perkara</w:t>
      </w:r>
      <w:proofErr w:type="spellEnd"/>
      <w:r>
        <w:rPr>
          <w:rFonts w:ascii="Times New Roman" w:eastAsia="Times New Roman" w:hAnsi="Times New Roman" w:cs="Times New Roman"/>
          <w:color w:val="000000"/>
          <w:sz w:val="24"/>
          <w:szCs w:val="24"/>
          <w:highlight w:val="white"/>
        </w:rPr>
        <w:t xml:space="preserve"> yang </w:t>
      </w:r>
      <w:proofErr w:type="spellStart"/>
      <w:r>
        <w:rPr>
          <w:rFonts w:ascii="Times New Roman" w:eastAsia="Times New Roman" w:hAnsi="Times New Roman" w:cs="Times New Roman"/>
          <w:color w:val="000000"/>
          <w:sz w:val="24"/>
          <w:szCs w:val="24"/>
          <w:highlight w:val="white"/>
        </w:rPr>
        <w:t>sama</w:t>
      </w:r>
      <w:proofErr w:type="spellEnd"/>
      <w:r>
        <w:rPr>
          <w:rFonts w:ascii="Times New Roman" w:eastAsia="Times New Roman" w:hAnsi="Times New Roman" w:cs="Times New Roman"/>
          <w:color w:val="000000"/>
          <w:sz w:val="24"/>
          <w:szCs w:val="24"/>
          <w:highlight w:val="white"/>
        </w:rPr>
        <w:t xml:space="preserve"> yang </w:t>
      </w:r>
      <w:proofErr w:type="spellStart"/>
      <w:r>
        <w:rPr>
          <w:rFonts w:ascii="Times New Roman" w:eastAsia="Times New Roman" w:hAnsi="Times New Roman" w:cs="Times New Roman"/>
          <w:color w:val="000000"/>
          <w:sz w:val="24"/>
          <w:szCs w:val="24"/>
          <w:highlight w:val="white"/>
        </w:rPr>
        <w:t>telah</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diputuskan</w:t>
      </w:r>
      <w:proofErr w:type="spellEnd"/>
      <w:r>
        <w:rPr>
          <w:rFonts w:ascii="Times New Roman" w:eastAsia="Times New Roman" w:hAnsi="Times New Roman" w:cs="Times New Roman"/>
          <w:color w:val="000000"/>
          <w:sz w:val="24"/>
          <w:szCs w:val="24"/>
          <w:highlight w:val="white"/>
        </w:rPr>
        <w:t xml:space="preserve"> oleh </w:t>
      </w:r>
      <w:proofErr w:type="spellStart"/>
      <w:r>
        <w:rPr>
          <w:rFonts w:ascii="Times New Roman" w:eastAsia="Times New Roman" w:hAnsi="Times New Roman" w:cs="Times New Roman"/>
          <w:color w:val="000000"/>
          <w:sz w:val="24"/>
          <w:szCs w:val="24"/>
          <w:highlight w:val="white"/>
        </w:rPr>
        <w:t>mahkamah</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merupakan</w:t>
      </w:r>
      <w:proofErr w:type="spellEnd"/>
      <w:r>
        <w:rPr>
          <w:rFonts w:ascii="Times New Roman" w:eastAsia="Times New Roman" w:hAnsi="Times New Roman" w:cs="Times New Roman"/>
          <w:color w:val="000000"/>
          <w:sz w:val="24"/>
          <w:szCs w:val="24"/>
          <w:highlight w:val="white"/>
        </w:rPr>
        <w:t xml:space="preserve"> salah </w:t>
      </w:r>
      <w:proofErr w:type="spellStart"/>
      <w:r>
        <w:rPr>
          <w:rFonts w:ascii="Times New Roman" w:eastAsia="Times New Roman" w:hAnsi="Times New Roman" w:cs="Times New Roman"/>
          <w:color w:val="000000"/>
          <w:sz w:val="24"/>
          <w:szCs w:val="24"/>
          <w:highlight w:val="white"/>
        </w:rPr>
        <w:t>satu</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penyalahgunaan</w:t>
      </w:r>
      <w:proofErr w:type="spellEnd"/>
      <w:r>
        <w:rPr>
          <w:rFonts w:ascii="Times New Roman" w:eastAsia="Times New Roman" w:hAnsi="Times New Roman" w:cs="Times New Roman"/>
          <w:color w:val="000000"/>
          <w:sz w:val="24"/>
          <w:szCs w:val="24"/>
          <w:highlight w:val="white"/>
        </w:rPr>
        <w:t xml:space="preserve"> proses </w:t>
      </w:r>
      <w:proofErr w:type="spellStart"/>
      <w:r>
        <w:rPr>
          <w:rFonts w:ascii="Times New Roman" w:eastAsia="Times New Roman" w:hAnsi="Times New Roman" w:cs="Times New Roman"/>
          <w:color w:val="000000"/>
          <w:sz w:val="24"/>
          <w:szCs w:val="24"/>
          <w:highlight w:val="white"/>
        </w:rPr>
        <w:t>mahkamah</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Contohnya</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dalam</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b/>
          <w:i/>
          <w:color w:val="000000"/>
          <w:sz w:val="24"/>
          <w:szCs w:val="24"/>
          <w:highlight w:val="white"/>
        </w:rPr>
        <w:t>Ashmre</w:t>
      </w:r>
      <w:proofErr w:type="spellEnd"/>
      <w:r>
        <w:rPr>
          <w:rFonts w:ascii="Times New Roman" w:eastAsia="Times New Roman" w:hAnsi="Times New Roman" w:cs="Times New Roman"/>
          <w:b/>
          <w:i/>
          <w:color w:val="000000"/>
          <w:sz w:val="24"/>
          <w:szCs w:val="24"/>
          <w:highlight w:val="white"/>
        </w:rPr>
        <w:t xml:space="preserve"> v </w:t>
      </w:r>
      <w:r>
        <w:rPr>
          <w:rFonts w:ascii="Times New Roman" w:eastAsia="Times New Roman" w:hAnsi="Times New Roman" w:cs="Times New Roman"/>
          <w:b/>
          <w:i/>
          <w:color w:val="000000"/>
          <w:sz w:val="24"/>
          <w:szCs w:val="24"/>
          <w:highlight w:val="white"/>
        </w:rPr>
        <w:lastRenderedPageBreak/>
        <w:t>British Coal Corp</w:t>
      </w:r>
      <w:r>
        <w:rPr>
          <w:rFonts w:ascii="Times New Roman" w:eastAsia="Times New Roman" w:hAnsi="Times New Roman" w:cs="Times New Roman"/>
          <w:color w:val="000000"/>
          <w:sz w:val="24"/>
          <w:szCs w:val="24"/>
          <w:highlight w:val="white"/>
          <w:vertAlign w:val="superscript"/>
        </w:rPr>
        <w:footnoteReference w:id="62"/>
      </w:r>
      <w:r>
        <w:rPr>
          <w:rFonts w:ascii="Times New Roman" w:eastAsia="Times New Roman" w:hAnsi="Times New Roman" w:cs="Times New Roman"/>
          <w:i/>
          <w:color w:val="000000"/>
          <w:sz w:val="24"/>
          <w:szCs w:val="24"/>
          <w:highlight w:val="white"/>
        </w:rPr>
        <w:t>,</w:t>
      </w:r>
      <w:r>
        <w:rPr>
          <w:rFonts w:ascii="Times New Roman" w:eastAsia="Times New Roman" w:hAnsi="Times New Roman" w:cs="Times New Roman"/>
          <w:color w:val="000000"/>
          <w:sz w:val="24"/>
          <w:szCs w:val="24"/>
          <w:highlight w:val="white"/>
        </w:rPr>
        <w:t xml:space="preserve"> di mana </w:t>
      </w:r>
      <w:proofErr w:type="spellStart"/>
      <w:r>
        <w:rPr>
          <w:rFonts w:ascii="Times New Roman" w:eastAsia="Times New Roman" w:hAnsi="Times New Roman" w:cs="Times New Roman"/>
          <w:color w:val="000000"/>
          <w:sz w:val="24"/>
          <w:szCs w:val="24"/>
          <w:highlight w:val="white"/>
        </w:rPr>
        <w:t>contoh</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kes-kes</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telah</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dipilih</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daripada</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sebanyak</w:t>
      </w:r>
      <w:proofErr w:type="spellEnd"/>
      <w:r>
        <w:rPr>
          <w:rFonts w:ascii="Times New Roman" w:eastAsia="Times New Roman" w:hAnsi="Times New Roman" w:cs="Times New Roman"/>
          <w:color w:val="000000"/>
          <w:sz w:val="24"/>
          <w:szCs w:val="24"/>
          <w:highlight w:val="white"/>
        </w:rPr>
        <w:t xml:space="preserve"> 1550 </w:t>
      </w:r>
      <w:proofErr w:type="spellStart"/>
      <w:r>
        <w:rPr>
          <w:rFonts w:ascii="Times New Roman" w:eastAsia="Times New Roman" w:hAnsi="Times New Roman" w:cs="Times New Roman"/>
          <w:color w:val="000000"/>
          <w:sz w:val="24"/>
          <w:szCs w:val="24"/>
          <w:highlight w:val="white"/>
        </w:rPr>
        <w:t>tuntutan</w:t>
      </w:r>
      <w:proofErr w:type="spellEnd"/>
      <w:r>
        <w:rPr>
          <w:rFonts w:ascii="Times New Roman" w:eastAsia="Times New Roman" w:hAnsi="Times New Roman" w:cs="Times New Roman"/>
          <w:color w:val="000000"/>
          <w:sz w:val="24"/>
          <w:szCs w:val="24"/>
          <w:highlight w:val="white"/>
        </w:rPr>
        <w:t xml:space="preserve"> yang </w:t>
      </w:r>
      <w:proofErr w:type="spellStart"/>
      <w:r>
        <w:rPr>
          <w:rFonts w:ascii="Times New Roman" w:eastAsia="Times New Roman" w:hAnsi="Times New Roman" w:cs="Times New Roman"/>
          <w:color w:val="000000"/>
          <w:sz w:val="24"/>
          <w:szCs w:val="24"/>
          <w:highlight w:val="white"/>
        </w:rPr>
        <w:t>serupa</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untuk</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kesamarataan</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gaji</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terhadap</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majikan</w:t>
      </w:r>
      <w:proofErr w:type="spellEnd"/>
      <w:r>
        <w:rPr>
          <w:rFonts w:ascii="Times New Roman" w:eastAsia="Times New Roman" w:hAnsi="Times New Roman" w:cs="Times New Roman"/>
          <w:color w:val="000000"/>
          <w:sz w:val="24"/>
          <w:szCs w:val="24"/>
          <w:highlight w:val="white"/>
        </w:rPr>
        <w:t xml:space="preserve"> yang </w:t>
      </w:r>
      <w:proofErr w:type="spellStart"/>
      <w:r>
        <w:rPr>
          <w:rFonts w:ascii="Times New Roman" w:eastAsia="Times New Roman" w:hAnsi="Times New Roman" w:cs="Times New Roman"/>
          <w:color w:val="000000"/>
          <w:sz w:val="24"/>
          <w:szCs w:val="24"/>
          <w:highlight w:val="white"/>
        </w:rPr>
        <w:t>sama</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Sementara</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kes-kes</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tersebut</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masih</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menunggu</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untuk</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ditentukan</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pemohon</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sebenarnya</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mempunyai</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peluang</w:t>
      </w:r>
      <w:proofErr w:type="spellEnd"/>
      <w:r>
        <w:rPr>
          <w:rFonts w:ascii="Times New Roman" w:eastAsia="Times New Roman" w:hAnsi="Times New Roman" w:cs="Times New Roman"/>
          <w:color w:val="000000"/>
          <w:sz w:val="24"/>
          <w:szCs w:val="24"/>
          <w:highlight w:val="white"/>
        </w:rPr>
        <w:t xml:space="preserve"> yang </w:t>
      </w:r>
      <w:proofErr w:type="spellStart"/>
      <w:r>
        <w:rPr>
          <w:rFonts w:ascii="Times New Roman" w:eastAsia="Times New Roman" w:hAnsi="Times New Roman" w:cs="Times New Roman"/>
          <w:color w:val="000000"/>
          <w:sz w:val="24"/>
          <w:szCs w:val="24"/>
          <w:highlight w:val="white"/>
        </w:rPr>
        <w:t>mencukupi</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untuk</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mengemukakan</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tuntutannya</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untuk</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pemilihan</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tetapi</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tidak</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berbuat</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demikian</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Apabila</w:t>
      </w:r>
      <w:proofErr w:type="spellEnd"/>
      <w:r>
        <w:rPr>
          <w:rFonts w:ascii="Times New Roman" w:eastAsia="Times New Roman" w:hAnsi="Times New Roman" w:cs="Times New Roman"/>
          <w:color w:val="000000"/>
          <w:sz w:val="24"/>
          <w:szCs w:val="24"/>
          <w:highlight w:val="white"/>
        </w:rPr>
        <w:t xml:space="preserve"> Tribunal Perindustrian </w:t>
      </w:r>
      <w:proofErr w:type="spellStart"/>
      <w:r>
        <w:rPr>
          <w:rFonts w:ascii="Times New Roman" w:eastAsia="Times New Roman" w:hAnsi="Times New Roman" w:cs="Times New Roman"/>
          <w:color w:val="000000"/>
          <w:sz w:val="24"/>
          <w:szCs w:val="24"/>
          <w:highlight w:val="white"/>
        </w:rPr>
        <w:t>menolak</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contoh</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kes</w:t>
      </w:r>
      <w:proofErr w:type="spellEnd"/>
      <w:r>
        <w:rPr>
          <w:rFonts w:ascii="Times New Roman" w:eastAsia="Times New Roman" w:hAnsi="Times New Roman" w:cs="Times New Roman"/>
          <w:color w:val="000000"/>
          <w:sz w:val="24"/>
          <w:szCs w:val="24"/>
          <w:highlight w:val="white"/>
        </w:rPr>
        <w:t xml:space="preserve">, dan </w:t>
      </w:r>
      <w:proofErr w:type="spellStart"/>
      <w:r>
        <w:rPr>
          <w:rFonts w:ascii="Times New Roman" w:eastAsia="Times New Roman" w:hAnsi="Times New Roman" w:cs="Times New Roman"/>
          <w:color w:val="000000"/>
          <w:sz w:val="24"/>
          <w:szCs w:val="24"/>
          <w:highlight w:val="white"/>
        </w:rPr>
        <w:t>prosiding</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pemohon</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untuk</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mengeluarkan</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penangguhan</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tuntutannya</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untuk</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membicarakan</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semula</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isu-isu</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itu</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telah</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ditolak</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atas</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alasan</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penyalahgunaan</w:t>
      </w:r>
      <w:proofErr w:type="spellEnd"/>
      <w:r>
        <w:rPr>
          <w:rFonts w:ascii="Times New Roman" w:eastAsia="Times New Roman" w:hAnsi="Times New Roman" w:cs="Times New Roman"/>
          <w:color w:val="000000"/>
          <w:sz w:val="24"/>
          <w:szCs w:val="24"/>
          <w:highlight w:val="white"/>
        </w:rPr>
        <w:t xml:space="preserve"> proses </w:t>
      </w:r>
      <w:proofErr w:type="spellStart"/>
      <w:r>
        <w:rPr>
          <w:rFonts w:ascii="Times New Roman" w:eastAsia="Times New Roman" w:hAnsi="Times New Roman" w:cs="Times New Roman"/>
          <w:color w:val="000000"/>
          <w:sz w:val="24"/>
          <w:szCs w:val="24"/>
          <w:highlight w:val="white"/>
        </w:rPr>
        <w:t>mahkamah</w:t>
      </w:r>
      <w:proofErr w:type="spellEnd"/>
      <w:r>
        <w:rPr>
          <w:rFonts w:ascii="Times New Roman" w:eastAsia="Times New Roman" w:hAnsi="Times New Roman" w:cs="Times New Roman"/>
          <w:color w:val="000000"/>
          <w:sz w:val="24"/>
          <w:szCs w:val="24"/>
          <w:highlight w:val="white"/>
        </w:rPr>
        <w:t xml:space="preserve">. Di Malaysia pula, </w:t>
      </w:r>
      <w:proofErr w:type="spellStart"/>
      <w:r>
        <w:rPr>
          <w:rFonts w:ascii="Times New Roman" w:eastAsia="Times New Roman" w:hAnsi="Times New Roman" w:cs="Times New Roman"/>
          <w:b/>
          <w:i/>
          <w:color w:val="000000"/>
          <w:sz w:val="24"/>
          <w:szCs w:val="24"/>
          <w:highlight w:val="white"/>
        </w:rPr>
        <w:t>Farlim</w:t>
      </w:r>
      <w:proofErr w:type="spellEnd"/>
      <w:r>
        <w:rPr>
          <w:rFonts w:ascii="Times New Roman" w:eastAsia="Times New Roman" w:hAnsi="Times New Roman" w:cs="Times New Roman"/>
          <w:b/>
          <w:i/>
          <w:color w:val="000000"/>
          <w:sz w:val="24"/>
          <w:szCs w:val="24"/>
          <w:highlight w:val="white"/>
        </w:rPr>
        <w:t xml:space="preserve"> Properties </w:t>
      </w:r>
      <w:proofErr w:type="spellStart"/>
      <w:r>
        <w:rPr>
          <w:rFonts w:ascii="Times New Roman" w:eastAsia="Times New Roman" w:hAnsi="Times New Roman" w:cs="Times New Roman"/>
          <w:b/>
          <w:i/>
          <w:color w:val="000000"/>
          <w:sz w:val="24"/>
          <w:szCs w:val="24"/>
          <w:highlight w:val="white"/>
        </w:rPr>
        <w:t>Sdn</w:t>
      </w:r>
      <w:proofErr w:type="spellEnd"/>
      <w:r>
        <w:rPr>
          <w:rFonts w:ascii="Times New Roman" w:eastAsia="Times New Roman" w:hAnsi="Times New Roman" w:cs="Times New Roman"/>
          <w:b/>
          <w:i/>
          <w:color w:val="000000"/>
          <w:sz w:val="24"/>
          <w:szCs w:val="24"/>
          <w:highlight w:val="white"/>
        </w:rPr>
        <w:t xml:space="preserve"> </w:t>
      </w:r>
      <w:proofErr w:type="spellStart"/>
      <w:r>
        <w:rPr>
          <w:rFonts w:ascii="Times New Roman" w:eastAsia="Times New Roman" w:hAnsi="Times New Roman" w:cs="Times New Roman"/>
          <w:b/>
          <w:i/>
          <w:color w:val="000000"/>
          <w:sz w:val="24"/>
          <w:szCs w:val="24"/>
          <w:highlight w:val="white"/>
        </w:rPr>
        <w:t>Bhd</w:t>
      </w:r>
      <w:proofErr w:type="spellEnd"/>
      <w:r>
        <w:rPr>
          <w:rFonts w:ascii="Times New Roman" w:eastAsia="Times New Roman" w:hAnsi="Times New Roman" w:cs="Times New Roman"/>
          <w:b/>
          <w:i/>
          <w:color w:val="000000"/>
          <w:sz w:val="24"/>
          <w:szCs w:val="24"/>
          <w:highlight w:val="white"/>
        </w:rPr>
        <w:t xml:space="preserve"> v Goh </w:t>
      </w:r>
      <w:proofErr w:type="spellStart"/>
      <w:r>
        <w:rPr>
          <w:rFonts w:ascii="Times New Roman" w:eastAsia="Times New Roman" w:hAnsi="Times New Roman" w:cs="Times New Roman"/>
          <w:b/>
          <w:i/>
          <w:color w:val="000000"/>
          <w:sz w:val="24"/>
          <w:szCs w:val="24"/>
          <w:highlight w:val="white"/>
        </w:rPr>
        <w:t>Keat</w:t>
      </w:r>
      <w:proofErr w:type="spellEnd"/>
      <w:r>
        <w:rPr>
          <w:rFonts w:ascii="Times New Roman" w:eastAsia="Times New Roman" w:hAnsi="Times New Roman" w:cs="Times New Roman"/>
          <w:b/>
          <w:i/>
          <w:color w:val="000000"/>
          <w:sz w:val="24"/>
          <w:szCs w:val="24"/>
          <w:highlight w:val="white"/>
        </w:rPr>
        <w:t xml:space="preserve"> </w:t>
      </w:r>
      <w:proofErr w:type="spellStart"/>
      <w:r>
        <w:rPr>
          <w:rFonts w:ascii="Times New Roman" w:eastAsia="Times New Roman" w:hAnsi="Times New Roman" w:cs="Times New Roman"/>
          <w:b/>
          <w:i/>
          <w:color w:val="000000"/>
          <w:sz w:val="24"/>
          <w:szCs w:val="24"/>
          <w:highlight w:val="white"/>
        </w:rPr>
        <w:t>Poh</w:t>
      </w:r>
      <w:proofErr w:type="spellEnd"/>
      <w:r>
        <w:rPr>
          <w:rFonts w:ascii="Times New Roman" w:eastAsia="Times New Roman" w:hAnsi="Times New Roman" w:cs="Times New Roman"/>
          <w:b/>
          <w:i/>
          <w:color w:val="000000"/>
          <w:sz w:val="24"/>
          <w:szCs w:val="24"/>
          <w:highlight w:val="white"/>
        </w:rPr>
        <w:t xml:space="preserve"> &amp; </w:t>
      </w:r>
      <w:proofErr w:type="spellStart"/>
      <w:r>
        <w:rPr>
          <w:rFonts w:ascii="Times New Roman" w:eastAsia="Times New Roman" w:hAnsi="Times New Roman" w:cs="Times New Roman"/>
          <w:b/>
          <w:i/>
          <w:color w:val="000000"/>
          <w:sz w:val="24"/>
          <w:szCs w:val="24"/>
          <w:highlight w:val="white"/>
        </w:rPr>
        <w:t>Ors</w:t>
      </w:r>
      <w:proofErr w:type="spellEnd"/>
      <w:r>
        <w:rPr>
          <w:rFonts w:ascii="Times New Roman" w:eastAsia="Times New Roman" w:hAnsi="Times New Roman" w:cs="Times New Roman"/>
          <w:color w:val="000000"/>
          <w:sz w:val="24"/>
          <w:szCs w:val="24"/>
          <w:highlight w:val="white"/>
          <w:vertAlign w:val="superscript"/>
        </w:rPr>
        <w:footnoteReference w:id="63"/>
      </w:r>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mahkamah</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memutuskan</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bahawa</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kes</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ini</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adalah</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suatu</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penyalahgunaan</w:t>
      </w:r>
      <w:proofErr w:type="spellEnd"/>
      <w:r>
        <w:rPr>
          <w:rFonts w:ascii="Times New Roman" w:eastAsia="Times New Roman" w:hAnsi="Times New Roman" w:cs="Times New Roman"/>
          <w:color w:val="000000"/>
          <w:sz w:val="24"/>
          <w:szCs w:val="24"/>
          <w:highlight w:val="white"/>
        </w:rPr>
        <w:t xml:space="preserve"> proses </w:t>
      </w:r>
      <w:proofErr w:type="spellStart"/>
      <w:r>
        <w:rPr>
          <w:rFonts w:ascii="Times New Roman" w:eastAsia="Times New Roman" w:hAnsi="Times New Roman" w:cs="Times New Roman"/>
          <w:color w:val="000000"/>
          <w:sz w:val="24"/>
          <w:szCs w:val="24"/>
          <w:highlight w:val="white"/>
        </w:rPr>
        <w:t>mahkamah</w:t>
      </w:r>
      <w:proofErr w:type="spellEnd"/>
      <w:r>
        <w:rPr>
          <w:rFonts w:ascii="Times New Roman" w:eastAsia="Times New Roman" w:hAnsi="Times New Roman" w:cs="Times New Roman"/>
          <w:color w:val="000000"/>
          <w:sz w:val="24"/>
          <w:szCs w:val="24"/>
          <w:highlight w:val="white"/>
        </w:rPr>
        <w:t xml:space="preserve"> dan </w:t>
      </w:r>
      <w:proofErr w:type="spellStart"/>
      <w:r>
        <w:rPr>
          <w:rFonts w:ascii="Times New Roman" w:eastAsia="Times New Roman" w:hAnsi="Times New Roman" w:cs="Times New Roman"/>
          <w:color w:val="000000"/>
          <w:sz w:val="24"/>
          <w:szCs w:val="24"/>
          <w:highlight w:val="white"/>
        </w:rPr>
        <w:t>plaintif</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haruslah</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dihalang</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daripada</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membangkitkan</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semula</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perkara</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sama</w:t>
      </w:r>
      <w:proofErr w:type="spellEnd"/>
      <w:r>
        <w:rPr>
          <w:rFonts w:ascii="Times New Roman" w:eastAsia="Times New Roman" w:hAnsi="Times New Roman" w:cs="Times New Roman"/>
          <w:color w:val="000000"/>
          <w:sz w:val="24"/>
          <w:szCs w:val="24"/>
          <w:highlight w:val="white"/>
        </w:rPr>
        <w:t xml:space="preserve"> yang </w:t>
      </w:r>
      <w:proofErr w:type="spellStart"/>
      <w:r>
        <w:rPr>
          <w:rFonts w:ascii="Times New Roman" w:eastAsia="Times New Roman" w:hAnsi="Times New Roman" w:cs="Times New Roman"/>
          <w:color w:val="000000"/>
          <w:sz w:val="24"/>
          <w:szCs w:val="24"/>
          <w:highlight w:val="white"/>
        </w:rPr>
        <w:t>telah</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dihakimi</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akhirnya</w:t>
      </w:r>
      <w:proofErr w:type="spellEnd"/>
      <w:r>
        <w:rPr>
          <w:rFonts w:ascii="Times New Roman" w:eastAsia="Times New Roman" w:hAnsi="Times New Roman" w:cs="Times New Roman"/>
          <w:color w:val="000000"/>
          <w:sz w:val="24"/>
          <w:szCs w:val="24"/>
          <w:highlight w:val="white"/>
        </w:rPr>
        <w:t xml:space="preserve"> oleh </w:t>
      </w:r>
      <w:proofErr w:type="spellStart"/>
      <w:r>
        <w:rPr>
          <w:rFonts w:ascii="Times New Roman" w:eastAsia="Times New Roman" w:hAnsi="Times New Roman" w:cs="Times New Roman"/>
          <w:color w:val="000000"/>
          <w:sz w:val="24"/>
          <w:szCs w:val="24"/>
          <w:highlight w:val="white"/>
        </w:rPr>
        <w:t>Mahkamah</w:t>
      </w:r>
      <w:proofErr w:type="spellEnd"/>
      <w:r>
        <w:rPr>
          <w:rFonts w:ascii="Times New Roman" w:eastAsia="Times New Roman" w:hAnsi="Times New Roman" w:cs="Times New Roman"/>
          <w:color w:val="000000"/>
          <w:sz w:val="24"/>
          <w:szCs w:val="24"/>
          <w:highlight w:val="white"/>
        </w:rPr>
        <w:t xml:space="preserve"> Persekutuan dan </w:t>
      </w:r>
      <w:proofErr w:type="spellStart"/>
      <w:r>
        <w:rPr>
          <w:rFonts w:ascii="Times New Roman" w:eastAsia="Times New Roman" w:hAnsi="Times New Roman" w:cs="Times New Roman"/>
          <w:color w:val="000000"/>
          <w:sz w:val="24"/>
          <w:szCs w:val="24"/>
          <w:highlight w:val="white"/>
        </w:rPr>
        <w:t>Mahkamah</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Rayuan</w:t>
      </w:r>
      <w:proofErr w:type="spellEnd"/>
      <w:r>
        <w:rPr>
          <w:rFonts w:ascii="Times New Roman" w:eastAsia="Times New Roman" w:hAnsi="Times New Roman" w:cs="Times New Roman"/>
          <w:color w:val="000000"/>
          <w:sz w:val="24"/>
          <w:szCs w:val="24"/>
          <w:highlight w:val="white"/>
        </w:rPr>
        <w:t xml:space="preserve">. </w:t>
      </w:r>
    </w:p>
    <w:p w14:paraId="000000C7" w14:textId="77777777" w:rsidR="00E97409" w:rsidRDefault="00E97409" w:rsidP="00690802">
      <w:pPr>
        <w:pBdr>
          <w:top w:val="nil"/>
          <w:left w:val="nil"/>
          <w:bottom w:val="nil"/>
          <w:right w:val="nil"/>
          <w:between w:val="nil"/>
        </w:pBdr>
        <w:spacing w:after="0" w:line="240" w:lineRule="auto"/>
        <w:ind w:left="567" w:hanging="567"/>
        <w:jc w:val="both"/>
        <w:rPr>
          <w:rFonts w:ascii="Times New Roman" w:eastAsia="Times New Roman" w:hAnsi="Times New Roman" w:cs="Times New Roman"/>
          <w:color w:val="000000"/>
          <w:sz w:val="24"/>
          <w:szCs w:val="24"/>
          <w:highlight w:val="white"/>
        </w:rPr>
      </w:pPr>
    </w:p>
    <w:p w14:paraId="000000C9" w14:textId="299FD301" w:rsidR="00E97409" w:rsidRPr="00690802" w:rsidRDefault="007741DD" w:rsidP="00690802">
      <w:pPr>
        <w:numPr>
          <w:ilvl w:val="0"/>
          <w:numId w:val="4"/>
        </w:numPr>
        <w:pBdr>
          <w:top w:val="nil"/>
          <w:left w:val="nil"/>
          <w:bottom w:val="nil"/>
          <w:right w:val="nil"/>
          <w:between w:val="nil"/>
        </w:pBdr>
        <w:spacing w:after="0" w:line="240" w:lineRule="auto"/>
        <w:ind w:left="567" w:hanging="567"/>
        <w:jc w:val="both"/>
        <w:rPr>
          <w:rFonts w:ascii="Times New Roman" w:eastAsia="Times New Roman" w:hAnsi="Times New Roman" w:cs="Times New Roman"/>
          <w:color w:val="000000"/>
          <w:sz w:val="24"/>
          <w:szCs w:val="24"/>
          <w:highlight w:val="white"/>
        </w:rPr>
      </w:pPr>
      <w:bookmarkStart w:id="20" w:name="_heading=h.lnxbz9" w:colFirst="0" w:colLast="0"/>
      <w:bookmarkEnd w:id="20"/>
      <w:proofErr w:type="spellStart"/>
      <w:r>
        <w:rPr>
          <w:rFonts w:ascii="Times New Roman" w:eastAsia="Times New Roman" w:hAnsi="Times New Roman" w:cs="Times New Roman"/>
          <w:b/>
          <w:color w:val="000000"/>
          <w:sz w:val="24"/>
          <w:szCs w:val="24"/>
          <w:highlight w:val="white"/>
        </w:rPr>
        <w:t>Tujuan</w:t>
      </w:r>
      <w:proofErr w:type="spellEnd"/>
      <w:r>
        <w:rPr>
          <w:rFonts w:ascii="Times New Roman" w:eastAsia="Times New Roman" w:hAnsi="Times New Roman" w:cs="Times New Roman"/>
          <w:b/>
          <w:color w:val="000000"/>
          <w:sz w:val="24"/>
          <w:szCs w:val="24"/>
          <w:highlight w:val="white"/>
        </w:rPr>
        <w:t xml:space="preserve"> </w:t>
      </w:r>
      <w:proofErr w:type="spellStart"/>
      <w:r>
        <w:rPr>
          <w:rFonts w:ascii="Times New Roman" w:eastAsia="Times New Roman" w:hAnsi="Times New Roman" w:cs="Times New Roman"/>
          <w:b/>
          <w:color w:val="000000"/>
          <w:sz w:val="24"/>
          <w:szCs w:val="24"/>
          <w:highlight w:val="white"/>
        </w:rPr>
        <w:t>sampingan</w:t>
      </w:r>
      <w:proofErr w:type="spellEnd"/>
      <w:r>
        <w:rPr>
          <w:rFonts w:ascii="Times New Roman" w:eastAsia="Times New Roman" w:hAnsi="Times New Roman" w:cs="Times New Roman"/>
          <w:color w:val="000000"/>
          <w:sz w:val="24"/>
          <w:szCs w:val="24"/>
          <w:highlight w:val="white"/>
        </w:rPr>
        <w:t xml:space="preserve"> </w:t>
      </w:r>
      <w:r>
        <w:rPr>
          <w:rFonts w:ascii="Times New Roman" w:eastAsia="Times New Roman" w:hAnsi="Times New Roman" w:cs="Times New Roman"/>
          <w:b/>
          <w:color w:val="000000"/>
          <w:sz w:val="24"/>
          <w:szCs w:val="24"/>
          <w:highlight w:val="white"/>
        </w:rPr>
        <w:t>(</w:t>
      </w:r>
      <w:r>
        <w:rPr>
          <w:rFonts w:ascii="Times New Roman" w:eastAsia="Times New Roman" w:hAnsi="Times New Roman" w:cs="Times New Roman"/>
          <w:b/>
          <w:sz w:val="24"/>
          <w:szCs w:val="24"/>
          <w:highlight w:val="white"/>
        </w:rPr>
        <w:t>‘</w:t>
      </w:r>
      <w:r>
        <w:rPr>
          <w:rFonts w:ascii="Times New Roman" w:eastAsia="Times New Roman" w:hAnsi="Times New Roman" w:cs="Times New Roman"/>
          <w:b/>
          <w:color w:val="000000"/>
          <w:sz w:val="24"/>
          <w:szCs w:val="24"/>
          <w:highlight w:val="white"/>
        </w:rPr>
        <w:t>Improper purposes</w:t>
      </w:r>
      <w:r>
        <w:rPr>
          <w:rFonts w:ascii="Times New Roman" w:eastAsia="Times New Roman" w:hAnsi="Times New Roman" w:cs="Times New Roman"/>
          <w:b/>
          <w:sz w:val="24"/>
          <w:szCs w:val="24"/>
          <w:highlight w:val="white"/>
        </w:rPr>
        <w:t>’</w:t>
      </w:r>
      <w:r>
        <w:rPr>
          <w:rFonts w:ascii="Times New Roman" w:eastAsia="Times New Roman" w:hAnsi="Times New Roman" w:cs="Times New Roman"/>
          <w:b/>
          <w:color w:val="000000"/>
          <w:sz w:val="24"/>
          <w:szCs w:val="24"/>
          <w:highlight w:val="white"/>
        </w:rPr>
        <w:t>)</w:t>
      </w:r>
      <w:r>
        <w:rPr>
          <w:rFonts w:ascii="Times New Roman" w:eastAsia="Times New Roman" w:hAnsi="Times New Roman" w:cs="Times New Roman"/>
          <w:color w:val="000000"/>
          <w:sz w:val="24"/>
          <w:szCs w:val="24"/>
          <w:highlight w:val="white"/>
        </w:rPr>
        <w:t xml:space="preserve"> – </w:t>
      </w:r>
      <w:proofErr w:type="spellStart"/>
      <w:r>
        <w:rPr>
          <w:rFonts w:ascii="Times New Roman" w:eastAsia="Times New Roman" w:hAnsi="Times New Roman" w:cs="Times New Roman"/>
          <w:color w:val="000000"/>
          <w:sz w:val="24"/>
          <w:szCs w:val="24"/>
          <w:highlight w:val="white"/>
        </w:rPr>
        <w:t>Pengeluaran</w:t>
      </w:r>
      <w:proofErr w:type="spellEnd"/>
      <w:r>
        <w:rPr>
          <w:rFonts w:ascii="Times New Roman" w:eastAsia="Times New Roman" w:hAnsi="Times New Roman" w:cs="Times New Roman"/>
          <w:color w:val="000000"/>
          <w:sz w:val="24"/>
          <w:szCs w:val="24"/>
          <w:highlight w:val="white"/>
        </w:rPr>
        <w:t xml:space="preserve"> writ dan </w:t>
      </w:r>
      <w:proofErr w:type="spellStart"/>
      <w:r>
        <w:rPr>
          <w:rFonts w:ascii="Times New Roman" w:eastAsia="Times New Roman" w:hAnsi="Times New Roman" w:cs="Times New Roman"/>
          <w:color w:val="000000"/>
          <w:sz w:val="24"/>
          <w:szCs w:val="24"/>
          <w:highlight w:val="white"/>
        </w:rPr>
        <w:t>pernyataan</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tuntutan</w:t>
      </w:r>
      <w:proofErr w:type="spellEnd"/>
      <w:r>
        <w:rPr>
          <w:rFonts w:ascii="Times New Roman" w:eastAsia="Times New Roman" w:hAnsi="Times New Roman" w:cs="Times New Roman"/>
          <w:color w:val="000000"/>
          <w:sz w:val="24"/>
          <w:szCs w:val="24"/>
          <w:highlight w:val="white"/>
        </w:rPr>
        <w:t xml:space="preserve"> yang </w:t>
      </w:r>
      <w:proofErr w:type="spellStart"/>
      <w:r>
        <w:rPr>
          <w:rFonts w:ascii="Times New Roman" w:eastAsia="Times New Roman" w:hAnsi="Times New Roman" w:cs="Times New Roman"/>
          <w:color w:val="000000"/>
          <w:sz w:val="24"/>
          <w:szCs w:val="24"/>
          <w:highlight w:val="white"/>
        </w:rPr>
        <w:t>tidak</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berasas</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atau</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dalam</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keadaan</w:t>
      </w:r>
      <w:proofErr w:type="spellEnd"/>
      <w:r>
        <w:rPr>
          <w:rFonts w:ascii="Times New Roman" w:eastAsia="Times New Roman" w:hAnsi="Times New Roman" w:cs="Times New Roman"/>
          <w:color w:val="000000"/>
          <w:sz w:val="24"/>
          <w:szCs w:val="24"/>
          <w:highlight w:val="white"/>
        </w:rPr>
        <w:t xml:space="preserve"> di mana </w:t>
      </w:r>
      <w:proofErr w:type="spellStart"/>
      <w:r>
        <w:rPr>
          <w:rFonts w:ascii="Times New Roman" w:eastAsia="Times New Roman" w:hAnsi="Times New Roman" w:cs="Times New Roman"/>
          <w:color w:val="000000"/>
          <w:sz w:val="24"/>
          <w:szCs w:val="24"/>
          <w:highlight w:val="white"/>
        </w:rPr>
        <w:t>plaintif</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tidak</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mengetahui</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sebarang</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fakta</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untuk</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disokong</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hujahannya</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adalah</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sz w:val="24"/>
          <w:szCs w:val="24"/>
          <w:highlight w:val="white"/>
        </w:rPr>
        <w:t>penyalahgunaan</w:t>
      </w:r>
      <w:proofErr w:type="spellEnd"/>
      <w:r>
        <w:rPr>
          <w:rFonts w:ascii="Times New Roman" w:eastAsia="Times New Roman" w:hAnsi="Times New Roman" w:cs="Times New Roman"/>
          <w:color w:val="000000"/>
          <w:sz w:val="24"/>
          <w:szCs w:val="24"/>
          <w:highlight w:val="white"/>
        </w:rPr>
        <w:t xml:space="preserve"> proses </w:t>
      </w:r>
      <w:proofErr w:type="spellStart"/>
      <w:r>
        <w:rPr>
          <w:rFonts w:ascii="Times New Roman" w:eastAsia="Times New Roman" w:hAnsi="Times New Roman" w:cs="Times New Roman"/>
          <w:color w:val="000000"/>
          <w:sz w:val="24"/>
          <w:szCs w:val="24"/>
          <w:highlight w:val="white"/>
        </w:rPr>
        <w:t>mahkamah</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seperti</w:t>
      </w:r>
      <w:proofErr w:type="spellEnd"/>
      <w:r>
        <w:rPr>
          <w:rFonts w:ascii="Times New Roman" w:eastAsia="Times New Roman" w:hAnsi="Times New Roman" w:cs="Times New Roman"/>
          <w:color w:val="000000"/>
          <w:sz w:val="24"/>
          <w:szCs w:val="24"/>
          <w:highlight w:val="white"/>
        </w:rPr>
        <w:t xml:space="preserve"> yang </w:t>
      </w:r>
      <w:proofErr w:type="spellStart"/>
      <w:r>
        <w:rPr>
          <w:rFonts w:ascii="Times New Roman" w:eastAsia="Times New Roman" w:hAnsi="Times New Roman" w:cs="Times New Roman"/>
          <w:color w:val="000000"/>
          <w:sz w:val="24"/>
          <w:szCs w:val="24"/>
          <w:highlight w:val="white"/>
        </w:rPr>
        <w:t>diputuskan</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dalam</w:t>
      </w:r>
      <w:proofErr w:type="spellEnd"/>
      <w:r>
        <w:rPr>
          <w:rFonts w:ascii="Times New Roman" w:eastAsia="Times New Roman" w:hAnsi="Times New Roman" w:cs="Times New Roman"/>
          <w:color w:val="000000"/>
          <w:sz w:val="24"/>
          <w:szCs w:val="24"/>
          <w:highlight w:val="white"/>
        </w:rPr>
        <w:t xml:space="preserve"> </w:t>
      </w:r>
      <w:r>
        <w:rPr>
          <w:rFonts w:ascii="Times New Roman" w:eastAsia="Times New Roman" w:hAnsi="Times New Roman" w:cs="Times New Roman"/>
          <w:b/>
          <w:i/>
          <w:color w:val="000000"/>
          <w:sz w:val="24"/>
          <w:szCs w:val="24"/>
          <w:highlight w:val="white"/>
        </w:rPr>
        <w:t>Steamship Mutual Undertaking Association Ltd v Trollope and Colls (City) Ltd</w:t>
      </w:r>
      <w:r>
        <w:rPr>
          <w:rFonts w:ascii="Times New Roman" w:eastAsia="Times New Roman" w:hAnsi="Times New Roman" w:cs="Times New Roman"/>
          <w:color w:val="000000"/>
          <w:sz w:val="24"/>
          <w:szCs w:val="24"/>
          <w:highlight w:val="white"/>
          <w:vertAlign w:val="superscript"/>
        </w:rPr>
        <w:footnoteReference w:id="64"/>
      </w:r>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Prinsip</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ini</w:t>
      </w:r>
      <w:proofErr w:type="spellEnd"/>
      <w:r>
        <w:rPr>
          <w:rFonts w:ascii="Times New Roman" w:eastAsia="Times New Roman" w:hAnsi="Times New Roman" w:cs="Times New Roman"/>
          <w:color w:val="000000"/>
          <w:sz w:val="24"/>
          <w:szCs w:val="24"/>
          <w:highlight w:val="white"/>
        </w:rPr>
        <w:t xml:space="preserve"> juga </w:t>
      </w:r>
      <w:proofErr w:type="spellStart"/>
      <w:r>
        <w:rPr>
          <w:rFonts w:ascii="Times New Roman" w:eastAsia="Times New Roman" w:hAnsi="Times New Roman" w:cs="Times New Roman"/>
          <w:color w:val="000000"/>
          <w:sz w:val="24"/>
          <w:szCs w:val="24"/>
          <w:highlight w:val="white"/>
        </w:rPr>
        <w:t>telah</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diikuti</w:t>
      </w:r>
      <w:proofErr w:type="spellEnd"/>
      <w:r>
        <w:rPr>
          <w:rFonts w:ascii="Times New Roman" w:eastAsia="Times New Roman" w:hAnsi="Times New Roman" w:cs="Times New Roman"/>
          <w:color w:val="000000"/>
          <w:sz w:val="24"/>
          <w:szCs w:val="24"/>
          <w:highlight w:val="white"/>
        </w:rPr>
        <w:t xml:space="preserve"> oleh Malaysia </w:t>
      </w:r>
      <w:proofErr w:type="spellStart"/>
      <w:r>
        <w:rPr>
          <w:rFonts w:ascii="Times New Roman" w:eastAsia="Times New Roman" w:hAnsi="Times New Roman" w:cs="Times New Roman"/>
          <w:color w:val="000000"/>
          <w:sz w:val="24"/>
          <w:szCs w:val="24"/>
          <w:highlight w:val="white"/>
        </w:rPr>
        <w:t>dalam</w:t>
      </w:r>
      <w:proofErr w:type="spellEnd"/>
      <w:r>
        <w:rPr>
          <w:rFonts w:ascii="Times New Roman" w:eastAsia="Times New Roman" w:hAnsi="Times New Roman" w:cs="Times New Roman"/>
          <w:b/>
          <w:color w:val="000000"/>
          <w:sz w:val="24"/>
          <w:szCs w:val="24"/>
          <w:highlight w:val="white"/>
        </w:rPr>
        <w:t xml:space="preserve"> </w:t>
      </w:r>
      <w:r>
        <w:rPr>
          <w:rFonts w:ascii="Times New Roman" w:eastAsia="Times New Roman" w:hAnsi="Times New Roman" w:cs="Times New Roman"/>
          <w:b/>
          <w:i/>
          <w:color w:val="000000"/>
          <w:sz w:val="24"/>
          <w:szCs w:val="24"/>
          <w:highlight w:val="white"/>
        </w:rPr>
        <w:t>Ng Kian Chong v Saw Seng Kee</w:t>
      </w:r>
      <w:r>
        <w:rPr>
          <w:rFonts w:ascii="Times New Roman" w:eastAsia="Times New Roman" w:hAnsi="Times New Roman" w:cs="Times New Roman"/>
          <w:color w:val="000000"/>
          <w:sz w:val="24"/>
          <w:szCs w:val="24"/>
          <w:highlight w:val="white"/>
          <w:vertAlign w:val="superscript"/>
        </w:rPr>
        <w:footnoteReference w:id="65"/>
      </w:r>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Sekiranya</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sebuah</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tuntutan</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tidak</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dibawa</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dengan</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niat</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baik</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untuk</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tujuan</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mendapatkan</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relif</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tetapi</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untuk</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tujuan</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sampingan</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mahkamah</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boleh</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menolak</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tuntutan</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atas</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alasan</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penyalahgunaan</w:t>
      </w:r>
      <w:proofErr w:type="spellEnd"/>
      <w:r>
        <w:rPr>
          <w:rFonts w:ascii="Times New Roman" w:eastAsia="Times New Roman" w:hAnsi="Times New Roman" w:cs="Times New Roman"/>
          <w:color w:val="000000"/>
          <w:sz w:val="24"/>
          <w:szCs w:val="24"/>
          <w:highlight w:val="white"/>
        </w:rPr>
        <w:t xml:space="preserve"> proses </w:t>
      </w:r>
      <w:proofErr w:type="spellStart"/>
      <w:r>
        <w:rPr>
          <w:rFonts w:ascii="Times New Roman" w:eastAsia="Times New Roman" w:hAnsi="Times New Roman" w:cs="Times New Roman"/>
          <w:color w:val="000000"/>
          <w:sz w:val="24"/>
          <w:szCs w:val="24"/>
          <w:highlight w:val="white"/>
        </w:rPr>
        <w:t>mahkamah</w:t>
      </w:r>
      <w:proofErr w:type="spellEnd"/>
      <w:r>
        <w:rPr>
          <w:rFonts w:ascii="Times New Roman" w:eastAsia="Times New Roman" w:hAnsi="Times New Roman" w:cs="Times New Roman"/>
          <w:color w:val="000000"/>
          <w:sz w:val="24"/>
          <w:szCs w:val="24"/>
          <w:highlight w:val="white"/>
          <w:vertAlign w:val="superscript"/>
        </w:rPr>
        <w:footnoteReference w:id="66"/>
      </w:r>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Contohnya</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mahkamah</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telah</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sz w:val="24"/>
          <w:szCs w:val="24"/>
          <w:highlight w:val="white"/>
        </w:rPr>
        <w:t>menolak</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tuntutan</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dalam</w:t>
      </w:r>
      <w:proofErr w:type="spellEnd"/>
      <w:r>
        <w:rPr>
          <w:rFonts w:ascii="Times New Roman" w:eastAsia="Times New Roman" w:hAnsi="Times New Roman" w:cs="Times New Roman"/>
          <w:color w:val="000000"/>
          <w:sz w:val="24"/>
          <w:szCs w:val="24"/>
          <w:highlight w:val="white"/>
        </w:rPr>
        <w:t xml:space="preserve"> </w:t>
      </w:r>
      <w:r>
        <w:rPr>
          <w:rFonts w:ascii="Times New Roman" w:eastAsia="Times New Roman" w:hAnsi="Times New Roman" w:cs="Times New Roman"/>
          <w:b/>
          <w:i/>
          <w:color w:val="000000"/>
          <w:sz w:val="24"/>
          <w:szCs w:val="24"/>
          <w:highlight w:val="white"/>
        </w:rPr>
        <w:t xml:space="preserve">Ansa Teknik (M) </w:t>
      </w:r>
      <w:proofErr w:type="spellStart"/>
      <w:r>
        <w:rPr>
          <w:rFonts w:ascii="Times New Roman" w:eastAsia="Times New Roman" w:hAnsi="Times New Roman" w:cs="Times New Roman"/>
          <w:b/>
          <w:i/>
          <w:color w:val="000000"/>
          <w:sz w:val="24"/>
          <w:szCs w:val="24"/>
          <w:highlight w:val="white"/>
        </w:rPr>
        <w:t>Sdn</w:t>
      </w:r>
      <w:proofErr w:type="spellEnd"/>
      <w:r>
        <w:rPr>
          <w:rFonts w:ascii="Times New Roman" w:eastAsia="Times New Roman" w:hAnsi="Times New Roman" w:cs="Times New Roman"/>
          <w:b/>
          <w:i/>
          <w:color w:val="000000"/>
          <w:sz w:val="24"/>
          <w:szCs w:val="24"/>
          <w:highlight w:val="white"/>
        </w:rPr>
        <w:t xml:space="preserve"> </w:t>
      </w:r>
      <w:proofErr w:type="spellStart"/>
      <w:r>
        <w:rPr>
          <w:rFonts w:ascii="Times New Roman" w:eastAsia="Times New Roman" w:hAnsi="Times New Roman" w:cs="Times New Roman"/>
          <w:b/>
          <w:i/>
          <w:color w:val="000000"/>
          <w:sz w:val="24"/>
          <w:szCs w:val="24"/>
          <w:highlight w:val="white"/>
        </w:rPr>
        <w:t>Bhd</w:t>
      </w:r>
      <w:proofErr w:type="spellEnd"/>
      <w:r>
        <w:rPr>
          <w:rFonts w:ascii="Times New Roman" w:eastAsia="Times New Roman" w:hAnsi="Times New Roman" w:cs="Times New Roman"/>
          <w:b/>
          <w:i/>
          <w:color w:val="000000"/>
          <w:sz w:val="24"/>
          <w:szCs w:val="24"/>
          <w:highlight w:val="white"/>
        </w:rPr>
        <w:t xml:space="preserve"> v </w:t>
      </w:r>
      <w:proofErr w:type="spellStart"/>
      <w:r>
        <w:rPr>
          <w:rFonts w:ascii="Times New Roman" w:eastAsia="Times New Roman" w:hAnsi="Times New Roman" w:cs="Times New Roman"/>
          <w:b/>
          <w:i/>
          <w:color w:val="000000"/>
          <w:sz w:val="24"/>
          <w:szCs w:val="24"/>
          <w:highlight w:val="white"/>
        </w:rPr>
        <w:t>Cygal</w:t>
      </w:r>
      <w:proofErr w:type="spellEnd"/>
      <w:r>
        <w:rPr>
          <w:rFonts w:ascii="Times New Roman" w:eastAsia="Times New Roman" w:hAnsi="Times New Roman" w:cs="Times New Roman"/>
          <w:b/>
          <w:i/>
          <w:color w:val="000000"/>
          <w:sz w:val="24"/>
          <w:szCs w:val="24"/>
          <w:highlight w:val="white"/>
        </w:rPr>
        <w:t xml:space="preserve"> </w:t>
      </w:r>
      <w:proofErr w:type="spellStart"/>
      <w:r>
        <w:rPr>
          <w:rFonts w:ascii="Times New Roman" w:eastAsia="Times New Roman" w:hAnsi="Times New Roman" w:cs="Times New Roman"/>
          <w:b/>
          <w:i/>
          <w:color w:val="000000"/>
          <w:sz w:val="24"/>
          <w:szCs w:val="24"/>
          <w:highlight w:val="white"/>
        </w:rPr>
        <w:t>Sdn</w:t>
      </w:r>
      <w:proofErr w:type="spellEnd"/>
      <w:r>
        <w:rPr>
          <w:rFonts w:ascii="Times New Roman" w:eastAsia="Times New Roman" w:hAnsi="Times New Roman" w:cs="Times New Roman"/>
          <w:b/>
          <w:i/>
          <w:color w:val="000000"/>
          <w:sz w:val="24"/>
          <w:szCs w:val="24"/>
          <w:highlight w:val="white"/>
        </w:rPr>
        <w:t xml:space="preserve"> </w:t>
      </w:r>
      <w:proofErr w:type="spellStart"/>
      <w:r>
        <w:rPr>
          <w:rFonts w:ascii="Times New Roman" w:eastAsia="Times New Roman" w:hAnsi="Times New Roman" w:cs="Times New Roman"/>
          <w:b/>
          <w:i/>
          <w:color w:val="000000"/>
          <w:sz w:val="24"/>
          <w:szCs w:val="24"/>
          <w:highlight w:val="white"/>
        </w:rPr>
        <w:t>Bhd</w:t>
      </w:r>
      <w:proofErr w:type="spellEnd"/>
      <w:r>
        <w:rPr>
          <w:rFonts w:ascii="Times New Roman" w:eastAsia="Times New Roman" w:hAnsi="Times New Roman" w:cs="Times New Roman"/>
          <w:color w:val="000000"/>
          <w:sz w:val="24"/>
          <w:szCs w:val="24"/>
          <w:highlight w:val="white"/>
          <w:vertAlign w:val="superscript"/>
        </w:rPr>
        <w:footnoteReference w:id="67"/>
      </w:r>
      <w:r>
        <w:rPr>
          <w:rFonts w:ascii="Times New Roman" w:eastAsia="Times New Roman" w:hAnsi="Times New Roman" w:cs="Times New Roman"/>
          <w:color w:val="000000"/>
          <w:sz w:val="24"/>
          <w:szCs w:val="24"/>
          <w:highlight w:val="white"/>
          <w:vertAlign w:val="superscript"/>
        </w:rPr>
        <w:t xml:space="preserve"> </w:t>
      </w:r>
      <w:r>
        <w:rPr>
          <w:rFonts w:ascii="Times New Roman" w:eastAsia="Times New Roman" w:hAnsi="Times New Roman" w:cs="Times New Roman"/>
          <w:color w:val="000000"/>
          <w:sz w:val="24"/>
          <w:szCs w:val="24"/>
          <w:highlight w:val="white"/>
        </w:rPr>
        <w:t xml:space="preserve">kerana </w:t>
      </w:r>
      <w:proofErr w:type="spellStart"/>
      <w:r>
        <w:rPr>
          <w:rFonts w:ascii="Times New Roman" w:eastAsia="Times New Roman" w:hAnsi="Times New Roman" w:cs="Times New Roman"/>
          <w:color w:val="000000"/>
          <w:sz w:val="24"/>
          <w:szCs w:val="24"/>
          <w:highlight w:val="white"/>
        </w:rPr>
        <w:t>mendapati</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niat</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untuk</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memalukan</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defendan</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Penyalahgunaan</w:t>
      </w:r>
      <w:proofErr w:type="spellEnd"/>
      <w:r>
        <w:rPr>
          <w:rFonts w:ascii="Times New Roman" w:eastAsia="Times New Roman" w:hAnsi="Times New Roman" w:cs="Times New Roman"/>
          <w:color w:val="000000"/>
          <w:sz w:val="24"/>
          <w:szCs w:val="24"/>
          <w:highlight w:val="white"/>
        </w:rPr>
        <w:t xml:space="preserve"> proses </w:t>
      </w:r>
      <w:proofErr w:type="spellStart"/>
      <w:r>
        <w:rPr>
          <w:rFonts w:ascii="Times New Roman" w:eastAsia="Times New Roman" w:hAnsi="Times New Roman" w:cs="Times New Roman"/>
          <w:color w:val="000000"/>
          <w:sz w:val="24"/>
          <w:szCs w:val="24"/>
          <w:highlight w:val="white"/>
        </w:rPr>
        <w:t>mahkamah</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dengan</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memalukan</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defendan</w:t>
      </w:r>
      <w:proofErr w:type="spellEnd"/>
      <w:r>
        <w:rPr>
          <w:rFonts w:ascii="Times New Roman" w:eastAsia="Times New Roman" w:hAnsi="Times New Roman" w:cs="Times New Roman"/>
          <w:color w:val="000000"/>
          <w:sz w:val="24"/>
          <w:szCs w:val="24"/>
          <w:highlight w:val="white"/>
        </w:rPr>
        <w:t xml:space="preserve"> juga </w:t>
      </w:r>
      <w:proofErr w:type="spellStart"/>
      <w:r>
        <w:rPr>
          <w:rFonts w:ascii="Times New Roman" w:eastAsia="Times New Roman" w:hAnsi="Times New Roman" w:cs="Times New Roman"/>
          <w:color w:val="000000"/>
          <w:sz w:val="24"/>
          <w:szCs w:val="24"/>
          <w:highlight w:val="white"/>
        </w:rPr>
        <w:t>dapat</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dilihat</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dalam</w:t>
      </w:r>
      <w:proofErr w:type="spellEnd"/>
      <w:r>
        <w:rPr>
          <w:rFonts w:ascii="Times New Roman" w:eastAsia="Times New Roman" w:hAnsi="Times New Roman" w:cs="Times New Roman"/>
          <w:color w:val="000000"/>
          <w:sz w:val="24"/>
          <w:szCs w:val="24"/>
          <w:highlight w:val="white"/>
        </w:rPr>
        <w:t xml:space="preserve"> </w:t>
      </w:r>
      <w:r>
        <w:rPr>
          <w:rFonts w:ascii="Times New Roman" w:eastAsia="Times New Roman" w:hAnsi="Times New Roman" w:cs="Times New Roman"/>
          <w:b/>
          <w:i/>
          <w:color w:val="000000"/>
          <w:sz w:val="24"/>
          <w:szCs w:val="24"/>
          <w:highlight w:val="white"/>
        </w:rPr>
        <w:t xml:space="preserve">Sivakumar a/l </w:t>
      </w:r>
      <w:proofErr w:type="spellStart"/>
      <w:r>
        <w:rPr>
          <w:rFonts w:ascii="Times New Roman" w:eastAsia="Times New Roman" w:hAnsi="Times New Roman" w:cs="Times New Roman"/>
          <w:b/>
          <w:i/>
          <w:color w:val="000000"/>
          <w:sz w:val="24"/>
          <w:szCs w:val="24"/>
          <w:highlight w:val="white"/>
        </w:rPr>
        <w:t>Varatharaju</w:t>
      </w:r>
      <w:proofErr w:type="spellEnd"/>
      <w:r>
        <w:rPr>
          <w:rFonts w:ascii="Times New Roman" w:eastAsia="Times New Roman" w:hAnsi="Times New Roman" w:cs="Times New Roman"/>
          <w:b/>
          <w:i/>
          <w:color w:val="000000"/>
          <w:sz w:val="24"/>
          <w:szCs w:val="24"/>
          <w:highlight w:val="white"/>
        </w:rPr>
        <w:t xml:space="preserve"> Naidu v Ganesan a/l </w:t>
      </w:r>
      <w:proofErr w:type="spellStart"/>
      <w:r>
        <w:rPr>
          <w:rFonts w:ascii="Times New Roman" w:eastAsia="Times New Roman" w:hAnsi="Times New Roman" w:cs="Times New Roman"/>
          <w:b/>
          <w:i/>
          <w:color w:val="000000"/>
          <w:sz w:val="24"/>
          <w:szCs w:val="24"/>
          <w:highlight w:val="white"/>
        </w:rPr>
        <w:t>Retanam</w:t>
      </w:r>
      <w:proofErr w:type="spellEnd"/>
      <w:r>
        <w:rPr>
          <w:rFonts w:ascii="Times New Roman" w:eastAsia="Times New Roman" w:hAnsi="Times New Roman" w:cs="Times New Roman"/>
          <w:color w:val="000000"/>
          <w:sz w:val="24"/>
          <w:szCs w:val="24"/>
          <w:highlight w:val="white"/>
          <w:vertAlign w:val="superscript"/>
        </w:rPr>
        <w:footnoteReference w:id="68"/>
      </w:r>
      <w:r>
        <w:rPr>
          <w:rFonts w:ascii="Times New Roman" w:eastAsia="Times New Roman" w:hAnsi="Times New Roman" w:cs="Times New Roman"/>
          <w:color w:val="000000"/>
          <w:sz w:val="24"/>
          <w:szCs w:val="24"/>
          <w:highlight w:val="white"/>
          <w:vertAlign w:val="superscript"/>
        </w:rPr>
        <w:t xml:space="preserve"> </w:t>
      </w:r>
      <w:r>
        <w:rPr>
          <w:rFonts w:ascii="Times New Roman" w:eastAsia="Times New Roman" w:hAnsi="Times New Roman" w:cs="Times New Roman"/>
          <w:color w:val="000000"/>
          <w:sz w:val="24"/>
          <w:szCs w:val="24"/>
          <w:highlight w:val="white"/>
        </w:rPr>
        <w:t xml:space="preserve">di mana </w:t>
      </w:r>
      <w:proofErr w:type="spellStart"/>
      <w:r>
        <w:rPr>
          <w:rFonts w:ascii="Times New Roman" w:eastAsia="Times New Roman" w:hAnsi="Times New Roman" w:cs="Times New Roman"/>
          <w:color w:val="000000"/>
          <w:sz w:val="24"/>
          <w:szCs w:val="24"/>
          <w:highlight w:val="white"/>
        </w:rPr>
        <w:t>pernyataan</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tuntutan</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mempunyai</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butiran-butiran</w:t>
      </w:r>
      <w:proofErr w:type="spellEnd"/>
      <w:r>
        <w:rPr>
          <w:rFonts w:ascii="Times New Roman" w:eastAsia="Times New Roman" w:hAnsi="Times New Roman" w:cs="Times New Roman"/>
          <w:color w:val="000000"/>
          <w:sz w:val="24"/>
          <w:szCs w:val="24"/>
          <w:highlight w:val="white"/>
        </w:rPr>
        <w:t xml:space="preserve"> yang </w:t>
      </w:r>
      <w:proofErr w:type="spellStart"/>
      <w:r>
        <w:rPr>
          <w:rFonts w:ascii="Times New Roman" w:eastAsia="Times New Roman" w:hAnsi="Times New Roman" w:cs="Times New Roman"/>
          <w:color w:val="000000"/>
          <w:sz w:val="24"/>
          <w:szCs w:val="24"/>
          <w:highlight w:val="white"/>
        </w:rPr>
        <w:t>memalukan</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defendan</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tersebut</w:t>
      </w:r>
      <w:proofErr w:type="spellEnd"/>
      <w:r>
        <w:rPr>
          <w:rFonts w:ascii="Times New Roman" w:eastAsia="Times New Roman" w:hAnsi="Times New Roman" w:cs="Times New Roman"/>
          <w:color w:val="000000"/>
          <w:sz w:val="24"/>
          <w:szCs w:val="24"/>
          <w:highlight w:val="white"/>
        </w:rPr>
        <w:t xml:space="preserve">. KKM </w:t>
      </w:r>
      <w:proofErr w:type="spellStart"/>
      <w:r>
        <w:rPr>
          <w:rFonts w:ascii="Times New Roman" w:eastAsia="Times New Roman" w:hAnsi="Times New Roman" w:cs="Times New Roman"/>
          <w:color w:val="000000"/>
          <w:sz w:val="24"/>
          <w:szCs w:val="24"/>
          <w:highlight w:val="white"/>
        </w:rPr>
        <w:t>atau</w:t>
      </w:r>
      <w:proofErr w:type="spellEnd"/>
      <w:r>
        <w:rPr>
          <w:rFonts w:ascii="Times New Roman" w:eastAsia="Times New Roman" w:hAnsi="Times New Roman" w:cs="Times New Roman"/>
          <w:color w:val="000000"/>
          <w:sz w:val="24"/>
          <w:szCs w:val="24"/>
          <w:highlight w:val="white"/>
        </w:rPr>
        <w:t xml:space="preserve"> CPR </w:t>
      </w:r>
      <w:proofErr w:type="spellStart"/>
      <w:r>
        <w:rPr>
          <w:rFonts w:ascii="Times New Roman" w:eastAsia="Times New Roman" w:hAnsi="Times New Roman" w:cs="Times New Roman"/>
          <w:color w:val="000000"/>
          <w:sz w:val="24"/>
          <w:szCs w:val="24"/>
          <w:highlight w:val="white"/>
        </w:rPr>
        <w:t>tidak</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menggariskan</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unsur-unsur</w:t>
      </w:r>
      <w:proofErr w:type="spellEnd"/>
      <w:r>
        <w:rPr>
          <w:rFonts w:ascii="Times New Roman" w:eastAsia="Times New Roman" w:hAnsi="Times New Roman" w:cs="Times New Roman"/>
          <w:color w:val="000000"/>
          <w:sz w:val="24"/>
          <w:szCs w:val="24"/>
          <w:highlight w:val="white"/>
        </w:rPr>
        <w:t xml:space="preserve"> tort </w:t>
      </w:r>
      <w:proofErr w:type="spellStart"/>
      <w:r>
        <w:rPr>
          <w:rFonts w:ascii="Times New Roman" w:eastAsia="Times New Roman" w:hAnsi="Times New Roman" w:cs="Times New Roman"/>
          <w:color w:val="000000"/>
          <w:sz w:val="24"/>
          <w:szCs w:val="24"/>
          <w:highlight w:val="white"/>
        </w:rPr>
        <w:t>perihal</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penyalahgunaan</w:t>
      </w:r>
      <w:proofErr w:type="spellEnd"/>
      <w:r>
        <w:rPr>
          <w:rFonts w:ascii="Times New Roman" w:eastAsia="Times New Roman" w:hAnsi="Times New Roman" w:cs="Times New Roman"/>
          <w:color w:val="000000"/>
          <w:sz w:val="24"/>
          <w:szCs w:val="24"/>
          <w:highlight w:val="white"/>
        </w:rPr>
        <w:t xml:space="preserve"> proses </w:t>
      </w:r>
      <w:proofErr w:type="spellStart"/>
      <w:r>
        <w:rPr>
          <w:rFonts w:ascii="Times New Roman" w:eastAsia="Times New Roman" w:hAnsi="Times New Roman" w:cs="Times New Roman"/>
          <w:color w:val="000000"/>
          <w:sz w:val="24"/>
          <w:szCs w:val="24"/>
          <w:highlight w:val="white"/>
        </w:rPr>
        <w:t>bersampingan</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Namun</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demikian</w:t>
      </w:r>
      <w:proofErr w:type="spellEnd"/>
      <w:r>
        <w:rPr>
          <w:rFonts w:ascii="Times New Roman" w:eastAsia="Times New Roman" w:hAnsi="Times New Roman" w:cs="Times New Roman"/>
          <w:color w:val="000000"/>
          <w:sz w:val="24"/>
          <w:szCs w:val="24"/>
          <w:highlight w:val="white"/>
        </w:rPr>
        <w:t xml:space="preserve">, Gopal Sri Ram </w:t>
      </w:r>
      <w:proofErr w:type="spellStart"/>
      <w:r>
        <w:rPr>
          <w:rFonts w:ascii="Times New Roman" w:eastAsia="Times New Roman" w:hAnsi="Times New Roman" w:cs="Times New Roman"/>
          <w:color w:val="000000"/>
          <w:sz w:val="24"/>
          <w:szCs w:val="24"/>
          <w:highlight w:val="white"/>
        </w:rPr>
        <w:t>dalam</w:t>
      </w:r>
      <w:proofErr w:type="spellEnd"/>
      <w:r>
        <w:rPr>
          <w:rFonts w:ascii="Times New Roman" w:eastAsia="Times New Roman" w:hAnsi="Times New Roman" w:cs="Times New Roman"/>
          <w:color w:val="000000"/>
          <w:sz w:val="24"/>
          <w:szCs w:val="24"/>
          <w:highlight w:val="white"/>
        </w:rPr>
        <w:t xml:space="preserve"> </w:t>
      </w:r>
      <w:r>
        <w:rPr>
          <w:rFonts w:ascii="Times New Roman" w:eastAsia="Times New Roman" w:hAnsi="Times New Roman" w:cs="Times New Roman"/>
          <w:b/>
          <w:i/>
          <w:color w:val="000000"/>
          <w:sz w:val="24"/>
          <w:szCs w:val="24"/>
          <w:highlight w:val="white"/>
        </w:rPr>
        <w:t xml:space="preserve">Malaysia Building Society </w:t>
      </w:r>
      <w:proofErr w:type="spellStart"/>
      <w:r>
        <w:rPr>
          <w:rFonts w:ascii="Times New Roman" w:eastAsia="Times New Roman" w:hAnsi="Times New Roman" w:cs="Times New Roman"/>
          <w:b/>
          <w:i/>
          <w:color w:val="000000"/>
          <w:sz w:val="24"/>
          <w:szCs w:val="24"/>
          <w:highlight w:val="white"/>
        </w:rPr>
        <w:t>Berhad</w:t>
      </w:r>
      <w:proofErr w:type="spellEnd"/>
      <w:r>
        <w:rPr>
          <w:rFonts w:ascii="Times New Roman" w:eastAsia="Times New Roman" w:hAnsi="Times New Roman" w:cs="Times New Roman"/>
          <w:b/>
          <w:i/>
          <w:color w:val="000000"/>
          <w:sz w:val="24"/>
          <w:szCs w:val="24"/>
          <w:highlight w:val="white"/>
        </w:rPr>
        <w:t xml:space="preserve"> v Tan Sri General </w:t>
      </w:r>
      <w:proofErr w:type="spellStart"/>
      <w:r>
        <w:rPr>
          <w:rFonts w:ascii="Times New Roman" w:eastAsia="Times New Roman" w:hAnsi="Times New Roman" w:cs="Times New Roman"/>
          <w:b/>
          <w:i/>
          <w:color w:val="000000"/>
          <w:sz w:val="24"/>
          <w:szCs w:val="24"/>
          <w:highlight w:val="white"/>
        </w:rPr>
        <w:t>Ungku</w:t>
      </w:r>
      <w:proofErr w:type="spellEnd"/>
      <w:r>
        <w:rPr>
          <w:rFonts w:ascii="Times New Roman" w:eastAsia="Times New Roman" w:hAnsi="Times New Roman" w:cs="Times New Roman"/>
          <w:b/>
          <w:i/>
          <w:color w:val="000000"/>
          <w:sz w:val="24"/>
          <w:szCs w:val="24"/>
          <w:highlight w:val="white"/>
        </w:rPr>
        <w:t xml:space="preserve"> </w:t>
      </w:r>
      <w:proofErr w:type="spellStart"/>
      <w:r>
        <w:rPr>
          <w:rFonts w:ascii="Times New Roman" w:eastAsia="Times New Roman" w:hAnsi="Times New Roman" w:cs="Times New Roman"/>
          <w:b/>
          <w:i/>
          <w:color w:val="000000"/>
          <w:sz w:val="24"/>
          <w:szCs w:val="24"/>
          <w:highlight w:val="white"/>
        </w:rPr>
        <w:t>Nazaruddin</w:t>
      </w:r>
      <w:proofErr w:type="spellEnd"/>
      <w:r>
        <w:rPr>
          <w:rFonts w:ascii="Times New Roman" w:eastAsia="Times New Roman" w:hAnsi="Times New Roman" w:cs="Times New Roman"/>
          <w:b/>
          <w:i/>
          <w:color w:val="000000"/>
          <w:sz w:val="24"/>
          <w:szCs w:val="24"/>
          <w:highlight w:val="white"/>
        </w:rPr>
        <w:t xml:space="preserve"> b </w:t>
      </w:r>
      <w:proofErr w:type="spellStart"/>
      <w:r>
        <w:rPr>
          <w:rFonts w:ascii="Times New Roman" w:eastAsia="Times New Roman" w:hAnsi="Times New Roman" w:cs="Times New Roman"/>
          <w:b/>
          <w:i/>
          <w:color w:val="000000"/>
          <w:sz w:val="24"/>
          <w:szCs w:val="24"/>
          <w:highlight w:val="white"/>
        </w:rPr>
        <w:t>Ungku</w:t>
      </w:r>
      <w:proofErr w:type="spellEnd"/>
      <w:r>
        <w:rPr>
          <w:rFonts w:ascii="Times New Roman" w:eastAsia="Times New Roman" w:hAnsi="Times New Roman" w:cs="Times New Roman"/>
          <w:b/>
          <w:i/>
          <w:color w:val="000000"/>
          <w:sz w:val="24"/>
          <w:szCs w:val="24"/>
          <w:highlight w:val="white"/>
        </w:rPr>
        <w:t xml:space="preserve"> Mohamed</w:t>
      </w:r>
      <w:r>
        <w:rPr>
          <w:rFonts w:ascii="Times New Roman" w:eastAsia="Times New Roman" w:hAnsi="Times New Roman" w:cs="Times New Roman"/>
          <w:color w:val="000000"/>
          <w:sz w:val="24"/>
          <w:szCs w:val="24"/>
          <w:highlight w:val="white"/>
          <w:vertAlign w:val="superscript"/>
        </w:rPr>
        <w:footnoteReference w:id="69"/>
      </w:r>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telah</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sz w:val="24"/>
          <w:szCs w:val="24"/>
          <w:highlight w:val="white"/>
        </w:rPr>
        <w:t>menjelaskan</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unsur-unsur</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penting</w:t>
      </w:r>
      <w:proofErr w:type="spellEnd"/>
      <w:r>
        <w:rPr>
          <w:rFonts w:ascii="Times New Roman" w:eastAsia="Times New Roman" w:hAnsi="Times New Roman" w:cs="Times New Roman"/>
          <w:color w:val="000000"/>
          <w:sz w:val="24"/>
          <w:szCs w:val="24"/>
          <w:highlight w:val="white"/>
        </w:rPr>
        <w:t xml:space="preserve"> tort </w:t>
      </w:r>
      <w:proofErr w:type="spellStart"/>
      <w:r>
        <w:rPr>
          <w:rFonts w:ascii="Times New Roman" w:eastAsia="Times New Roman" w:hAnsi="Times New Roman" w:cs="Times New Roman"/>
          <w:color w:val="000000"/>
          <w:sz w:val="24"/>
          <w:szCs w:val="24"/>
          <w:highlight w:val="white"/>
        </w:rPr>
        <w:t>penyalahgunaan</w:t>
      </w:r>
      <w:proofErr w:type="spellEnd"/>
      <w:r>
        <w:rPr>
          <w:rFonts w:ascii="Times New Roman" w:eastAsia="Times New Roman" w:hAnsi="Times New Roman" w:cs="Times New Roman"/>
          <w:color w:val="000000"/>
          <w:sz w:val="24"/>
          <w:szCs w:val="24"/>
          <w:highlight w:val="white"/>
        </w:rPr>
        <w:t xml:space="preserve"> proses </w:t>
      </w:r>
      <w:proofErr w:type="spellStart"/>
      <w:r>
        <w:rPr>
          <w:rFonts w:ascii="Times New Roman" w:eastAsia="Times New Roman" w:hAnsi="Times New Roman" w:cs="Times New Roman"/>
          <w:color w:val="000000"/>
          <w:sz w:val="24"/>
          <w:szCs w:val="24"/>
          <w:highlight w:val="white"/>
        </w:rPr>
        <w:t>adalah</w:t>
      </w:r>
      <w:proofErr w:type="spellEnd"/>
      <w:r>
        <w:rPr>
          <w:rFonts w:ascii="Times New Roman" w:eastAsia="Times New Roman" w:hAnsi="Times New Roman" w:cs="Times New Roman"/>
          <w:color w:val="000000"/>
          <w:sz w:val="24"/>
          <w:szCs w:val="24"/>
          <w:highlight w:val="white"/>
        </w:rPr>
        <w:t xml:space="preserve">: - </w:t>
      </w:r>
      <w:proofErr w:type="spellStart"/>
      <w:r>
        <w:rPr>
          <w:rFonts w:ascii="Times New Roman" w:eastAsia="Times New Roman" w:hAnsi="Times New Roman" w:cs="Times New Roman"/>
          <w:color w:val="000000"/>
          <w:sz w:val="24"/>
          <w:szCs w:val="24"/>
          <w:highlight w:val="white"/>
        </w:rPr>
        <w:t>i</w:t>
      </w:r>
      <w:proofErr w:type="spellEnd"/>
      <w:r>
        <w:rPr>
          <w:rFonts w:ascii="Times New Roman" w:eastAsia="Times New Roman" w:hAnsi="Times New Roman" w:cs="Times New Roman"/>
          <w:color w:val="000000"/>
          <w:sz w:val="24"/>
          <w:szCs w:val="24"/>
          <w:highlight w:val="white"/>
        </w:rPr>
        <w:t xml:space="preserve">) Proses yang </w:t>
      </w:r>
      <w:proofErr w:type="spellStart"/>
      <w:r>
        <w:rPr>
          <w:rFonts w:ascii="Times New Roman" w:eastAsia="Times New Roman" w:hAnsi="Times New Roman" w:cs="Times New Roman"/>
          <w:color w:val="000000"/>
          <w:sz w:val="24"/>
          <w:szCs w:val="24"/>
          <w:highlight w:val="white"/>
        </w:rPr>
        <w:t>diadukan</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mestilah</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telah</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dimulakan</w:t>
      </w:r>
      <w:proofErr w:type="spellEnd"/>
      <w:r>
        <w:rPr>
          <w:rFonts w:ascii="Times New Roman" w:eastAsia="Times New Roman" w:hAnsi="Times New Roman" w:cs="Times New Roman"/>
          <w:color w:val="000000"/>
          <w:sz w:val="24"/>
          <w:szCs w:val="24"/>
          <w:highlight w:val="white"/>
        </w:rPr>
        <w:t xml:space="preserve">; ii) </w:t>
      </w:r>
      <w:proofErr w:type="spellStart"/>
      <w:r>
        <w:rPr>
          <w:rFonts w:ascii="Times New Roman" w:eastAsia="Times New Roman" w:hAnsi="Times New Roman" w:cs="Times New Roman"/>
          <w:color w:val="000000"/>
          <w:sz w:val="24"/>
          <w:szCs w:val="24"/>
          <w:highlight w:val="white"/>
        </w:rPr>
        <w:t>Tujuan</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untuk</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memulakan</w:t>
      </w:r>
      <w:proofErr w:type="spellEnd"/>
      <w:r>
        <w:rPr>
          <w:rFonts w:ascii="Times New Roman" w:eastAsia="Times New Roman" w:hAnsi="Times New Roman" w:cs="Times New Roman"/>
          <w:color w:val="000000"/>
          <w:sz w:val="24"/>
          <w:szCs w:val="24"/>
          <w:highlight w:val="white"/>
        </w:rPr>
        <w:t xml:space="preserve"> proses </w:t>
      </w:r>
      <w:proofErr w:type="spellStart"/>
      <w:r>
        <w:rPr>
          <w:rFonts w:ascii="Times New Roman" w:eastAsia="Times New Roman" w:hAnsi="Times New Roman" w:cs="Times New Roman"/>
          <w:color w:val="000000"/>
          <w:sz w:val="24"/>
          <w:szCs w:val="24"/>
          <w:highlight w:val="white"/>
        </w:rPr>
        <w:t>itu</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mestilah</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mengandungi</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tujuan</w:t>
      </w:r>
      <w:proofErr w:type="spellEnd"/>
      <w:r>
        <w:rPr>
          <w:rFonts w:ascii="Times New Roman" w:eastAsia="Times New Roman" w:hAnsi="Times New Roman" w:cs="Times New Roman"/>
          <w:color w:val="000000"/>
          <w:sz w:val="24"/>
          <w:szCs w:val="24"/>
          <w:highlight w:val="white"/>
        </w:rPr>
        <w:t xml:space="preserve"> lain </w:t>
      </w:r>
      <w:proofErr w:type="spellStart"/>
      <w:r>
        <w:rPr>
          <w:rFonts w:ascii="Times New Roman" w:eastAsia="Times New Roman" w:hAnsi="Times New Roman" w:cs="Times New Roman"/>
          <w:color w:val="000000"/>
          <w:sz w:val="24"/>
          <w:szCs w:val="24"/>
          <w:highlight w:val="white"/>
        </w:rPr>
        <w:t>selain</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daripada</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mendapatkan</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ganti</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rugi</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tulen</w:t>
      </w:r>
      <w:proofErr w:type="spellEnd"/>
      <w:r>
        <w:rPr>
          <w:rFonts w:ascii="Times New Roman" w:eastAsia="Times New Roman" w:hAnsi="Times New Roman" w:cs="Times New Roman"/>
          <w:color w:val="000000"/>
          <w:sz w:val="24"/>
          <w:szCs w:val="24"/>
          <w:highlight w:val="white"/>
        </w:rPr>
        <w:t xml:space="preserve"> yang </w:t>
      </w:r>
      <w:proofErr w:type="spellStart"/>
      <w:r>
        <w:rPr>
          <w:rFonts w:ascii="Times New Roman" w:eastAsia="Times New Roman" w:hAnsi="Times New Roman" w:cs="Times New Roman"/>
          <w:color w:val="000000"/>
          <w:sz w:val="24"/>
          <w:szCs w:val="24"/>
          <w:highlight w:val="white"/>
        </w:rPr>
        <w:t>ditawarkan</w:t>
      </w:r>
      <w:proofErr w:type="spellEnd"/>
      <w:r>
        <w:rPr>
          <w:rFonts w:ascii="Times New Roman" w:eastAsia="Times New Roman" w:hAnsi="Times New Roman" w:cs="Times New Roman"/>
          <w:color w:val="000000"/>
          <w:sz w:val="24"/>
          <w:szCs w:val="24"/>
          <w:highlight w:val="white"/>
        </w:rPr>
        <w:t xml:space="preserve"> oleh proses </w:t>
      </w:r>
      <w:proofErr w:type="spellStart"/>
      <w:r>
        <w:rPr>
          <w:rFonts w:ascii="Times New Roman" w:eastAsia="Times New Roman" w:hAnsi="Times New Roman" w:cs="Times New Roman"/>
          <w:color w:val="000000"/>
          <w:sz w:val="24"/>
          <w:szCs w:val="24"/>
          <w:highlight w:val="white"/>
        </w:rPr>
        <w:t>itu</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Dalam</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erti</w:t>
      </w:r>
      <w:proofErr w:type="spellEnd"/>
      <w:r>
        <w:rPr>
          <w:rFonts w:ascii="Times New Roman" w:eastAsia="Times New Roman" w:hAnsi="Times New Roman" w:cs="Times New Roman"/>
          <w:color w:val="000000"/>
          <w:sz w:val="24"/>
          <w:szCs w:val="24"/>
          <w:highlight w:val="white"/>
        </w:rPr>
        <w:t xml:space="preserve"> kata lain, </w:t>
      </w:r>
      <w:proofErr w:type="spellStart"/>
      <w:r>
        <w:rPr>
          <w:rFonts w:ascii="Times New Roman" w:eastAsia="Times New Roman" w:hAnsi="Times New Roman" w:cs="Times New Roman"/>
          <w:color w:val="000000"/>
          <w:sz w:val="24"/>
          <w:szCs w:val="24"/>
          <w:highlight w:val="white"/>
        </w:rPr>
        <w:t>tujuan</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utama</w:t>
      </w:r>
      <w:proofErr w:type="spellEnd"/>
      <w:r>
        <w:rPr>
          <w:rFonts w:ascii="Times New Roman" w:eastAsia="Times New Roman" w:hAnsi="Times New Roman" w:cs="Times New Roman"/>
          <w:color w:val="000000"/>
          <w:sz w:val="24"/>
          <w:szCs w:val="24"/>
          <w:highlight w:val="white"/>
        </w:rPr>
        <w:t xml:space="preserve"> proses </w:t>
      </w:r>
      <w:proofErr w:type="spellStart"/>
      <w:r>
        <w:rPr>
          <w:rFonts w:ascii="Times New Roman" w:eastAsia="Times New Roman" w:hAnsi="Times New Roman" w:cs="Times New Roman"/>
          <w:color w:val="000000"/>
          <w:sz w:val="24"/>
          <w:szCs w:val="24"/>
          <w:highlight w:val="white"/>
        </w:rPr>
        <w:t>itu</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digunakan</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mestilah</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sz w:val="24"/>
          <w:szCs w:val="24"/>
          <w:highlight w:val="white"/>
        </w:rPr>
        <w:t>kolateral</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iaitu</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bertujuan</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untuk</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menghasilkan</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hasil</w:t>
      </w:r>
      <w:proofErr w:type="spellEnd"/>
      <w:r>
        <w:rPr>
          <w:rFonts w:ascii="Times New Roman" w:eastAsia="Times New Roman" w:hAnsi="Times New Roman" w:cs="Times New Roman"/>
          <w:color w:val="000000"/>
          <w:sz w:val="24"/>
          <w:szCs w:val="24"/>
          <w:highlight w:val="white"/>
        </w:rPr>
        <w:t xml:space="preserve"> yang </w:t>
      </w:r>
      <w:proofErr w:type="spellStart"/>
      <w:r>
        <w:rPr>
          <w:rFonts w:ascii="Times New Roman" w:eastAsia="Times New Roman" w:hAnsi="Times New Roman" w:cs="Times New Roman"/>
          <w:color w:val="000000"/>
          <w:sz w:val="24"/>
          <w:szCs w:val="24"/>
          <w:highlight w:val="white"/>
        </w:rPr>
        <w:t>tidak</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dimaksudkan</w:t>
      </w:r>
      <w:proofErr w:type="spellEnd"/>
      <w:r>
        <w:rPr>
          <w:rFonts w:ascii="Times New Roman" w:eastAsia="Times New Roman" w:hAnsi="Times New Roman" w:cs="Times New Roman"/>
          <w:color w:val="000000"/>
          <w:sz w:val="24"/>
          <w:szCs w:val="24"/>
          <w:highlight w:val="white"/>
        </w:rPr>
        <w:t xml:space="preserve"> oleh </w:t>
      </w:r>
      <w:proofErr w:type="spellStart"/>
      <w:r>
        <w:rPr>
          <w:rFonts w:ascii="Times New Roman" w:eastAsia="Times New Roman" w:hAnsi="Times New Roman" w:cs="Times New Roman"/>
          <w:color w:val="000000"/>
          <w:sz w:val="24"/>
          <w:szCs w:val="24"/>
          <w:highlight w:val="white"/>
        </w:rPr>
        <w:t>penyeruan</w:t>
      </w:r>
      <w:proofErr w:type="spellEnd"/>
      <w:r>
        <w:rPr>
          <w:rFonts w:ascii="Times New Roman" w:eastAsia="Times New Roman" w:hAnsi="Times New Roman" w:cs="Times New Roman"/>
          <w:color w:val="000000"/>
          <w:sz w:val="24"/>
          <w:szCs w:val="24"/>
          <w:highlight w:val="white"/>
        </w:rPr>
        <w:t xml:space="preserve"> proses; dan iii) </w:t>
      </w:r>
      <w:proofErr w:type="spellStart"/>
      <w:r>
        <w:rPr>
          <w:rFonts w:ascii="Times New Roman" w:eastAsia="Times New Roman" w:hAnsi="Times New Roman" w:cs="Times New Roman"/>
          <w:color w:val="000000"/>
          <w:sz w:val="24"/>
          <w:szCs w:val="24"/>
          <w:highlight w:val="white"/>
        </w:rPr>
        <w:t>Plaintif</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mestilah</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mengalami</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kerosakan</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atau</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kecederaan</w:t>
      </w:r>
      <w:proofErr w:type="spellEnd"/>
      <w:r>
        <w:rPr>
          <w:rFonts w:ascii="Times New Roman" w:eastAsia="Times New Roman" w:hAnsi="Times New Roman" w:cs="Times New Roman"/>
          <w:color w:val="000000"/>
          <w:sz w:val="24"/>
          <w:szCs w:val="24"/>
          <w:highlight w:val="white"/>
        </w:rPr>
        <w:t xml:space="preserve"> yang </w:t>
      </w:r>
      <w:proofErr w:type="spellStart"/>
      <w:r>
        <w:rPr>
          <w:rFonts w:ascii="Times New Roman" w:eastAsia="Times New Roman" w:hAnsi="Times New Roman" w:cs="Times New Roman"/>
          <w:color w:val="000000"/>
          <w:sz w:val="24"/>
          <w:szCs w:val="24"/>
          <w:highlight w:val="white"/>
        </w:rPr>
        <w:t>tertentu</w:t>
      </w:r>
      <w:proofErr w:type="spellEnd"/>
      <w:r>
        <w:rPr>
          <w:rFonts w:ascii="Times New Roman" w:eastAsia="Times New Roman" w:hAnsi="Times New Roman" w:cs="Times New Roman"/>
          <w:color w:val="000000"/>
          <w:sz w:val="24"/>
          <w:szCs w:val="24"/>
          <w:highlight w:val="white"/>
        </w:rPr>
        <w:t>.</w:t>
      </w:r>
      <w:bookmarkStart w:id="24" w:name="_heading=h.n9gdok5hwkh" w:colFirst="0" w:colLast="0"/>
      <w:bookmarkEnd w:id="24"/>
    </w:p>
    <w:p w14:paraId="000000CA" w14:textId="77777777" w:rsidR="00E97409" w:rsidRDefault="007741DD" w:rsidP="00690802">
      <w:pPr>
        <w:spacing w:line="240" w:lineRule="auto"/>
        <w:jc w:val="center"/>
        <w:rPr>
          <w:rFonts w:ascii="Times New Roman" w:eastAsia="Times New Roman" w:hAnsi="Times New Roman" w:cs="Times New Roman"/>
          <w:highlight w:val="white"/>
        </w:rPr>
      </w:pPr>
      <w:proofErr w:type="spellStart"/>
      <w:r>
        <w:rPr>
          <w:rFonts w:ascii="Times New Roman" w:eastAsia="Times New Roman" w:hAnsi="Times New Roman" w:cs="Times New Roman"/>
          <w:b/>
          <w:highlight w:val="white"/>
        </w:rPr>
        <w:lastRenderedPageBreak/>
        <w:t>Analisis</w:t>
      </w:r>
      <w:proofErr w:type="spellEnd"/>
      <w:r>
        <w:rPr>
          <w:rFonts w:ascii="Times New Roman" w:eastAsia="Times New Roman" w:hAnsi="Times New Roman" w:cs="Times New Roman"/>
          <w:b/>
          <w:highlight w:val="white"/>
        </w:rPr>
        <w:t xml:space="preserve"> dan </w:t>
      </w:r>
      <w:proofErr w:type="spellStart"/>
      <w:r>
        <w:rPr>
          <w:rFonts w:ascii="Times New Roman" w:eastAsia="Times New Roman" w:hAnsi="Times New Roman" w:cs="Times New Roman"/>
          <w:b/>
          <w:highlight w:val="white"/>
        </w:rPr>
        <w:t>Pendapat</w:t>
      </w:r>
      <w:proofErr w:type="spellEnd"/>
    </w:p>
    <w:p w14:paraId="000000CB" w14:textId="77777777" w:rsidR="00E97409" w:rsidRDefault="007741DD" w:rsidP="00690802">
      <w:pPr>
        <w:spacing w:after="0" w:line="240" w:lineRule="auto"/>
        <w:ind w:firstLine="567"/>
        <w:jc w:val="both"/>
        <w:rPr>
          <w:rFonts w:ascii="Times New Roman" w:eastAsia="Times New Roman" w:hAnsi="Times New Roman" w:cs="Times New Roman"/>
          <w:sz w:val="24"/>
          <w:szCs w:val="24"/>
          <w:highlight w:val="white"/>
        </w:rPr>
      </w:pPr>
      <w:proofErr w:type="spellStart"/>
      <w:r>
        <w:rPr>
          <w:rFonts w:ascii="Times New Roman" w:eastAsia="Times New Roman" w:hAnsi="Times New Roman" w:cs="Times New Roman"/>
          <w:sz w:val="24"/>
          <w:szCs w:val="24"/>
          <w:highlight w:val="white"/>
        </w:rPr>
        <w:t>Terdapat</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perbezaan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antara</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peruntukan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mengenai</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pembatalan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sebuah</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pliding</w:t>
      </w:r>
      <w:proofErr w:type="spellEnd"/>
      <w:r>
        <w:rPr>
          <w:rFonts w:ascii="Times New Roman" w:eastAsia="Times New Roman" w:hAnsi="Times New Roman" w:cs="Times New Roman"/>
          <w:sz w:val="24"/>
          <w:szCs w:val="24"/>
          <w:highlight w:val="white"/>
        </w:rPr>
        <w:t xml:space="preserve"> dan </w:t>
      </w:r>
      <w:proofErr w:type="spellStart"/>
      <w:r>
        <w:rPr>
          <w:rFonts w:ascii="Times New Roman" w:eastAsia="Times New Roman" w:hAnsi="Times New Roman" w:cs="Times New Roman"/>
          <w:sz w:val="24"/>
          <w:szCs w:val="24"/>
          <w:highlight w:val="white"/>
        </w:rPr>
        <w:t>pengendorsan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atas</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alasan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penyalahgunaan</w:t>
      </w:r>
      <w:proofErr w:type="spellEnd"/>
      <w:r>
        <w:rPr>
          <w:rFonts w:ascii="Times New Roman" w:eastAsia="Times New Roman" w:hAnsi="Times New Roman" w:cs="Times New Roman"/>
          <w:sz w:val="24"/>
          <w:szCs w:val="24"/>
          <w:highlight w:val="white"/>
        </w:rPr>
        <w:t xml:space="preserve"> proses </w:t>
      </w:r>
      <w:proofErr w:type="spellStart"/>
      <w:r>
        <w:rPr>
          <w:rFonts w:ascii="Times New Roman" w:eastAsia="Times New Roman" w:hAnsi="Times New Roman" w:cs="Times New Roman"/>
          <w:sz w:val="24"/>
          <w:szCs w:val="24"/>
          <w:highlight w:val="white"/>
        </w:rPr>
        <w:t>mahkamah</w:t>
      </w:r>
      <w:proofErr w:type="spellEnd"/>
      <w:r>
        <w:rPr>
          <w:rFonts w:ascii="Times New Roman" w:eastAsia="Times New Roman" w:hAnsi="Times New Roman" w:cs="Times New Roman"/>
          <w:sz w:val="24"/>
          <w:szCs w:val="24"/>
          <w:highlight w:val="white"/>
        </w:rPr>
        <w:t xml:space="preserve"> di Malaysia dan United Kingdom. </w:t>
      </w:r>
      <w:proofErr w:type="spellStart"/>
      <w:r>
        <w:rPr>
          <w:rFonts w:ascii="Times New Roman" w:eastAsia="Times New Roman" w:hAnsi="Times New Roman" w:cs="Times New Roman"/>
          <w:sz w:val="24"/>
          <w:szCs w:val="24"/>
          <w:highlight w:val="white"/>
        </w:rPr>
        <w:t>Ia</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dapat</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dilihat</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dalam</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penggunaan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perkataan</w:t>
      </w:r>
      <w:proofErr w:type="spellEnd"/>
      <w:r>
        <w:rPr>
          <w:rFonts w:ascii="Times New Roman" w:eastAsia="Times New Roman" w:hAnsi="Times New Roman" w:cs="Times New Roman"/>
          <w:sz w:val="24"/>
          <w:szCs w:val="24"/>
          <w:highlight w:val="white"/>
        </w:rPr>
        <w:t xml:space="preserve"> yang </w:t>
      </w:r>
      <w:proofErr w:type="spellStart"/>
      <w:r>
        <w:rPr>
          <w:rFonts w:ascii="Times New Roman" w:eastAsia="Times New Roman" w:hAnsi="Times New Roman" w:cs="Times New Roman"/>
          <w:sz w:val="24"/>
          <w:szCs w:val="24"/>
          <w:highlight w:val="white"/>
        </w:rPr>
        <w:t>digunakan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untuk</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membentuk</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undang-undang</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tersebut</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Dalam</w:t>
      </w:r>
      <w:proofErr w:type="spellEnd"/>
      <w:r>
        <w:rPr>
          <w:rFonts w:ascii="Times New Roman" w:eastAsia="Times New Roman" w:hAnsi="Times New Roman" w:cs="Times New Roman"/>
          <w:sz w:val="24"/>
          <w:szCs w:val="24"/>
          <w:highlight w:val="white"/>
        </w:rPr>
        <w:t xml:space="preserve"> Part 3.4 (2)(b) CPR, </w:t>
      </w:r>
      <w:proofErr w:type="spellStart"/>
      <w:r>
        <w:rPr>
          <w:rFonts w:ascii="Times New Roman" w:eastAsia="Times New Roman" w:hAnsi="Times New Roman" w:cs="Times New Roman"/>
          <w:sz w:val="24"/>
          <w:szCs w:val="24"/>
          <w:highlight w:val="white"/>
        </w:rPr>
        <w:t>penggunaan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perkataan</w:t>
      </w:r>
      <w:proofErr w:type="spellEnd"/>
      <w:r>
        <w:rPr>
          <w:rFonts w:ascii="Times New Roman" w:eastAsia="Times New Roman" w:hAnsi="Times New Roman" w:cs="Times New Roman"/>
          <w:sz w:val="24"/>
          <w:szCs w:val="24"/>
          <w:highlight w:val="white"/>
        </w:rPr>
        <w:t xml:space="preserve"> “obstruct” </w:t>
      </w:r>
      <w:proofErr w:type="spellStart"/>
      <w:r>
        <w:rPr>
          <w:rFonts w:ascii="Times New Roman" w:eastAsia="Times New Roman" w:hAnsi="Times New Roman" w:cs="Times New Roman"/>
          <w:sz w:val="24"/>
          <w:szCs w:val="24"/>
          <w:highlight w:val="white"/>
        </w:rPr>
        <w:t>telah</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digunakan</w:t>
      </w:r>
      <w:proofErr w:type="spellEnd"/>
      <w:r>
        <w:rPr>
          <w:rFonts w:ascii="Times New Roman" w:eastAsia="Times New Roman" w:hAnsi="Times New Roman" w:cs="Times New Roman"/>
          <w:sz w:val="24"/>
          <w:szCs w:val="24"/>
          <w:highlight w:val="white"/>
        </w:rPr>
        <w:t xml:space="preserve"> dan </w:t>
      </w:r>
      <w:proofErr w:type="spellStart"/>
      <w:r>
        <w:rPr>
          <w:rFonts w:ascii="Times New Roman" w:eastAsia="Times New Roman" w:hAnsi="Times New Roman" w:cs="Times New Roman"/>
          <w:sz w:val="24"/>
          <w:szCs w:val="24"/>
          <w:highlight w:val="white"/>
        </w:rPr>
        <w:t>ia</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membawa</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maksud</w:t>
      </w:r>
      <w:proofErr w:type="spellEnd"/>
      <w:r>
        <w:rPr>
          <w:rFonts w:ascii="Times New Roman" w:eastAsia="Times New Roman" w:hAnsi="Times New Roman" w:cs="Times New Roman"/>
          <w:sz w:val="24"/>
          <w:szCs w:val="24"/>
          <w:highlight w:val="white"/>
        </w:rPr>
        <w:t xml:space="preserve"> “impede to a high extent”</w:t>
      </w:r>
      <w:r>
        <w:rPr>
          <w:rFonts w:ascii="Times New Roman" w:eastAsia="Times New Roman" w:hAnsi="Times New Roman" w:cs="Times New Roman"/>
          <w:sz w:val="24"/>
          <w:szCs w:val="24"/>
          <w:highlight w:val="white"/>
          <w:vertAlign w:val="superscript"/>
        </w:rPr>
        <w:footnoteReference w:id="70"/>
      </w:r>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Ini</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bermaksud</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mahkamah</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tidak</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akan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membatalkan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atau</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mengetepikan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pernyataan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tuntutan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atau</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pembelaan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semata-mata</w:t>
      </w:r>
      <w:proofErr w:type="spellEnd"/>
      <w:r>
        <w:rPr>
          <w:rFonts w:ascii="Times New Roman" w:eastAsia="Times New Roman" w:hAnsi="Times New Roman" w:cs="Times New Roman"/>
          <w:sz w:val="24"/>
          <w:szCs w:val="24"/>
          <w:highlight w:val="white"/>
        </w:rPr>
        <w:t xml:space="preserve"> kerana </w:t>
      </w:r>
      <w:proofErr w:type="spellStart"/>
      <w:r>
        <w:rPr>
          <w:rFonts w:ascii="Times New Roman" w:eastAsia="Times New Roman" w:hAnsi="Times New Roman" w:cs="Times New Roman"/>
          <w:sz w:val="24"/>
          <w:szCs w:val="24"/>
          <w:highlight w:val="white"/>
        </w:rPr>
        <w:t>ia</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membangkitkan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beberapa</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isu</w:t>
      </w:r>
      <w:proofErr w:type="spellEnd"/>
      <w:r>
        <w:rPr>
          <w:rFonts w:ascii="Times New Roman" w:eastAsia="Times New Roman" w:hAnsi="Times New Roman" w:cs="Times New Roman"/>
          <w:sz w:val="24"/>
          <w:szCs w:val="24"/>
          <w:highlight w:val="white"/>
        </w:rPr>
        <w:t xml:space="preserve"> yang </w:t>
      </w:r>
      <w:proofErr w:type="spellStart"/>
      <w:r>
        <w:rPr>
          <w:rFonts w:ascii="Times New Roman" w:eastAsia="Times New Roman" w:hAnsi="Times New Roman" w:cs="Times New Roman"/>
          <w:sz w:val="24"/>
          <w:szCs w:val="24"/>
          <w:highlight w:val="white"/>
        </w:rPr>
        <w:t>tidak</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relevan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atau</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sebaliknya</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mempunyai</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beberapa</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ketidak</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kemasan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dalam</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pliding</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Namun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demikian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keadaan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sedemikian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dapat</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diselesaikan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sekiranya</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mahkamah</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telah</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memberikan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suatu</w:t>
      </w:r>
      <w:proofErr w:type="spellEnd"/>
      <w:r>
        <w:rPr>
          <w:rFonts w:ascii="Times New Roman" w:eastAsia="Times New Roman" w:hAnsi="Times New Roman" w:cs="Times New Roman"/>
          <w:sz w:val="24"/>
          <w:szCs w:val="24"/>
          <w:highlight w:val="white"/>
        </w:rPr>
        <w:t xml:space="preserve"> “unless order”. </w:t>
      </w:r>
      <w:proofErr w:type="spellStart"/>
      <w:r>
        <w:rPr>
          <w:rFonts w:ascii="Times New Roman" w:eastAsia="Times New Roman" w:hAnsi="Times New Roman" w:cs="Times New Roman"/>
          <w:sz w:val="24"/>
          <w:szCs w:val="24"/>
          <w:highlight w:val="white"/>
        </w:rPr>
        <w:t>Contohnya</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perintah</w:t>
      </w:r>
      <w:proofErr w:type="spellEnd"/>
      <w:r>
        <w:rPr>
          <w:rFonts w:ascii="Times New Roman" w:eastAsia="Times New Roman" w:hAnsi="Times New Roman" w:cs="Times New Roman"/>
          <w:sz w:val="24"/>
          <w:szCs w:val="24"/>
          <w:highlight w:val="white"/>
        </w:rPr>
        <w:t xml:space="preserve"> yang </w:t>
      </w:r>
      <w:proofErr w:type="spellStart"/>
      <w:r>
        <w:rPr>
          <w:rFonts w:ascii="Times New Roman" w:eastAsia="Times New Roman" w:hAnsi="Times New Roman" w:cs="Times New Roman"/>
          <w:sz w:val="24"/>
          <w:szCs w:val="24"/>
          <w:highlight w:val="white"/>
        </w:rPr>
        <w:t>mengarahkan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pliding</w:t>
      </w:r>
      <w:proofErr w:type="spellEnd"/>
      <w:r>
        <w:rPr>
          <w:rFonts w:ascii="Times New Roman" w:eastAsia="Times New Roman" w:hAnsi="Times New Roman" w:cs="Times New Roman"/>
          <w:sz w:val="24"/>
          <w:szCs w:val="24"/>
          <w:highlight w:val="white"/>
        </w:rPr>
        <w:t xml:space="preserve"> yang </w:t>
      </w:r>
      <w:proofErr w:type="spellStart"/>
      <w:r>
        <w:rPr>
          <w:rFonts w:ascii="Times New Roman" w:eastAsia="Times New Roman" w:hAnsi="Times New Roman" w:cs="Times New Roman"/>
          <w:sz w:val="24"/>
          <w:szCs w:val="24"/>
          <w:highlight w:val="white"/>
        </w:rPr>
        <w:t>diderafkan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dengan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teruk</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untuk</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dibatalkan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melainkan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pihak</w:t>
      </w:r>
      <w:proofErr w:type="spellEnd"/>
      <w:r>
        <w:rPr>
          <w:rFonts w:ascii="Times New Roman" w:eastAsia="Times New Roman" w:hAnsi="Times New Roman" w:cs="Times New Roman"/>
          <w:sz w:val="24"/>
          <w:szCs w:val="24"/>
          <w:highlight w:val="white"/>
        </w:rPr>
        <w:t xml:space="preserve"> yang </w:t>
      </w:r>
      <w:proofErr w:type="spellStart"/>
      <w:r>
        <w:rPr>
          <w:rFonts w:ascii="Times New Roman" w:eastAsia="Times New Roman" w:hAnsi="Times New Roman" w:cs="Times New Roman"/>
          <w:sz w:val="24"/>
          <w:szCs w:val="24"/>
          <w:highlight w:val="white"/>
        </w:rPr>
        <w:t>terkhilaf</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tersebut</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telah</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mengemukakan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pernyataan</w:t>
      </w:r>
      <w:proofErr w:type="spellEnd"/>
      <w:r>
        <w:rPr>
          <w:rFonts w:ascii="Times New Roman" w:eastAsia="Times New Roman" w:hAnsi="Times New Roman" w:cs="Times New Roman"/>
          <w:sz w:val="24"/>
          <w:szCs w:val="24"/>
          <w:highlight w:val="white"/>
        </w:rPr>
        <w:t xml:space="preserve"> yang </w:t>
      </w:r>
      <w:proofErr w:type="spellStart"/>
      <w:r>
        <w:rPr>
          <w:rFonts w:ascii="Times New Roman" w:eastAsia="Times New Roman" w:hAnsi="Times New Roman" w:cs="Times New Roman"/>
          <w:sz w:val="24"/>
          <w:szCs w:val="24"/>
          <w:highlight w:val="white"/>
        </w:rPr>
        <w:t>jelas</w:t>
      </w:r>
      <w:proofErr w:type="spellEnd"/>
      <w:r>
        <w:rPr>
          <w:rFonts w:ascii="Times New Roman" w:eastAsia="Times New Roman" w:hAnsi="Times New Roman" w:cs="Times New Roman"/>
          <w:sz w:val="24"/>
          <w:szCs w:val="24"/>
          <w:highlight w:val="white"/>
        </w:rPr>
        <w:t xml:space="preserve"> dan </w:t>
      </w:r>
      <w:proofErr w:type="spellStart"/>
      <w:r>
        <w:rPr>
          <w:rFonts w:ascii="Times New Roman" w:eastAsia="Times New Roman" w:hAnsi="Times New Roman" w:cs="Times New Roman"/>
          <w:sz w:val="24"/>
          <w:szCs w:val="24"/>
          <w:highlight w:val="white"/>
        </w:rPr>
        <w:t>padat</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berkenaan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dengan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kesnya</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Peruntukan</w:t>
      </w:r>
      <w:proofErr w:type="spellEnd"/>
      <w:r>
        <w:rPr>
          <w:rFonts w:ascii="Times New Roman" w:eastAsia="Times New Roman" w:hAnsi="Times New Roman" w:cs="Times New Roman"/>
          <w:sz w:val="24"/>
          <w:szCs w:val="24"/>
          <w:highlight w:val="white"/>
        </w:rPr>
        <w:t xml:space="preserve"> KKM Malaysia </w:t>
      </w:r>
      <w:proofErr w:type="spellStart"/>
      <w:r>
        <w:rPr>
          <w:rFonts w:ascii="Times New Roman" w:eastAsia="Times New Roman" w:hAnsi="Times New Roman" w:cs="Times New Roman"/>
          <w:sz w:val="24"/>
          <w:szCs w:val="24"/>
          <w:highlight w:val="white"/>
        </w:rPr>
        <w:t>adalah</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berbeza</w:t>
      </w:r>
      <w:proofErr w:type="spellEnd"/>
      <w:r>
        <w:rPr>
          <w:rFonts w:ascii="Times New Roman" w:eastAsia="Times New Roman" w:hAnsi="Times New Roman" w:cs="Times New Roman"/>
          <w:sz w:val="24"/>
          <w:szCs w:val="24"/>
          <w:highlight w:val="white"/>
        </w:rPr>
        <w:t xml:space="preserve"> dan </w:t>
      </w:r>
      <w:proofErr w:type="spellStart"/>
      <w:r>
        <w:rPr>
          <w:rFonts w:ascii="Times New Roman" w:eastAsia="Times New Roman" w:hAnsi="Times New Roman" w:cs="Times New Roman"/>
          <w:sz w:val="24"/>
          <w:szCs w:val="24"/>
          <w:highlight w:val="white"/>
        </w:rPr>
        <w:t>ini</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telah</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mengenakan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soalan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bahawa</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adakah</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mahkamah</w:t>
      </w:r>
      <w:proofErr w:type="spellEnd"/>
      <w:r>
        <w:rPr>
          <w:rFonts w:ascii="Times New Roman" w:eastAsia="Times New Roman" w:hAnsi="Times New Roman" w:cs="Times New Roman"/>
          <w:sz w:val="24"/>
          <w:szCs w:val="24"/>
          <w:highlight w:val="white"/>
        </w:rPr>
        <w:t xml:space="preserve"> di Malaysia </w:t>
      </w:r>
      <w:proofErr w:type="spellStart"/>
      <w:r>
        <w:rPr>
          <w:rFonts w:ascii="Times New Roman" w:eastAsia="Times New Roman" w:hAnsi="Times New Roman" w:cs="Times New Roman"/>
          <w:sz w:val="24"/>
          <w:szCs w:val="24"/>
          <w:highlight w:val="white"/>
        </w:rPr>
        <w:t>akan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menggunakan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pendekatan</w:t>
      </w:r>
      <w:proofErr w:type="spellEnd"/>
      <w:r>
        <w:rPr>
          <w:rFonts w:ascii="Times New Roman" w:eastAsia="Times New Roman" w:hAnsi="Times New Roman" w:cs="Times New Roman"/>
          <w:sz w:val="24"/>
          <w:szCs w:val="24"/>
          <w:highlight w:val="white"/>
        </w:rPr>
        <w:t xml:space="preserve"> yang </w:t>
      </w:r>
      <w:proofErr w:type="spellStart"/>
      <w:r>
        <w:rPr>
          <w:rFonts w:ascii="Times New Roman" w:eastAsia="Times New Roman" w:hAnsi="Times New Roman" w:cs="Times New Roman"/>
          <w:sz w:val="24"/>
          <w:szCs w:val="24"/>
          <w:highlight w:val="white"/>
        </w:rPr>
        <w:t>sama</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atau</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tidak</w:t>
      </w:r>
      <w:proofErr w:type="spellEnd"/>
      <w:r>
        <w:rPr>
          <w:rFonts w:ascii="Times New Roman" w:eastAsia="Times New Roman" w:hAnsi="Times New Roman" w:cs="Times New Roman"/>
          <w:sz w:val="24"/>
          <w:szCs w:val="24"/>
          <w:highlight w:val="white"/>
        </w:rPr>
        <w:t xml:space="preserve">. </w:t>
      </w:r>
    </w:p>
    <w:p w14:paraId="000000CC" w14:textId="77777777" w:rsidR="00E97409" w:rsidRDefault="00E97409" w:rsidP="00690802">
      <w:pPr>
        <w:spacing w:after="0" w:line="240" w:lineRule="auto"/>
        <w:jc w:val="both"/>
        <w:rPr>
          <w:rFonts w:ascii="Times New Roman" w:eastAsia="Times New Roman" w:hAnsi="Times New Roman" w:cs="Times New Roman"/>
          <w:sz w:val="24"/>
          <w:szCs w:val="24"/>
          <w:highlight w:val="white"/>
        </w:rPr>
      </w:pPr>
    </w:p>
    <w:p w14:paraId="000000CD" w14:textId="77777777" w:rsidR="00E97409" w:rsidRDefault="007741DD" w:rsidP="00690802">
      <w:pPr>
        <w:spacing w:after="0" w:line="240" w:lineRule="auto"/>
        <w:jc w:val="center"/>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Kesimpulan</w:t>
      </w:r>
    </w:p>
    <w:p w14:paraId="000000CE" w14:textId="77777777" w:rsidR="00E97409" w:rsidRDefault="007741DD" w:rsidP="00690802">
      <w:pPr>
        <w:spacing w:after="0" w:line="240" w:lineRule="auto"/>
        <w:ind w:firstLine="567"/>
        <w:jc w:val="both"/>
        <w:rPr>
          <w:rFonts w:ascii="Times New Roman" w:eastAsia="Times New Roman" w:hAnsi="Times New Roman" w:cs="Times New Roman"/>
          <w:sz w:val="24"/>
          <w:szCs w:val="24"/>
          <w:highlight w:val="white"/>
        </w:rPr>
      </w:pPr>
      <w:proofErr w:type="spellStart"/>
      <w:r>
        <w:rPr>
          <w:rFonts w:ascii="Times New Roman" w:eastAsia="Times New Roman" w:hAnsi="Times New Roman" w:cs="Times New Roman"/>
          <w:sz w:val="24"/>
          <w:szCs w:val="24"/>
          <w:highlight w:val="white"/>
        </w:rPr>
        <w:t>Sebagai</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kesimpulan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pihak-pihak</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akan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bergantung</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kepada</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pliding</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mereka</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untuk</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menyokong</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tuntutan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mereka</w:t>
      </w:r>
      <w:proofErr w:type="spellEnd"/>
      <w:r>
        <w:rPr>
          <w:rFonts w:ascii="Times New Roman" w:eastAsia="Times New Roman" w:hAnsi="Times New Roman" w:cs="Times New Roman"/>
          <w:sz w:val="24"/>
          <w:szCs w:val="24"/>
          <w:highlight w:val="white"/>
        </w:rPr>
        <w:t xml:space="preserve"> dan </w:t>
      </w:r>
      <w:proofErr w:type="spellStart"/>
      <w:r>
        <w:rPr>
          <w:rFonts w:ascii="Times New Roman" w:eastAsia="Times New Roman" w:hAnsi="Times New Roman" w:cs="Times New Roman"/>
          <w:sz w:val="24"/>
          <w:szCs w:val="24"/>
          <w:highlight w:val="white"/>
        </w:rPr>
        <w:t>pliding</w:t>
      </w:r>
      <w:proofErr w:type="spellEnd"/>
      <w:r>
        <w:rPr>
          <w:rFonts w:ascii="Times New Roman" w:eastAsia="Times New Roman" w:hAnsi="Times New Roman" w:cs="Times New Roman"/>
          <w:sz w:val="24"/>
          <w:szCs w:val="24"/>
          <w:highlight w:val="white"/>
        </w:rPr>
        <w:t xml:space="preserve"> juga </w:t>
      </w:r>
      <w:proofErr w:type="spellStart"/>
      <w:r>
        <w:rPr>
          <w:rFonts w:ascii="Times New Roman" w:eastAsia="Times New Roman" w:hAnsi="Times New Roman" w:cs="Times New Roman"/>
          <w:sz w:val="24"/>
          <w:szCs w:val="24"/>
          <w:highlight w:val="white"/>
        </w:rPr>
        <w:t>bertindak</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sebagai</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dokumen</w:t>
      </w:r>
      <w:proofErr w:type="spellEnd"/>
      <w:r>
        <w:rPr>
          <w:rFonts w:ascii="Times New Roman" w:eastAsia="Times New Roman" w:hAnsi="Times New Roman" w:cs="Times New Roman"/>
          <w:sz w:val="24"/>
          <w:szCs w:val="24"/>
          <w:highlight w:val="white"/>
        </w:rPr>
        <w:t xml:space="preserve"> yang </w:t>
      </w:r>
      <w:proofErr w:type="spellStart"/>
      <w:r>
        <w:rPr>
          <w:rFonts w:ascii="Times New Roman" w:eastAsia="Times New Roman" w:hAnsi="Times New Roman" w:cs="Times New Roman"/>
          <w:sz w:val="24"/>
          <w:szCs w:val="24"/>
          <w:highlight w:val="white"/>
        </w:rPr>
        <w:t>akan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memaklumkan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pilak</w:t>
      </w:r>
      <w:proofErr w:type="spellEnd"/>
      <w:r>
        <w:rPr>
          <w:rFonts w:ascii="Times New Roman" w:eastAsia="Times New Roman" w:hAnsi="Times New Roman" w:cs="Times New Roman"/>
          <w:sz w:val="24"/>
          <w:szCs w:val="24"/>
          <w:highlight w:val="white"/>
        </w:rPr>
        <w:t xml:space="preserve"> lain </w:t>
      </w:r>
      <w:proofErr w:type="spellStart"/>
      <w:r>
        <w:rPr>
          <w:rFonts w:ascii="Times New Roman" w:eastAsia="Times New Roman" w:hAnsi="Times New Roman" w:cs="Times New Roman"/>
          <w:sz w:val="24"/>
          <w:szCs w:val="24"/>
          <w:highlight w:val="white"/>
        </w:rPr>
        <w:t>mengenai</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kes</w:t>
      </w:r>
      <w:proofErr w:type="spellEnd"/>
      <w:r>
        <w:rPr>
          <w:rFonts w:ascii="Times New Roman" w:eastAsia="Times New Roman" w:hAnsi="Times New Roman" w:cs="Times New Roman"/>
          <w:sz w:val="24"/>
          <w:szCs w:val="24"/>
          <w:highlight w:val="white"/>
        </w:rPr>
        <w:t xml:space="preserve"> dan </w:t>
      </w:r>
      <w:proofErr w:type="spellStart"/>
      <w:r>
        <w:rPr>
          <w:rFonts w:ascii="Times New Roman" w:eastAsia="Times New Roman" w:hAnsi="Times New Roman" w:cs="Times New Roman"/>
          <w:sz w:val="24"/>
          <w:szCs w:val="24"/>
          <w:highlight w:val="white"/>
        </w:rPr>
        <w:t>tuntutan</w:t>
      </w:r>
      <w:proofErr w:type="spellEnd"/>
      <w:r>
        <w:rPr>
          <w:rFonts w:ascii="Times New Roman" w:eastAsia="Times New Roman" w:hAnsi="Times New Roman" w:cs="Times New Roman"/>
          <w:sz w:val="24"/>
          <w:szCs w:val="24"/>
          <w:highlight w:val="white"/>
        </w:rPr>
        <w:t xml:space="preserve"> yang </w:t>
      </w:r>
      <w:proofErr w:type="spellStart"/>
      <w:r>
        <w:rPr>
          <w:rFonts w:ascii="Times New Roman" w:eastAsia="Times New Roman" w:hAnsi="Times New Roman" w:cs="Times New Roman"/>
          <w:sz w:val="24"/>
          <w:szCs w:val="24"/>
          <w:highlight w:val="white"/>
        </w:rPr>
        <w:t>ingin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dibawa</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ke</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mahkamah</w:t>
      </w:r>
      <w:proofErr w:type="spellEnd"/>
      <w:r>
        <w:rPr>
          <w:rFonts w:ascii="Times New Roman" w:eastAsia="Times New Roman" w:hAnsi="Times New Roman" w:cs="Times New Roman"/>
          <w:sz w:val="24"/>
          <w:szCs w:val="24"/>
          <w:highlight w:val="white"/>
        </w:rPr>
        <w:t xml:space="preserve">. Oleh </w:t>
      </w:r>
      <w:proofErr w:type="spellStart"/>
      <w:r>
        <w:rPr>
          <w:rFonts w:ascii="Times New Roman" w:eastAsia="Times New Roman" w:hAnsi="Times New Roman" w:cs="Times New Roman"/>
          <w:sz w:val="24"/>
          <w:szCs w:val="24"/>
          <w:highlight w:val="white"/>
        </w:rPr>
        <w:t>itu</w:t>
      </w:r>
      <w:proofErr w:type="spellEnd"/>
      <w:r>
        <w:rPr>
          <w:rFonts w:ascii="Times New Roman" w:eastAsia="Times New Roman" w:hAnsi="Times New Roman" w:cs="Times New Roman"/>
          <w:sz w:val="24"/>
          <w:szCs w:val="24"/>
          <w:highlight w:val="white"/>
        </w:rPr>
        <w:t xml:space="preserve">, KKM </w:t>
      </w:r>
      <w:proofErr w:type="spellStart"/>
      <w:r>
        <w:rPr>
          <w:rFonts w:ascii="Times New Roman" w:eastAsia="Times New Roman" w:hAnsi="Times New Roman" w:cs="Times New Roman"/>
          <w:sz w:val="24"/>
          <w:szCs w:val="24"/>
          <w:highlight w:val="white"/>
        </w:rPr>
        <w:t>mahupun</w:t>
      </w:r>
      <w:proofErr w:type="spellEnd"/>
      <w:r>
        <w:rPr>
          <w:rFonts w:ascii="Times New Roman" w:eastAsia="Times New Roman" w:hAnsi="Times New Roman" w:cs="Times New Roman"/>
          <w:sz w:val="24"/>
          <w:szCs w:val="24"/>
          <w:highlight w:val="white"/>
        </w:rPr>
        <w:t xml:space="preserve"> CPR </w:t>
      </w:r>
      <w:proofErr w:type="spellStart"/>
      <w:r>
        <w:rPr>
          <w:rFonts w:ascii="Times New Roman" w:eastAsia="Times New Roman" w:hAnsi="Times New Roman" w:cs="Times New Roman"/>
          <w:sz w:val="24"/>
          <w:szCs w:val="24"/>
          <w:highlight w:val="white"/>
        </w:rPr>
        <w:t>mempunyai</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undang-undang</w:t>
      </w:r>
      <w:proofErr w:type="spellEnd"/>
      <w:r>
        <w:rPr>
          <w:rFonts w:ascii="Times New Roman" w:eastAsia="Times New Roman" w:hAnsi="Times New Roman" w:cs="Times New Roman"/>
          <w:sz w:val="24"/>
          <w:szCs w:val="24"/>
          <w:highlight w:val="white"/>
        </w:rPr>
        <w:t xml:space="preserve"> yang </w:t>
      </w:r>
      <w:proofErr w:type="spellStart"/>
      <w:r>
        <w:rPr>
          <w:rFonts w:ascii="Times New Roman" w:eastAsia="Times New Roman" w:hAnsi="Times New Roman" w:cs="Times New Roman"/>
          <w:sz w:val="24"/>
          <w:szCs w:val="24"/>
          <w:highlight w:val="white"/>
        </w:rPr>
        <w:t>berkenaan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dengan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pliding</w:t>
      </w:r>
      <w:proofErr w:type="spellEnd"/>
      <w:r>
        <w:rPr>
          <w:rFonts w:ascii="Times New Roman" w:eastAsia="Times New Roman" w:hAnsi="Times New Roman" w:cs="Times New Roman"/>
          <w:sz w:val="24"/>
          <w:szCs w:val="24"/>
          <w:highlight w:val="white"/>
        </w:rPr>
        <w:t xml:space="preserve"> agar </w:t>
      </w:r>
      <w:proofErr w:type="spellStart"/>
      <w:r>
        <w:rPr>
          <w:rFonts w:ascii="Times New Roman" w:eastAsia="Times New Roman" w:hAnsi="Times New Roman" w:cs="Times New Roman"/>
          <w:sz w:val="24"/>
          <w:szCs w:val="24"/>
          <w:highlight w:val="white"/>
        </w:rPr>
        <w:t>tidak</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wujud</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keadaan</w:t>
      </w:r>
      <w:proofErr w:type="spellEnd"/>
      <w:r>
        <w:rPr>
          <w:rFonts w:ascii="Times New Roman" w:eastAsia="Times New Roman" w:hAnsi="Times New Roman" w:cs="Times New Roman"/>
          <w:sz w:val="24"/>
          <w:szCs w:val="24"/>
          <w:highlight w:val="white"/>
        </w:rPr>
        <w:t xml:space="preserve"> di mana </w:t>
      </w:r>
      <w:proofErr w:type="spellStart"/>
      <w:r>
        <w:rPr>
          <w:rFonts w:ascii="Times New Roman" w:eastAsia="Times New Roman" w:hAnsi="Times New Roman" w:cs="Times New Roman"/>
          <w:sz w:val="24"/>
          <w:szCs w:val="24"/>
          <w:highlight w:val="white"/>
        </w:rPr>
        <w:t>pihak-pihak</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dalam</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kes</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telah</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diprejudis</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Penulis-penulis</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artikel</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ini</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berpendapat</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bahawa</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sekiranya</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pihak-pihak</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ingin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membawa</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sebuah</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tuntutan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pliding</w:t>
      </w:r>
      <w:proofErr w:type="spellEnd"/>
      <w:r>
        <w:rPr>
          <w:rFonts w:ascii="Times New Roman" w:eastAsia="Times New Roman" w:hAnsi="Times New Roman" w:cs="Times New Roman"/>
          <w:sz w:val="24"/>
          <w:szCs w:val="24"/>
          <w:highlight w:val="white"/>
        </w:rPr>
        <w:t xml:space="preserve"> yang </w:t>
      </w:r>
      <w:proofErr w:type="spellStart"/>
      <w:r>
        <w:rPr>
          <w:rFonts w:ascii="Times New Roman" w:eastAsia="Times New Roman" w:hAnsi="Times New Roman" w:cs="Times New Roman"/>
          <w:sz w:val="24"/>
          <w:szCs w:val="24"/>
          <w:highlight w:val="white"/>
        </w:rPr>
        <w:t>disediakan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tersebut</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haruslah</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memenuhi</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kehendak</w:t>
      </w:r>
      <w:proofErr w:type="spellEnd"/>
      <w:r>
        <w:rPr>
          <w:rFonts w:ascii="Times New Roman" w:eastAsia="Times New Roman" w:hAnsi="Times New Roman" w:cs="Times New Roman"/>
          <w:sz w:val="24"/>
          <w:szCs w:val="24"/>
          <w:highlight w:val="white"/>
        </w:rPr>
        <w:t xml:space="preserve"> dan </w:t>
      </w:r>
      <w:proofErr w:type="spellStart"/>
      <w:r>
        <w:rPr>
          <w:rFonts w:ascii="Times New Roman" w:eastAsia="Times New Roman" w:hAnsi="Times New Roman" w:cs="Times New Roman"/>
          <w:sz w:val="24"/>
          <w:szCs w:val="24"/>
          <w:highlight w:val="white"/>
        </w:rPr>
        <w:t>peruntukan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dalam</w:t>
      </w:r>
      <w:proofErr w:type="spellEnd"/>
      <w:r>
        <w:rPr>
          <w:rFonts w:ascii="Times New Roman" w:eastAsia="Times New Roman" w:hAnsi="Times New Roman" w:cs="Times New Roman"/>
          <w:sz w:val="24"/>
          <w:szCs w:val="24"/>
          <w:highlight w:val="white"/>
        </w:rPr>
        <w:t xml:space="preserve"> KMM dan </w:t>
      </w:r>
      <w:proofErr w:type="spellStart"/>
      <w:r>
        <w:rPr>
          <w:rFonts w:ascii="Times New Roman" w:eastAsia="Times New Roman" w:hAnsi="Times New Roman" w:cs="Times New Roman"/>
          <w:sz w:val="24"/>
          <w:szCs w:val="24"/>
          <w:highlight w:val="white"/>
        </w:rPr>
        <w:t>otoriti</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atau</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kes</w:t>
      </w:r>
      <w:proofErr w:type="spellEnd"/>
      <w:r>
        <w:rPr>
          <w:rFonts w:ascii="Times New Roman" w:eastAsia="Times New Roman" w:hAnsi="Times New Roman" w:cs="Times New Roman"/>
          <w:sz w:val="24"/>
          <w:szCs w:val="24"/>
          <w:highlight w:val="white"/>
        </w:rPr>
        <w:t xml:space="preserve"> United Kingdom. </w:t>
      </w:r>
    </w:p>
    <w:p w14:paraId="000000CF" w14:textId="77777777" w:rsidR="00E97409" w:rsidRDefault="00E97409" w:rsidP="00690802">
      <w:pPr>
        <w:spacing w:after="0" w:line="240" w:lineRule="auto"/>
        <w:ind w:firstLine="567"/>
        <w:jc w:val="both"/>
        <w:rPr>
          <w:rFonts w:ascii="Times New Roman" w:eastAsia="Times New Roman" w:hAnsi="Times New Roman" w:cs="Times New Roman"/>
          <w:sz w:val="24"/>
          <w:szCs w:val="24"/>
          <w:highlight w:val="white"/>
        </w:rPr>
      </w:pPr>
    </w:p>
    <w:p w14:paraId="0A91D994" w14:textId="77777777" w:rsidR="00690802" w:rsidRDefault="00690802" w:rsidP="00690802">
      <w:pPr>
        <w:spacing w:line="240" w:lineRule="auto"/>
        <w:jc w:val="center"/>
        <w:rPr>
          <w:rFonts w:ascii="Times New Roman" w:eastAsia="Times New Roman" w:hAnsi="Times New Roman" w:cs="Times New Roman"/>
          <w:b/>
          <w:sz w:val="24"/>
          <w:szCs w:val="24"/>
          <w:highlight w:val="white"/>
        </w:rPr>
      </w:pPr>
    </w:p>
    <w:p w14:paraId="04A0FD0B" w14:textId="77777777" w:rsidR="00690802" w:rsidRDefault="00690802" w:rsidP="00690802">
      <w:pPr>
        <w:spacing w:line="240" w:lineRule="auto"/>
        <w:jc w:val="center"/>
        <w:rPr>
          <w:rFonts w:ascii="Times New Roman" w:eastAsia="Times New Roman" w:hAnsi="Times New Roman" w:cs="Times New Roman"/>
          <w:b/>
          <w:sz w:val="24"/>
          <w:szCs w:val="24"/>
          <w:highlight w:val="white"/>
        </w:rPr>
      </w:pPr>
    </w:p>
    <w:p w14:paraId="52C05659" w14:textId="77777777" w:rsidR="00690802" w:rsidRDefault="00690802" w:rsidP="00690802">
      <w:pPr>
        <w:spacing w:line="240" w:lineRule="auto"/>
        <w:jc w:val="center"/>
        <w:rPr>
          <w:rFonts w:ascii="Times New Roman" w:eastAsia="Times New Roman" w:hAnsi="Times New Roman" w:cs="Times New Roman"/>
          <w:b/>
          <w:sz w:val="24"/>
          <w:szCs w:val="24"/>
          <w:highlight w:val="white"/>
        </w:rPr>
      </w:pPr>
    </w:p>
    <w:p w14:paraId="7CF87475" w14:textId="77777777" w:rsidR="00690802" w:rsidRDefault="00690802" w:rsidP="00690802">
      <w:pPr>
        <w:spacing w:line="240" w:lineRule="auto"/>
        <w:jc w:val="center"/>
        <w:rPr>
          <w:rFonts w:ascii="Times New Roman" w:eastAsia="Times New Roman" w:hAnsi="Times New Roman" w:cs="Times New Roman"/>
          <w:b/>
          <w:sz w:val="24"/>
          <w:szCs w:val="24"/>
          <w:highlight w:val="white"/>
        </w:rPr>
      </w:pPr>
    </w:p>
    <w:p w14:paraId="16C76643" w14:textId="77777777" w:rsidR="00690802" w:rsidRDefault="00690802" w:rsidP="00690802">
      <w:pPr>
        <w:spacing w:line="240" w:lineRule="auto"/>
        <w:jc w:val="center"/>
        <w:rPr>
          <w:rFonts w:ascii="Times New Roman" w:eastAsia="Times New Roman" w:hAnsi="Times New Roman" w:cs="Times New Roman"/>
          <w:b/>
          <w:sz w:val="24"/>
          <w:szCs w:val="24"/>
          <w:highlight w:val="white"/>
        </w:rPr>
      </w:pPr>
    </w:p>
    <w:p w14:paraId="063CF862" w14:textId="77777777" w:rsidR="00690802" w:rsidRDefault="00690802" w:rsidP="00690802">
      <w:pPr>
        <w:spacing w:line="240" w:lineRule="auto"/>
        <w:jc w:val="center"/>
        <w:rPr>
          <w:rFonts w:ascii="Times New Roman" w:eastAsia="Times New Roman" w:hAnsi="Times New Roman" w:cs="Times New Roman"/>
          <w:b/>
          <w:sz w:val="24"/>
          <w:szCs w:val="24"/>
          <w:highlight w:val="white"/>
        </w:rPr>
      </w:pPr>
    </w:p>
    <w:p w14:paraId="78911E91" w14:textId="77777777" w:rsidR="00690802" w:rsidRDefault="00690802" w:rsidP="00690802">
      <w:pPr>
        <w:spacing w:line="240" w:lineRule="auto"/>
        <w:jc w:val="center"/>
        <w:rPr>
          <w:rFonts w:ascii="Times New Roman" w:eastAsia="Times New Roman" w:hAnsi="Times New Roman" w:cs="Times New Roman"/>
          <w:b/>
          <w:sz w:val="24"/>
          <w:szCs w:val="24"/>
          <w:highlight w:val="white"/>
        </w:rPr>
      </w:pPr>
    </w:p>
    <w:p w14:paraId="4F111761" w14:textId="77777777" w:rsidR="00690802" w:rsidRDefault="00690802" w:rsidP="00690802">
      <w:pPr>
        <w:spacing w:line="240" w:lineRule="auto"/>
        <w:jc w:val="center"/>
        <w:rPr>
          <w:rFonts w:ascii="Times New Roman" w:eastAsia="Times New Roman" w:hAnsi="Times New Roman" w:cs="Times New Roman"/>
          <w:b/>
          <w:sz w:val="24"/>
          <w:szCs w:val="24"/>
          <w:highlight w:val="white"/>
        </w:rPr>
      </w:pPr>
    </w:p>
    <w:p w14:paraId="60DE4E24" w14:textId="77777777" w:rsidR="00690802" w:rsidRDefault="00690802" w:rsidP="00690802">
      <w:pPr>
        <w:spacing w:line="240" w:lineRule="auto"/>
        <w:jc w:val="center"/>
        <w:rPr>
          <w:rFonts w:ascii="Times New Roman" w:eastAsia="Times New Roman" w:hAnsi="Times New Roman" w:cs="Times New Roman"/>
          <w:b/>
          <w:sz w:val="24"/>
          <w:szCs w:val="24"/>
          <w:highlight w:val="white"/>
        </w:rPr>
      </w:pPr>
    </w:p>
    <w:p w14:paraId="0A13DFC8" w14:textId="77777777" w:rsidR="00690802" w:rsidRDefault="00690802" w:rsidP="00690802">
      <w:pPr>
        <w:spacing w:line="240" w:lineRule="auto"/>
        <w:jc w:val="center"/>
        <w:rPr>
          <w:rFonts w:ascii="Times New Roman" w:eastAsia="Times New Roman" w:hAnsi="Times New Roman" w:cs="Times New Roman"/>
          <w:b/>
          <w:sz w:val="24"/>
          <w:szCs w:val="24"/>
          <w:highlight w:val="white"/>
        </w:rPr>
      </w:pPr>
    </w:p>
    <w:p w14:paraId="47966328" w14:textId="77777777" w:rsidR="00690802" w:rsidRDefault="00690802" w:rsidP="00690802">
      <w:pPr>
        <w:spacing w:line="240" w:lineRule="auto"/>
        <w:jc w:val="center"/>
        <w:rPr>
          <w:rFonts w:ascii="Times New Roman" w:eastAsia="Times New Roman" w:hAnsi="Times New Roman" w:cs="Times New Roman"/>
          <w:b/>
          <w:sz w:val="24"/>
          <w:szCs w:val="24"/>
          <w:highlight w:val="white"/>
        </w:rPr>
      </w:pPr>
    </w:p>
    <w:p w14:paraId="5913DFD1" w14:textId="77777777" w:rsidR="00690802" w:rsidRDefault="00690802" w:rsidP="00690802">
      <w:pPr>
        <w:spacing w:line="240" w:lineRule="auto"/>
        <w:jc w:val="center"/>
        <w:rPr>
          <w:rFonts w:ascii="Times New Roman" w:eastAsia="Times New Roman" w:hAnsi="Times New Roman" w:cs="Times New Roman"/>
          <w:b/>
          <w:sz w:val="24"/>
          <w:szCs w:val="24"/>
          <w:highlight w:val="white"/>
        </w:rPr>
      </w:pPr>
    </w:p>
    <w:p w14:paraId="076754C6" w14:textId="77777777" w:rsidR="00690802" w:rsidRDefault="00690802" w:rsidP="00690802">
      <w:pPr>
        <w:spacing w:line="240" w:lineRule="auto"/>
        <w:jc w:val="center"/>
        <w:rPr>
          <w:rFonts w:ascii="Times New Roman" w:eastAsia="Times New Roman" w:hAnsi="Times New Roman" w:cs="Times New Roman"/>
          <w:b/>
          <w:sz w:val="24"/>
          <w:szCs w:val="24"/>
          <w:highlight w:val="white"/>
        </w:rPr>
      </w:pPr>
    </w:p>
    <w:p w14:paraId="087521D2" w14:textId="77777777" w:rsidR="00690802" w:rsidRDefault="00690802" w:rsidP="00690802">
      <w:pPr>
        <w:spacing w:line="240" w:lineRule="auto"/>
        <w:jc w:val="center"/>
        <w:rPr>
          <w:rFonts w:ascii="Times New Roman" w:eastAsia="Times New Roman" w:hAnsi="Times New Roman" w:cs="Times New Roman"/>
          <w:b/>
          <w:sz w:val="24"/>
          <w:szCs w:val="24"/>
          <w:highlight w:val="white"/>
        </w:rPr>
      </w:pPr>
    </w:p>
    <w:p w14:paraId="000000D0" w14:textId="222BE176" w:rsidR="00E97409" w:rsidRDefault="007741DD" w:rsidP="00690802">
      <w:pPr>
        <w:spacing w:line="240" w:lineRule="auto"/>
        <w:jc w:val="center"/>
        <w:rPr>
          <w:rFonts w:ascii="Times New Roman" w:eastAsia="Times New Roman" w:hAnsi="Times New Roman" w:cs="Times New Roman"/>
          <w:b/>
          <w:sz w:val="24"/>
          <w:szCs w:val="24"/>
          <w:highlight w:val="white"/>
        </w:rPr>
      </w:pPr>
      <w:proofErr w:type="spellStart"/>
      <w:r>
        <w:rPr>
          <w:rFonts w:ascii="Times New Roman" w:eastAsia="Times New Roman" w:hAnsi="Times New Roman" w:cs="Times New Roman"/>
          <w:b/>
          <w:sz w:val="24"/>
          <w:szCs w:val="24"/>
          <w:highlight w:val="white"/>
        </w:rPr>
        <w:lastRenderedPageBreak/>
        <w:t>Rujukan</w:t>
      </w:r>
      <w:proofErr w:type="spellEnd"/>
    </w:p>
    <w:p w14:paraId="000000D1" w14:textId="77777777" w:rsidR="00E97409" w:rsidRDefault="007741DD" w:rsidP="00690802">
      <w:pPr>
        <w:spacing w:after="0" w:line="240" w:lineRule="auto"/>
        <w:jc w:val="both"/>
        <w:rPr>
          <w:rFonts w:ascii="Times New Roman" w:eastAsia="Times New Roman" w:hAnsi="Times New Roman" w:cs="Times New Roman"/>
          <w:b/>
          <w:sz w:val="24"/>
          <w:szCs w:val="24"/>
          <w:highlight w:val="white"/>
        </w:rPr>
      </w:pPr>
      <w:proofErr w:type="spellStart"/>
      <w:r>
        <w:rPr>
          <w:rFonts w:ascii="Times New Roman" w:eastAsia="Times New Roman" w:hAnsi="Times New Roman" w:cs="Times New Roman"/>
          <w:b/>
          <w:sz w:val="24"/>
          <w:szCs w:val="24"/>
          <w:highlight w:val="white"/>
        </w:rPr>
        <w:t>Statut</w:t>
      </w:r>
      <w:proofErr w:type="spellEnd"/>
    </w:p>
    <w:p w14:paraId="000000D2" w14:textId="77777777" w:rsidR="00E97409" w:rsidRDefault="007741DD" w:rsidP="00690802">
      <w:pPr>
        <w:spacing w:after="0" w:line="240" w:lineRule="auto"/>
        <w:jc w:val="both"/>
        <w:rPr>
          <w:rFonts w:ascii="Times New Roman" w:eastAsia="Times New Roman" w:hAnsi="Times New Roman" w:cs="Times New Roman"/>
          <w:b/>
          <w:sz w:val="24"/>
          <w:szCs w:val="24"/>
          <w:highlight w:val="white"/>
        </w:rPr>
      </w:pPr>
      <w:proofErr w:type="spellStart"/>
      <w:r>
        <w:rPr>
          <w:rFonts w:ascii="Times New Roman" w:eastAsia="Times New Roman" w:hAnsi="Times New Roman" w:cs="Times New Roman"/>
          <w:sz w:val="24"/>
          <w:szCs w:val="24"/>
          <w:highlight w:val="white"/>
        </w:rPr>
        <w:t>Kaedah-Kaedah</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Mahkamah</w:t>
      </w:r>
      <w:proofErr w:type="spellEnd"/>
      <w:r>
        <w:rPr>
          <w:rFonts w:ascii="Times New Roman" w:eastAsia="Times New Roman" w:hAnsi="Times New Roman" w:cs="Times New Roman"/>
          <w:sz w:val="24"/>
          <w:szCs w:val="24"/>
          <w:highlight w:val="white"/>
        </w:rPr>
        <w:t xml:space="preserve"> 2012 Malaysia.</w:t>
      </w:r>
    </w:p>
    <w:p w14:paraId="000000D3" w14:textId="77777777" w:rsidR="00E97409" w:rsidRDefault="007741DD" w:rsidP="00690802">
      <w:pPr>
        <w:spacing w:after="0" w:line="240" w:lineRule="auto"/>
        <w:ind w:left="567" w:hanging="567"/>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United Kingdom Civil Procedure Rules.</w:t>
      </w:r>
    </w:p>
    <w:p w14:paraId="000000D4" w14:textId="77777777" w:rsidR="00E97409" w:rsidRDefault="00E97409" w:rsidP="00690802">
      <w:pPr>
        <w:spacing w:after="0" w:line="240" w:lineRule="auto"/>
        <w:ind w:left="567" w:hanging="567"/>
        <w:jc w:val="both"/>
        <w:rPr>
          <w:rFonts w:ascii="Times New Roman" w:eastAsia="Times New Roman" w:hAnsi="Times New Roman" w:cs="Times New Roman"/>
          <w:sz w:val="24"/>
          <w:szCs w:val="24"/>
          <w:highlight w:val="white"/>
        </w:rPr>
      </w:pPr>
    </w:p>
    <w:p w14:paraId="000000D5" w14:textId="77777777" w:rsidR="00E97409" w:rsidRDefault="007741DD" w:rsidP="00690802">
      <w:pPr>
        <w:spacing w:after="0" w:line="240" w:lineRule="auto"/>
        <w:ind w:left="567" w:hanging="567"/>
        <w:jc w:val="both"/>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Kes</w:t>
      </w:r>
    </w:p>
    <w:p w14:paraId="20BBCCB9" w14:textId="41AA229E" w:rsidR="00690802" w:rsidRDefault="007741DD" w:rsidP="00690802">
      <w:pPr>
        <w:spacing w:after="0" w:line="240" w:lineRule="auto"/>
        <w:ind w:left="567" w:hanging="567"/>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Ansa Teknik (M) </w:t>
      </w:r>
      <w:proofErr w:type="spellStart"/>
      <w:r>
        <w:rPr>
          <w:rFonts w:ascii="Times New Roman" w:eastAsia="Times New Roman" w:hAnsi="Times New Roman" w:cs="Times New Roman"/>
          <w:sz w:val="24"/>
          <w:szCs w:val="24"/>
          <w:highlight w:val="white"/>
        </w:rPr>
        <w:t>Sdn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Bhd</w:t>
      </w:r>
      <w:proofErr w:type="spellEnd"/>
      <w:r>
        <w:rPr>
          <w:rFonts w:ascii="Times New Roman" w:eastAsia="Times New Roman" w:hAnsi="Times New Roman" w:cs="Times New Roman"/>
          <w:sz w:val="24"/>
          <w:szCs w:val="24"/>
          <w:highlight w:val="white"/>
        </w:rPr>
        <w:t xml:space="preserve"> v </w:t>
      </w:r>
      <w:proofErr w:type="spellStart"/>
      <w:r>
        <w:rPr>
          <w:rFonts w:ascii="Times New Roman" w:eastAsia="Times New Roman" w:hAnsi="Times New Roman" w:cs="Times New Roman"/>
          <w:sz w:val="24"/>
          <w:szCs w:val="24"/>
          <w:highlight w:val="white"/>
        </w:rPr>
        <w:t>Cygal</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Sdn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Bhd</w:t>
      </w:r>
      <w:proofErr w:type="spellEnd"/>
      <w:r>
        <w:rPr>
          <w:rFonts w:ascii="Times New Roman" w:eastAsia="Times New Roman" w:hAnsi="Times New Roman" w:cs="Times New Roman"/>
          <w:sz w:val="24"/>
          <w:szCs w:val="24"/>
          <w:highlight w:val="white"/>
        </w:rPr>
        <w:t xml:space="preserve"> [1989] 2 MLJ 423</w:t>
      </w:r>
    </w:p>
    <w:p w14:paraId="5FA99977" w14:textId="77777777" w:rsidR="00690802" w:rsidRDefault="00690802" w:rsidP="00690802">
      <w:pPr>
        <w:spacing w:after="0" w:line="240" w:lineRule="auto"/>
        <w:ind w:left="567" w:hanging="567"/>
        <w:jc w:val="both"/>
        <w:rPr>
          <w:rFonts w:ascii="Times New Roman" w:eastAsia="Times New Roman" w:hAnsi="Times New Roman" w:cs="Times New Roman"/>
          <w:sz w:val="24"/>
          <w:szCs w:val="24"/>
          <w:highlight w:val="white"/>
        </w:rPr>
      </w:pPr>
      <w:proofErr w:type="spellStart"/>
      <w:r>
        <w:rPr>
          <w:rFonts w:ascii="Times New Roman" w:eastAsia="Times New Roman" w:hAnsi="Times New Roman" w:cs="Times New Roman"/>
          <w:sz w:val="24"/>
          <w:szCs w:val="24"/>
          <w:highlight w:val="white"/>
        </w:rPr>
        <w:t>Ashmre</w:t>
      </w:r>
      <w:proofErr w:type="spellEnd"/>
      <w:r>
        <w:rPr>
          <w:rFonts w:ascii="Times New Roman" w:eastAsia="Times New Roman" w:hAnsi="Times New Roman" w:cs="Times New Roman"/>
          <w:sz w:val="24"/>
          <w:szCs w:val="24"/>
          <w:highlight w:val="white"/>
        </w:rPr>
        <w:t xml:space="preserve"> v British Coal Corp [1990] 2 All Er 981</w:t>
      </w:r>
    </w:p>
    <w:p w14:paraId="08715648" w14:textId="77777777" w:rsidR="00690802" w:rsidRDefault="00690802" w:rsidP="00690802">
      <w:pPr>
        <w:spacing w:after="0" w:line="240" w:lineRule="auto"/>
        <w:ind w:left="567" w:hanging="567"/>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Attorney General v Barker [2000] 1 FLR 759</w:t>
      </w:r>
    </w:p>
    <w:p w14:paraId="7F07B8C8" w14:textId="77777777" w:rsidR="00690802" w:rsidRDefault="00690802" w:rsidP="00690802">
      <w:pPr>
        <w:spacing w:after="0" w:line="240" w:lineRule="auto"/>
        <w:ind w:left="567" w:hanging="567"/>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Atwood v Chichester (1878) 3 QBD 722</w:t>
      </w:r>
    </w:p>
    <w:p w14:paraId="6648CC70" w14:textId="77777777" w:rsidR="00690802" w:rsidRDefault="00690802" w:rsidP="00690802">
      <w:pPr>
        <w:spacing w:after="0" w:line="240" w:lineRule="auto"/>
        <w:ind w:left="567" w:hanging="567"/>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Belt v </w:t>
      </w:r>
      <w:proofErr w:type="spellStart"/>
      <w:r>
        <w:rPr>
          <w:rFonts w:ascii="Times New Roman" w:eastAsia="Times New Roman" w:hAnsi="Times New Roman" w:cs="Times New Roman"/>
          <w:sz w:val="24"/>
          <w:szCs w:val="24"/>
          <w:highlight w:val="white"/>
        </w:rPr>
        <w:t>Lawles</w:t>
      </w:r>
      <w:proofErr w:type="spellEnd"/>
      <w:r>
        <w:rPr>
          <w:rFonts w:ascii="Times New Roman" w:eastAsia="Times New Roman" w:hAnsi="Times New Roman" w:cs="Times New Roman"/>
          <w:sz w:val="24"/>
          <w:szCs w:val="24"/>
          <w:highlight w:val="white"/>
        </w:rPr>
        <w:t xml:space="preserve"> (1884) 51 LJQB 359</w:t>
      </w:r>
    </w:p>
    <w:p w14:paraId="11D7C13A" w14:textId="77777777" w:rsidR="00690802" w:rsidRDefault="00690802" w:rsidP="00690802">
      <w:pPr>
        <w:spacing w:after="0" w:line="240" w:lineRule="auto"/>
        <w:ind w:left="567" w:hanging="567"/>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Boustead Trading (1985) </w:t>
      </w:r>
      <w:proofErr w:type="spellStart"/>
      <w:r>
        <w:rPr>
          <w:rFonts w:ascii="Times New Roman" w:eastAsia="Times New Roman" w:hAnsi="Times New Roman" w:cs="Times New Roman"/>
          <w:sz w:val="24"/>
          <w:szCs w:val="24"/>
          <w:highlight w:val="white"/>
        </w:rPr>
        <w:t>Sdn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Bhd</w:t>
      </w:r>
      <w:proofErr w:type="spellEnd"/>
      <w:r>
        <w:rPr>
          <w:rFonts w:ascii="Times New Roman" w:eastAsia="Times New Roman" w:hAnsi="Times New Roman" w:cs="Times New Roman"/>
          <w:sz w:val="24"/>
          <w:szCs w:val="24"/>
          <w:highlight w:val="white"/>
        </w:rPr>
        <w:t xml:space="preserve"> v Arab Malaysian Merchant Bank </w:t>
      </w:r>
      <w:proofErr w:type="spellStart"/>
      <w:r>
        <w:rPr>
          <w:rFonts w:ascii="Times New Roman" w:eastAsia="Times New Roman" w:hAnsi="Times New Roman" w:cs="Times New Roman"/>
          <w:sz w:val="24"/>
          <w:szCs w:val="24"/>
          <w:highlight w:val="white"/>
        </w:rPr>
        <w:t>Bhd</w:t>
      </w:r>
      <w:proofErr w:type="spellEnd"/>
      <w:r>
        <w:rPr>
          <w:rFonts w:ascii="Times New Roman" w:eastAsia="Times New Roman" w:hAnsi="Times New Roman" w:cs="Times New Roman"/>
          <w:sz w:val="24"/>
          <w:szCs w:val="24"/>
          <w:highlight w:val="white"/>
        </w:rPr>
        <w:t xml:space="preserve"> [1995] 3 MLJ 331</w:t>
      </w:r>
    </w:p>
    <w:p w14:paraId="1D1C8E10" w14:textId="77777777" w:rsidR="00690802" w:rsidRDefault="00690802" w:rsidP="00690802">
      <w:pPr>
        <w:spacing w:after="0" w:line="240" w:lineRule="auto"/>
        <w:ind w:left="567" w:hanging="567"/>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Chartered Bank v Yong Chan [1974] 1 MLJ 157</w:t>
      </w:r>
    </w:p>
    <w:p w14:paraId="6B82B3EE" w14:textId="77777777" w:rsidR="00690802" w:rsidRDefault="00690802" w:rsidP="00690802">
      <w:pPr>
        <w:spacing w:after="0" w:line="240" w:lineRule="auto"/>
        <w:ind w:left="567" w:hanging="567"/>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Coppinger v Norton [1902] 2 </w:t>
      </w:r>
      <w:proofErr w:type="spellStart"/>
      <w:proofErr w:type="gramStart"/>
      <w:r>
        <w:rPr>
          <w:rFonts w:ascii="Times New Roman" w:eastAsia="Times New Roman" w:hAnsi="Times New Roman" w:cs="Times New Roman"/>
          <w:sz w:val="24"/>
          <w:szCs w:val="24"/>
          <w:highlight w:val="white"/>
        </w:rPr>
        <w:t>Ir.R</w:t>
      </w:r>
      <w:proofErr w:type="spellEnd"/>
      <w:proofErr w:type="gramEnd"/>
      <w:r>
        <w:rPr>
          <w:rFonts w:ascii="Times New Roman" w:eastAsia="Times New Roman" w:hAnsi="Times New Roman" w:cs="Times New Roman"/>
          <w:sz w:val="24"/>
          <w:szCs w:val="24"/>
          <w:highlight w:val="white"/>
        </w:rPr>
        <w:t xml:space="preserve"> 232</w:t>
      </w:r>
    </w:p>
    <w:p w14:paraId="103DB38A" w14:textId="77777777" w:rsidR="00690802" w:rsidRDefault="00690802" w:rsidP="00690802">
      <w:pPr>
        <w:spacing w:after="0" w:line="240" w:lineRule="auto"/>
        <w:ind w:left="567" w:hanging="567"/>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Cropper v Smith (1884) 26 Ch D 700</w:t>
      </w:r>
    </w:p>
    <w:p w14:paraId="2A1D7533" w14:textId="77777777" w:rsidR="00690802" w:rsidRDefault="00690802" w:rsidP="00690802">
      <w:pPr>
        <w:spacing w:after="0" w:line="240" w:lineRule="auto"/>
        <w:ind w:left="567" w:hanging="567"/>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Dr </w:t>
      </w:r>
      <w:proofErr w:type="spellStart"/>
      <w:r>
        <w:rPr>
          <w:rFonts w:ascii="Times New Roman" w:eastAsia="Times New Roman" w:hAnsi="Times New Roman" w:cs="Times New Roman"/>
          <w:sz w:val="24"/>
          <w:szCs w:val="24"/>
          <w:highlight w:val="white"/>
        </w:rPr>
        <w:t>Shaari</w:t>
      </w:r>
      <w:proofErr w:type="spellEnd"/>
      <w:r>
        <w:rPr>
          <w:rFonts w:ascii="Times New Roman" w:eastAsia="Times New Roman" w:hAnsi="Times New Roman" w:cs="Times New Roman"/>
          <w:sz w:val="24"/>
          <w:szCs w:val="24"/>
          <w:highlight w:val="white"/>
        </w:rPr>
        <w:t xml:space="preserve"> Isa &amp; Anor v Tan Sri Harris bin </w:t>
      </w:r>
      <w:proofErr w:type="spellStart"/>
      <w:r>
        <w:rPr>
          <w:rFonts w:ascii="Times New Roman" w:eastAsia="Times New Roman" w:hAnsi="Times New Roman" w:cs="Times New Roman"/>
          <w:sz w:val="24"/>
          <w:szCs w:val="24"/>
          <w:highlight w:val="white"/>
        </w:rPr>
        <w:t>Mohd</w:t>
      </w:r>
      <w:proofErr w:type="spellEnd"/>
      <w:r>
        <w:rPr>
          <w:rFonts w:ascii="Times New Roman" w:eastAsia="Times New Roman" w:hAnsi="Times New Roman" w:cs="Times New Roman"/>
          <w:sz w:val="24"/>
          <w:szCs w:val="24"/>
          <w:highlight w:val="white"/>
        </w:rPr>
        <w:t xml:space="preserve"> Salleh [2020] 4 MLJ 229</w:t>
      </w:r>
    </w:p>
    <w:p w14:paraId="4725E49E" w14:textId="77777777" w:rsidR="00690802" w:rsidRDefault="00690802" w:rsidP="00690802">
      <w:pPr>
        <w:spacing w:after="0" w:line="240" w:lineRule="auto"/>
        <w:ind w:left="567" w:hanging="567"/>
        <w:jc w:val="both"/>
        <w:rPr>
          <w:rFonts w:ascii="Times New Roman" w:eastAsia="Times New Roman" w:hAnsi="Times New Roman" w:cs="Times New Roman"/>
          <w:sz w:val="24"/>
          <w:szCs w:val="24"/>
          <w:highlight w:val="white"/>
        </w:rPr>
      </w:pPr>
      <w:proofErr w:type="spellStart"/>
      <w:r>
        <w:rPr>
          <w:rFonts w:ascii="Times New Roman" w:eastAsia="Times New Roman" w:hAnsi="Times New Roman" w:cs="Times New Roman"/>
          <w:sz w:val="24"/>
          <w:szCs w:val="24"/>
          <w:highlight w:val="white"/>
        </w:rPr>
        <w:t>Farlim</w:t>
      </w:r>
      <w:proofErr w:type="spellEnd"/>
      <w:r>
        <w:rPr>
          <w:rFonts w:ascii="Times New Roman" w:eastAsia="Times New Roman" w:hAnsi="Times New Roman" w:cs="Times New Roman"/>
          <w:sz w:val="24"/>
          <w:szCs w:val="24"/>
          <w:highlight w:val="white"/>
        </w:rPr>
        <w:t xml:space="preserve"> Properties </w:t>
      </w:r>
      <w:proofErr w:type="spellStart"/>
      <w:r>
        <w:rPr>
          <w:rFonts w:ascii="Times New Roman" w:eastAsia="Times New Roman" w:hAnsi="Times New Roman" w:cs="Times New Roman"/>
          <w:sz w:val="24"/>
          <w:szCs w:val="24"/>
          <w:highlight w:val="white"/>
        </w:rPr>
        <w:t>Sdn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Bhd</w:t>
      </w:r>
      <w:proofErr w:type="spellEnd"/>
      <w:r>
        <w:rPr>
          <w:rFonts w:ascii="Times New Roman" w:eastAsia="Times New Roman" w:hAnsi="Times New Roman" w:cs="Times New Roman"/>
          <w:sz w:val="24"/>
          <w:szCs w:val="24"/>
          <w:highlight w:val="white"/>
        </w:rPr>
        <w:t xml:space="preserve"> v Goh </w:t>
      </w:r>
      <w:proofErr w:type="spellStart"/>
      <w:r>
        <w:rPr>
          <w:rFonts w:ascii="Times New Roman" w:eastAsia="Times New Roman" w:hAnsi="Times New Roman" w:cs="Times New Roman"/>
          <w:sz w:val="24"/>
          <w:szCs w:val="24"/>
          <w:highlight w:val="white"/>
        </w:rPr>
        <w:t>Keat</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Poh</w:t>
      </w:r>
      <w:proofErr w:type="spellEnd"/>
      <w:r>
        <w:rPr>
          <w:rFonts w:ascii="Times New Roman" w:eastAsia="Times New Roman" w:hAnsi="Times New Roman" w:cs="Times New Roman"/>
          <w:sz w:val="24"/>
          <w:szCs w:val="24"/>
          <w:highlight w:val="white"/>
        </w:rPr>
        <w:t xml:space="preserve"> &amp; </w:t>
      </w:r>
      <w:proofErr w:type="spellStart"/>
      <w:r>
        <w:rPr>
          <w:rFonts w:ascii="Times New Roman" w:eastAsia="Times New Roman" w:hAnsi="Times New Roman" w:cs="Times New Roman"/>
          <w:sz w:val="24"/>
          <w:szCs w:val="24"/>
          <w:highlight w:val="white"/>
        </w:rPr>
        <w:t>Ors</w:t>
      </w:r>
      <w:proofErr w:type="spellEnd"/>
      <w:r>
        <w:rPr>
          <w:rFonts w:ascii="Times New Roman" w:eastAsia="Times New Roman" w:hAnsi="Times New Roman" w:cs="Times New Roman"/>
          <w:sz w:val="24"/>
          <w:szCs w:val="24"/>
          <w:highlight w:val="white"/>
        </w:rPr>
        <w:t xml:space="preserve"> [2002] 6 MLJ 171</w:t>
      </w:r>
    </w:p>
    <w:p w14:paraId="13C058FE" w14:textId="77777777" w:rsidR="00690802" w:rsidRDefault="00690802" w:rsidP="00690802">
      <w:pPr>
        <w:spacing w:after="0" w:line="240" w:lineRule="auto"/>
        <w:ind w:left="567" w:hanging="567"/>
        <w:jc w:val="both"/>
        <w:rPr>
          <w:rFonts w:ascii="Times New Roman" w:eastAsia="Times New Roman" w:hAnsi="Times New Roman" w:cs="Times New Roman"/>
          <w:sz w:val="24"/>
          <w:szCs w:val="24"/>
          <w:highlight w:val="white"/>
        </w:rPr>
      </w:pPr>
      <w:proofErr w:type="spellStart"/>
      <w:r>
        <w:rPr>
          <w:rFonts w:ascii="Times New Roman" w:eastAsia="Times New Roman" w:hAnsi="Times New Roman" w:cs="Times New Roman"/>
          <w:sz w:val="24"/>
          <w:szCs w:val="24"/>
          <w:highlight w:val="white"/>
        </w:rPr>
        <w:t>Ferrel</w:t>
      </w:r>
      <w:proofErr w:type="spellEnd"/>
      <w:r>
        <w:rPr>
          <w:rFonts w:ascii="Times New Roman" w:eastAsia="Times New Roman" w:hAnsi="Times New Roman" w:cs="Times New Roman"/>
          <w:sz w:val="24"/>
          <w:szCs w:val="24"/>
          <w:highlight w:val="white"/>
        </w:rPr>
        <w:t xml:space="preserve"> v Secretary of State [1980] 1 All ER 1166</w:t>
      </w:r>
    </w:p>
    <w:p w14:paraId="5522C8B6" w14:textId="77777777" w:rsidR="00690802" w:rsidRDefault="00690802" w:rsidP="00690802">
      <w:pPr>
        <w:spacing w:after="0" w:line="240" w:lineRule="auto"/>
        <w:ind w:left="567" w:hanging="567"/>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Gallie v Lee [1971] AC 1004</w:t>
      </w:r>
    </w:p>
    <w:p w14:paraId="327AD00D" w14:textId="77777777" w:rsidR="00690802" w:rsidRDefault="00690802" w:rsidP="00690802">
      <w:pPr>
        <w:spacing w:after="0" w:line="240" w:lineRule="auto"/>
        <w:ind w:left="567" w:hanging="567"/>
        <w:jc w:val="both"/>
        <w:rPr>
          <w:rFonts w:ascii="Times New Roman" w:eastAsia="Times New Roman" w:hAnsi="Times New Roman" w:cs="Times New Roman"/>
          <w:sz w:val="24"/>
          <w:szCs w:val="24"/>
          <w:highlight w:val="white"/>
        </w:rPr>
      </w:pPr>
      <w:proofErr w:type="spellStart"/>
      <w:r>
        <w:rPr>
          <w:rFonts w:ascii="Times New Roman" w:eastAsia="Times New Roman" w:hAnsi="Times New Roman" w:cs="Times New Roman"/>
          <w:sz w:val="24"/>
          <w:szCs w:val="24"/>
          <w:highlight w:val="white"/>
        </w:rPr>
        <w:t>Gimstern</w:t>
      </w:r>
      <w:proofErr w:type="spellEnd"/>
      <w:r>
        <w:rPr>
          <w:rFonts w:ascii="Times New Roman" w:eastAsia="Times New Roman" w:hAnsi="Times New Roman" w:cs="Times New Roman"/>
          <w:sz w:val="24"/>
          <w:szCs w:val="24"/>
          <w:highlight w:val="white"/>
        </w:rPr>
        <w:t xml:space="preserve"> Corporation (M) </w:t>
      </w:r>
      <w:proofErr w:type="spellStart"/>
      <w:r>
        <w:rPr>
          <w:rFonts w:ascii="Times New Roman" w:eastAsia="Times New Roman" w:hAnsi="Times New Roman" w:cs="Times New Roman"/>
          <w:sz w:val="24"/>
          <w:szCs w:val="24"/>
          <w:highlight w:val="white"/>
        </w:rPr>
        <w:t>Sdn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Bhd</w:t>
      </w:r>
      <w:proofErr w:type="spellEnd"/>
      <w:r>
        <w:rPr>
          <w:rFonts w:ascii="Times New Roman" w:eastAsia="Times New Roman" w:hAnsi="Times New Roman" w:cs="Times New Roman"/>
          <w:sz w:val="24"/>
          <w:szCs w:val="24"/>
          <w:highlight w:val="white"/>
        </w:rPr>
        <w:t xml:space="preserve"> &amp; Anor v Global Insurance Co </w:t>
      </w:r>
      <w:proofErr w:type="spellStart"/>
      <w:r>
        <w:rPr>
          <w:rFonts w:ascii="Times New Roman" w:eastAsia="Times New Roman" w:hAnsi="Times New Roman" w:cs="Times New Roman"/>
          <w:sz w:val="24"/>
          <w:szCs w:val="24"/>
          <w:highlight w:val="white"/>
        </w:rPr>
        <w:t>Sdn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Bhd</w:t>
      </w:r>
      <w:proofErr w:type="spellEnd"/>
      <w:r>
        <w:rPr>
          <w:rFonts w:ascii="Times New Roman" w:eastAsia="Times New Roman" w:hAnsi="Times New Roman" w:cs="Times New Roman"/>
          <w:sz w:val="24"/>
          <w:szCs w:val="24"/>
          <w:highlight w:val="white"/>
        </w:rPr>
        <w:t xml:space="preserve"> [1987] 1 MLJ 302</w:t>
      </w:r>
    </w:p>
    <w:p w14:paraId="2C8C45B6" w14:textId="77777777" w:rsidR="00690802" w:rsidRDefault="00690802" w:rsidP="00690802">
      <w:pPr>
        <w:spacing w:after="0" w:line="240" w:lineRule="auto"/>
        <w:ind w:left="567" w:hanging="567"/>
        <w:jc w:val="both"/>
        <w:rPr>
          <w:rFonts w:ascii="Times New Roman" w:eastAsia="Times New Roman" w:hAnsi="Times New Roman" w:cs="Times New Roman"/>
          <w:sz w:val="24"/>
          <w:szCs w:val="24"/>
          <w:highlight w:val="white"/>
        </w:rPr>
      </w:pPr>
      <w:proofErr w:type="spellStart"/>
      <w:r>
        <w:rPr>
          <w:rFonts w:ascii="Times New Roman" w:eastAsia="Times New Roman" w:hAnsi="Times New Roman" w:cs="Times New Roman"/>
          <w:sz w:val="24"/>
          <w:szCs w:val="24"/>
          <w:highlight w:val="white"/>
        </w:rPr>
        <w:t>Hadi</w:t>
      </w:r>
      <w:proofErr w:type="spellEnd"/>
      <w:r>
        <w:rPr>
          <w:rFonts w:ascii="Times New Roman" w:eastAsia="Times New Roman" w:hAnsi="Times New Roman" w:cs="Times New Roman"/>
          <w:sz w:val="24"/>
          <w:szCs w:val="24"/>
          <w:highlight w:val="white"/>
        </w:rPr>
        <w:t xml:space="preserve"> Bin Hassan v Suria Records </w:t>
      </w:r>
      <w:proofErr w:type="spellStart"/>
      <w:r>
        <w:rPr>
          <w:rFonts w:ascii="Times New Roman" w:eastAsia="Times New Roman" w:hAnsi="Times New Roman" w:cs="Times New Roman"/>
          <w:sz w:val="24"/>
          <w:szCs w:val="24"/>
          <w:highlight w:val="white"/>
        </w:rPr>
        <w:t>Sdn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Bhd</w:t>
      </w:r>
      <w:proofErr w:type="spellEnd"/>
      <w:r>
        <w:rPr>
          <w:rFonts w:ascii="Times New Roman" w:eastAsia="Times New Roman" w:hAnsi="Times New Roman" w:cs="Times New Roman"/>
          <w:sz w:val="24"/>
          <w:szCs w:val="24"/>
          <w:highlight w:val="white"/>
        </w:rPr>
        <w:t xml:space="preserve"> [2995] 3 MLJ 522</w:t>
      </w:r>
    </w:p>
    <w:p w14:paraId="1C5B196E" w14:textId="77777777" w:rsidR="00690802" w:rsidRDefault="00690802" w:rsidP="00690802">
      <w:pPr>
        <w:spacing w:after="0" w:line="240" w:lineRule="auto"/>
        <w:ind w:left="567" w:hanging="567"/>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Haque v Haque [1977] 3 All ER 667</w:t>
      </w:r>
    </w:p>
    <w:p w14:paraId="6DEB6148" w14:textId="77777777" w:rsidR="00690802" w:rsidRDefault="00690802" w:rsidP="00690802">
      <w:pPr>
        <w:spacing w:after="0" w:line="240" w:lineRule="auto"/>
        <w:ind w:left="567" w:hanging="567"/>
        <w:jc w:val="both"/>
        <w:rPr>
          <w:rFonts w:ascii="Times New Roman" w:eastAsia="Times New Roman" w:hAnsi="Times New Roman" w:cs="Times New Roman"/>
          <w:sz w:val="24"/>
          <w:szCs w:val="24"/>
          <w:highlight w:val="white"/>
        </w:rPr>
      </w:pPr>
      <w:proofErr w:type="spellStart"/>
      <w:r>
        <w:rPr>
          <w:rFonts w:ascii="Times New Roman" w:eastAsia="Times New Roman" w:hAnsi="Times New Roman" w:cs="Times New Roman"/>
          <w:sz w:val="24"/>
          <w:szCs w:val="24"/>
          <w:highlight w:val="white"/>
        </w:rPr>
        <w:t>Hytrac</w:t>
      </w:r>
      <w:proofErr w:type="spellEnd"/>
      <w:r>
        <w:rPr>
          <w:rFonts w:ascii="Times New Roman" w:eastAsia="Times New Roman" w:hAnsi="Times New Roman" w:cs="Times New Roman"/>
          <w:sz w:val="24"/>
          <w:szCs w:val="24"/>
          <w:highlight w:val="white"/>
        </w:rPr>
        <w:t xml:space="preserve"> Conveyors Ltd v </w:t>
      </w:r>
      <w:proofErr w:type="spellStart"/>
      <w:r>
        <w:rPr>
          <w:rFonts w:ascii="Times New Roman" w:eastAsia="Times New Roman" w:hAnsi="Times New Roman" w:cs="Times New Roman"/>
          <w:sz w:val="24"/>
          <w:szCs w:val="24"/>
          <w:highlight w:val="white"/>
        </w:rPr>
        <w:t>Convetors</w:t>
      </w:r>
      <w:proofErr w:type="spellEnd"/>
      <w:r>
        <w:rPr>
          <w:rFonts w:ascii="Times New Roman" w:eastAsia="Times New Roman" w:hAnsi="Times New Roman" w:cs="Times New Roman"/>
          <w:sz w:val="24"/>
          <w:szCs w:val="24"/>
          <w:highlight w:val="white"/>
        </w:rPr>
        <w:t xml:space="preserve"> International Ltd [1982] 3 All ER 415</w:t>
      </w:r>
    </w:p>
    <w:p w14:paraId="79FFFC91" w14:textId="77777777" w:rsidR="00690802" w:rsidRDefault="00690802" w:rsidP="00690802">
      <w:pPr>
        <w:spacing w:after="0" w:line="240" w:lineRule="auto"/>
        <w:ind w:left="567" w:hanging="567"/>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Indah </w:t>
      </w:r>
      <w:proofErr w:type="spellStart"/>
      <w:r>
        <w:rPr>
          <w:rFonts w:ascii="Times New Roman" w:eastAsia="Times New Roman" w:hAnsi="Times New Roman" w:cs="Times New Roman"/>
          <w:sz w:val="24"/>
          <w:szCs w:val="24"/>
          <w:highlight w:val="white"/>
        </w:rPr>
        <w:t>Desa</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Saujana</w:t>
      </w:r>
      <w:proofErr w:type="spellEnd"/>
      <w:r>
        <w:rPr>
          <w:rFonts w:ascii="Times New Roman" w:eastAsia="Times New Roman" w:hAnsi="Times New Roman" w:cs="Times New Roman"/>
          <w:sz w:val="24"/>
          <w:szCs w:val="24"/>
          <w:highlight w:val="white"/>
        </w:rPr>
        <w:t xml:space="preserve"> Corp </w:t>
      </w:r>
      <w:proofErr w:type="spellStart"/>
      <w:r>
        <w:rPr>
          <w:rFonts w:ascii="Times New Roman" w:eastAsia="Times New Roman" w:hAnsi="Times New Roman" w:cs="Times New Roman"/>
          <w:sz w:val="24"/>
          <w:szCs w:val="24"/>
          <w:highlight w:val="white"/>
        </w:rPr>
        <w:t>Sdn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Bhd</w:t>
      </w:r>
      <w:proofErr w:type="spellEnd"/>
      <w:r>
        <w:rPr>
          <w:rFonts w:ascii="Times New Roman" w:eastAsia="Times New Roman" w:hAnsi="Times New Roman" w:cs="Times New Roman"/>
          <w:sz w:val="24"/>
          <w:szCs w:val="24"/>
          <w:highlight w:val="white"/>
        </w:rPr>
        <w:t xml:space="preserve"> &amp; </w:t>
      </w:r>
      <w:proofErr w:type="spellStart"/>
      <w:r>
        <w:rPr>
          <w:rFonts w:ascii="Times New Roman" w:eastAsia="Times New Roman" w:hAnsi="Times New Roman" w:cs="Times New Roman"/>
          <w:sz w:val="24"/>
          <w:szCs w:val="24"/>
          <w:highlight w:val="white"/>
        </w:rPr>
        <w:t>Ors</w:t>
      </w:r>
      <w:proofErr w:type="spellEnd"/>
      <w:r>
        <w:rPr>
          <w:rFonts w:ascii="Times New Roman" w:eastAsia="Times New Roman" w:hAnsi="Times New Roman" w:cs="Times New Roman"/>
          <w:sz w:val="24"/>
          <w:szCs w:val="24"/>
          <w:highlight w:val="white"/>
        </w:rPr>
        <w:t xml:space="preserve"> v James </w:t>
      </w:r>
      <w:proofErr w:type="spellStart"/>
      <w:r>
        <w:rPr>
          <w:rFonts w:ascii="Times New Roman" w:eastAsia="Times New Roman" w:hAnsi="Times New Roman" w:cs="Times New Roman"/>
          <w:sz w:val="24"/>
          <w:szCs w:val="24"/>
          <w:highlight w:val="white"/>
        </w:rPr>
        <w:t>Foong</w:t>
      </w:r>
      <w:proofErr w:type="spellEnd"/>
      <w:r>
        <w:rPr>
          <w:rFonts w:ascii="Times New Roman" w:eastAsia="Times New Roman" w:hAnsi="Times New Roman" w:cs="Times New Roman"/>
          <w:sz w:val="24"/>
          <w:szCs w:val="24"/>
          <w:highlight w:val="white"/>
        </w:rPr>
        <w:t xml:space="preserve"> Cheng Yuen, Judge, High Court Malaya &amp; Anor [2008] 2 MLJ 11</w:t>
      </w:r>
    </w:p>
    <w:p w14:paraId="6C8938CA" w14:textId="77777777" w:rsidR="00690802" w:rsidRDefault="00690802" w:rsidP="00690802">
      <w:pPr>
        <w:spacing w:after="0" w:line="240" w:lineRule="auto"/>
        <w:ind w:left="567" w:hanging="567"/>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JCT Ltd v </w:t>
      </w:r>
      <w:proofErr w:type="spellStart"/>
      <w:r>
        <w:rPr>
          <w:rFonts w:ascii="Times New Roman" w:eastAsia="Times New Roman" w:hAnsi="Times New Roman" w:cs="Times New Roman"/>
          <w:sz w:val="24"/>
          <w:szCs w:val="24"/>
          <w:highlight w:val="white"/>
        </w:rPr>
        <w:t>Muniandy</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Nadasan</w:t>
      </w:r>
      <w:proofErr w:type="spellEnd"/>
      <w:r>
        <w:rPr>
          <w:rFonts w:ascii="Times New Roman" w:eastAsia="Times New Roman" w:hAnsi="Times New Roman" w:cs="Times New Roman"/>
          <w:sz w:val="24"/>
          <w:szCs w:val="24"/>
          <w:highlight w:val="white"/>
        </w:rPr>
        <w:t xml:space="preserve"> [2016] 6 MLJ 635</w:t>
      </w:r>
    </w:p>
    <w:p w14:paraId="67548FCC" w14:textId="77777777" w:rsidR="00690802" w:rsidRDefault="00690802" w:rsidP="00690802">
      <w:pPr>
        <w:spacing w:after="0" w:line="240" w:lineRule="auto"/>
        <w:ind w:left="567" w:hanging="567"/>
        <w:jc w:val="both"/>
        <w:rPr>
          <w:rFonts w:ascii="Times New Roman" w:eastAsia="Times New Roman" w:hAnsi="Times New Roman" w:cs="Times New Roman"/>
          <w:sz w:val="24"/>
          <w:szCs w:val="24"/>
          <w:highlight w:val="white"/>
        </w:rPr>
      </w:pPr>
      <w:proofErr w:type="spellStart"/>
      <w:r>
        <w:rPr>
          <w:rFonts w:ascii="Times New Roman" w:eastAsia="Times New Roman" w:hAnsi="Times New Roman" w:cs="Times New Roman"/>
          <w:sz w:val="24"/>
          <w:szCs w:val="24"/>
          <w:highlight w:val="white"/>
        </w:rPr>
        <w:t>Jeyaretnam</w:t>
      </w:r>
      <w:proofErr w:type="spellEnd"/>
      <w:r>
        <w:rPr>
          <w:rFonts w:ascii="Times New Roman" w:eastAsia="Times New Roman" w:hAnsi="Times New Roman" w:cs="Times New Roman"/>
          <w:sz w:val="24"/>
          <w:szCs w:val="24"/>
          <w:highlight w:val="white"/>
        </w:rPr>
        <w:t xml:space="preserve"> Joshua Benjamin v Lee Kwan Yew [2001] 2 SLR(R) 831.</w:t>
      </w:r>
    </w:p>
    <w:p w14:paraId="321D6D09" w14:textId="77777777" w:rsidR="00690802" w:rsidRDefault="00690802" w:rsidP="00690802">
      <w:pPr>
        <w:spacing w:after="0" w:line="240" w:lineRule="auto"/>
        <w:ind w:left="567" w:hanging="567"/>
        <w:jc w:val="both"/>
        <w:rPr>
          <w:rFonts w:ascii="Times New Roman" w:eastAsia="Times New Roman" w:hAnsi="Times New Roman" w:cs="Times New Roman"/>
          <w:sz w:val="24"/>
          <w:szCs w:val="24"/>
          <w:highlight w:val="white"/>
        </w:rPr>
      </w:pPr>
      <w:proofErr w:type="spellStart"/>
      <w:r>
        <w:rPr>
          <w:rFonts w:ascii="Times New Roman" w:eastAsia="Times New Roman" w:hAnsi="Times New Roman" w:cs="Times New Roman"/>
          <w:sz w:val="24"/>
          <w:szCs w:val="24"/>
          <w:highlight w:val="white"/>
        </w:rPr>
        <w:t>Jugajorthy</w:t>
      </w:r>
      <w:proofErr w:type="spellEnd"/>
      <w:r>
        <w:rPr>
          <w:rFonts w:ascii="Times New Roman" w:eastAsia="Times New Roman" w:hAnsi="Times New Roman" w:cs="Times New Roman"/>
          <w:sz w:val="24"/>
          <w:szCs w:val="24"/>
          <w:highlight w:val="white"/>
        </w:rPr>
        <w:t xml:space="preserve"> Visvanathan &amp; Anor v </w:t>
      </w:r>
      <w:proofErr w:type="spellStart"/>
      <w:r>
        <w:rPr>
          <w:rFonts w:ascii="Times New Roman" w:eastAsia="Times New Roman" w:hAnsi="Times New Roman" w:cs="Times New Roman"/>
          <w:sz w:val="24"/>
          <w:szCs w:val="24"/>
          <w:highlight w:val="white"/>
        </w:rPr>
        <w:t>Pentadbir</w:t>
      </w:r>
      <w:proofErr w:type="spellEnd"/>
      <w:r>
        <w:rPr>
          <w:rFonts w:ascii="Times New Roman" w:eastAsia="Times New Roman" w:hAnsi="Times New Roman" w:cs="Times New Roman"/>
          <w:sz w:val="24"/>
          <w:szCs w:val="24"/>
          <w:highlight w:val="white"/>
        </w:rPr>
        <w:t xml:space="preserve"> Tanah Daerah, Daerah Seberang </w:t>
      </w:r>
      <w:proofErr w:type="spellStart"/>
      <w:r>
        <w:rPr>
          <w:rFonts w:ascii="Times New Roman" w:eastAsia="Times New Roman" w:hAnsi="Times New Roman" w:cs="Times New Roman"/>
          <w:sz w:val="24"/>
          <w:szCs w:val="24"/>
          <w:highlight w:val="white"/>
        </w:rPr>
        <w:t>Perai</w:t>
      </w:r>
      <w:proofErr w:type="spellEnd"/>
      <w:r>
        <w:rPr>
          <w:rFonts w:ascii="Times New Roman" w:eastAsia="Times New Roman" w:hAnsi="Times New Roman" w:cs="Times New Roman"/>
          <w:sz w:val="24"/>
          <w:szCs w:val="24"/>
          <w:highlight w:val="white"/>
        </w:rPr>
        <w:t xml:space="preserve"> Tengah </w:t>
      </w:r>
      <w:proofErr w:type="spellStart"/>
      <w:r>
        <w:rPr>
          <w:rFonts w:ascii="Times New Roman" w:eastAsia="Times New Roman" w:hAnsi="Times New Roman" w:cs="Times New Roman"/>
          <w:sz w:val="24"/>
          <w:szCs w:val="24"/>
          <w:highlight w:val="white"/>
        </w:rPr>
        <w:t>Pulau</w:t>
      </w:r>
      <w:proofErr w:type="spellEnd"/>
      <w:r>
        <w:rPr>
          <w:rFonts w:ascii="Times New Roman" w:eastAsia="Times New Roman" w:hAnsi="Times New Roman" w:cs="Times New Roman"/>
          <w:sz w:val="24"/>
          <w:szCs w:val="24"/>
          <w:highlight w:val="white"/>
        </w:rPr>
        <w:t xml:space="preserve"> Pinang &amp; </w:t>
      </w:r>
      <w:proofErr w:type="spellStart"/>
      <w:r>
        <w:rPr>
          <w:rFonts w:ascii="Times New Roman" w:eastAsia="Times New Roman" w:hAnsi="Times New Roman" w:cs="Times New Roman"/>
          <w:sz w:val="24"/>
          <w:szCs w:val="24"/>
          <w:highlight w:val="white"/>
        </w:rPr>
        <w:t>Ors</w:t>
      </w:r>
      <w:proofErr w:type="spellEnd"/>
      <w:r>
        <w:rPr>
          <w:rFonts w:ascii="Times New Roman" w:eastAsia="Times New Roman" w:hAnsi="Times New Roman" w:cs="Times New Roman"/>
          <w:sz w:val="24"/>
          <w:szCs w:val="24"/>
          <w:highlight w:val="white"/>
        </w:rPr>
        <w:t xml:space="preserve"> [2017] 1 LNS 1832</w:t>
      </w:r>
    </w:p>
    <w:p w14:paraId="2DECC9A3" w14:textId="77777777" w:rsidR="00690802" w:rsidRDefault="00690802" w:rsidP="00690802">
      <w:pPr>
        <w:pBdr>
          <w:top w:val="nil"/>
          <w:left w:val="nil"/>
          <w:bottom w:val="nil"/>
          <w:right w:val="nil"/>
          <w:between w:val="nil"/>
        </w:pBdr>
        <w:spacing w:after="0" w:line="240" w:lineRule="auto"/>
        <w:ind w:left="567" w:hanging="567"/>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xml:space="preserve">Kluang Wood Products </w:t>
      </w:r>
      <w:proofErr w:type="spellStart"/>
      <w:r>
        <w:rPr>
          <w:rFonts w:ascii="Times New Roman" w:eastAsia="Times New Roman" w:hAnsi="Times New Roman" w:cs="Times New Roman"/>
          <w:color w:val="000000"/>
          <w:sz w:val="24"/>
          <w:szCs w:val="24"/>
          <w:highlight w:val="white"/>
        </w:rPr>
        <w:t>Sdn</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Bhd</w:t>
      </w:r>
      <w:proofErr w:type="spellEnd"/>
      <w:r>
        <w:rPr>
          <w:rFonts w:ascii="Times New Roman" w:eastAsia="Times New Roman" w:hAnsi="Times New Roman" w:cs="Times New Roman"/>
          <w:color w:val="000000"/>
          <w:sz w:val="24"/>
          <w:szCs w:val="24"/>
          <w:highlight w:val="white"/>
        </w:rPr>
        <w:t xml:space="preserve"> &amp; Anor v Hong Leong Finance </w:t>
      </w:r>
      <w:proofErr w:type="spellStart"/>
      <w:r>
        <w:rPr>
          <w:rFonts w:ascii="Times New Roman" w:eastAsia="Times New Roman" w:hAnsi="Times New Roman" w:cs="Times New Roman"/>
          <w:color w:val="000000"/>
          <w:sz w:val="24"/>
          <w:szCs w:val="24"/>
          <w:highlight w:val="white"/>
        </w:rPr>
        <w:t>Bhd</w:t>
      </w:r>
      <w:proofErr w:type="spellEnd"/>
      <w:r>
        <w:rPr>
          <w:rFonts w:ascii="Times New Roman" w:eastAsia="Times New Roman" w:hAnsi="Times New Roman" w:cs="Times New Roman"/>
          <w:color w:val="000000"/>
          <w:sz w:val="24"/>
          <w:szCs w:val="24"/>
          <w:highlight w:val="white"/>
        </w:rPr>
        <w:t xml:space="preserve"> &amp; Anor [1999] 1 MLJ 193</w:t>
      </w:r>
    </w:p>
    <w:p w14:paraId="7000441C" w14:textId="77777777" w:rsidR="00690802" w:rsidRDefault="00690802" w:rsidP="00690802">
      <w:pPr>
        <w:spacing w:after="0" w:line="240" w:lineRule="auto"/>
        <w:ind w:left="567" w:hanging="567"/>
        <w:jc w:val="both"/>
        <w:rPr>
          <w:rFonts w:ascii="Times New Roman" w:eastAsia="Times New Roman" w:hAnsi="Times New Roman" w:cs="Times New Roman"/>
          <w:sz w:val="24"/>
          <w:szCs w:val="24"/>
          <w:highlight w:val="white"/>
        </w:rPr>
      </w:pPr>
      <w:proofErr w:type="spellStart"/>
      <w:r>
        <w:rPr>
          <w:rFonts w:ascii="Times New Roman" w:eastAsia="Times New Roman" w:hAnsi="Times New Roman" w:cs="Times New Roman"/>
          <w:sz w:val="24"/>
          <w:szCs w:val="24"/>
          <w:highlight w:val="white"/>
        </w:rPr>
        <w:t>Lohrho</w:t>
      </w:r>
      <w:proofErr w:type="spellEnd"/>
      <w:r>
        <w:rPr>
          <w:rFonts w:ascii="Times New Roman" w:eastAsia="Times New Roman" w:hAnsi="Times New Roman" w:cs="Times New Roman"/>
          <w:sz w:val="24"/>
          <w:szCs w:val="24"/>
          <w:highlight w:val="white"/>
        </w:rPr>
        <w:t xml:space="preserve"> v Fayed (No.5) [1993] 1 WLR 1489</w:t>
      </w:r>
    </w:p>
    <w:p w14:paraId="5541D477" w14:textId="77777777" w:rsidR="00690802" w:rsidRDefault="00690802" w:rsidP="00690802">
      <w:pPr>
        <w:spacing w:after="0" w:line="240" w:lineRule="auto"/>
        <w:ind w:left="567" w:hanging="567"/>
        <w:jc w:val="both"/>
        <w:rPr>
          <w:rFonts w:ascii="Times New Roman" w:eastAsia="Times New Roman" w:hAnsi="Times New Roman" w:cs="Times New Roman"/>
          <w:sz w:val="24"/>
          <w:szCs w:val="24"/>
          <w:highlight w:val="white"/>
        </w:rPr>
      </w:pPr>
      <w:proofErr w:type="spellStart"/>
      <w:r>
        <w:rPr>
          <w:rFonts w:ascii="Times New Roman" w:eastAsia="Times New Roman" w:hAnsi="Times New Roman" w:cs="Times New Roman"/>
          <w:sz w:val="24"/>
          <w:szCs w:val="24"/>
          <w:highlight w:val="white"/>
        </w:rPr>
        <w:t>Madarassy</w:t>
      </w:r>
      <w:proofErr w:type="spellEnd"/>
      <w:r>
        <w:rPr>
          <w:rFonts w:ascii="Times New Roman" w:eastAsia="Times New Roman" w:hAnsi="Times New Roman" w:cs="Times New Roman"/>
          <w:sz w:val="24"/>
          <w:szCs w:val="24"/>
          <w:highlight w:val="white"/>
        </w:rPr>
        <w:t xml:space="preserve"> v Nomura International Plc [2006] EWHC 748</w:t>
      </w:r>
    </w:p>
    <w:p w14:paraId="5980C174" w14:textId="77777777" w:rsidR="00690802" w:rsidRDefault="00690802" w:rsidP="00690802">
      <w:pPr>
        <w:spacing w:after="0" w:line="240" w:lineRule="auto"/>
        <w:ind w:left="567" w:hanging="567"/>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Malaysia Building Society </w:t>
      </w:r>
      <w:proofErr w:type="spellStart"/>
      <w:r>
        <w:rPr>
          <w:rFonts w:ascii="Times New Roman" w:eastAsia="Times New Roman" w:hAnsi="Times New Roman" w:cs="Times New Roman"/>
          <w:sz w:val="24"/>
          <w:szCs w:val="24"/>
          <w:highlight w:val="white"/>
        </w:rPr>
        <w:t>Berhad</w:t>
      </w:r>
      <w:proofErr w:type="spellEnd"/>
      <w:r>
        <w:rPr>
          <w:rFonts w:ascii="Times New Roman" w:eastAsia="Times New Roman" w:hAnsi="Times New Roman" w:cs="Times New Roman"/>
          <w:sz w:val="24"/>
          <w:szCs w:val="24"/>
          <w:highlight w:val="white"/>
        </w:rPr>
        <w:t xml:space="preserve"> v Tan Sri General </w:t>
      </w:r>
      <w:proofErr w:type="spellStart"/>
      <w:r>
        <w:rPr>
          <w:rFonts w:ascii="Times New Roman" w:eastAsia="Times New Roman" w:hAnsi="Times New Roman" w:cs="Times New Roman"/>
          <w:sz w:val="24"/>
          <w:szCs w:val="24"/>
          <w:highlight w:val="white"/>
        </w:rPr>
        <w:t>Ungku</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Nazaruddin</w:t>
      </w:r>
      <w:proofErr w:type="spellEnd"/>
      <w:r>
        <w:rPr>
          <w:rFonts w:ascii="Times New Roman" w:eastAsia="Times New Roman" w:hAnsi="Times New Roman" w:cs="Times New Roman"/>
          <w:sz w:val="24"/>
          <w:szCs w:val="24"/>
          <w:highlight w:val="white"/>
        </w:rPr>
        <w:t xml:space="preserve"> b </w:t>
      </w:r>
      <w:proofErr w:type="spellStart"/>
      <w:r>
        <w:rPr>
          <w:rFonts w:ascii="Times New Roman" w:eastAsia="Times New Roman" w:hAnsi="Times New Roman" w:cs="Times New Roman"/>
          <w:sz w:val="24"/>
          <w:szCs w:val="24"/>
          <w:highlight w:val="white"/>
        </w:rPr>
        <w:t>Ungku</w:t>
      </w:r>
      <w:proofErr w:type="spellEnd"/>
      <w:r>
        <w:rPr>
          <w:rFonts w:ascii="Times New Roman" w:eastAsia="Times New Roman" w:hAnsi="Times New Roman" w:cs="Times New Roman"/>
          <w:sz w:val="24"/>
          <w:szCs w:val="24"/>
          <w:highlight w:val="white"/>
        </w:rPr>
        <w:t xml:space="preserve"> Mohamed [1998] 2 AMR 1666</w:t>
      </w:r>
    </w:p>
    <w:p w14:paraId="3B8A7262" w14:textId="77777777" w:rsidR="00690802" w:rsidRDefault="00690802" w:rsidP="00690802">
      <w:pPr>
        <w:spacing w:after="0" w:line="240" w:lineRule="auto"/>
        <w:ind w:left="567" w:hanging="567"/>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Mustafa Bin Osman v Lee Chua &amp; Anor [1996] 2 MLJ 141</w:t>
      </w:r>
    </w:p>
    <w:p w14:paraId="4952DB04" w14:textId="77777777" w:rsidR="00690802" w:rsidRDefault="00690802" w:rsidP="00690802">
      <w:pPr>
        <w:spacing w:after="0" w:line="240" w:lineRule="auto"/>
        <w:ind w:left="567" w:hanging="567"/>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Ng Kian Chong v Saw Seng Kee [1994] 3 MLJ 691</w:t>
      </w:r>
    </w:p>
    <w:p w14:paraId="0AA8F1E3" w14:textId="77777777" w:rsidR="00690802" w:rsidRDefault="00690802" w:rsidP="00690802">
      <w:pPr>
        <w:spacing w:after="0" w:line="240" w:lineRule="auto"/>
        <w:ind w:left="567" w:hanging="567"/>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Norris v Beazley (1877) 35 LT 845</w:t>
      </w:r>
    </w:p>
    <w:p w14:paraId="0E54453E" w14:textId="77777777" w:rsidR="00690802" w:rsidRDefault="00690802" w:rsidP="00690802">
      <w:pPr>
        <w:spacing w:after="0" w:line="240" w:lineRule="auto"/>
        <w:ind w:left="567" w:hanging="567"/>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Novotel </w:t>
      </w:r>
      <w:proofErr w:type="spellStart"/>
      <w:r>
        <w:rPr>
          <w:rFonts w:ascii="Times New Roman" w:eastAsia="Times New Roman" w:hAnsi="Times New Roman" w:cs="Times New Roman"/>
          <w:sz w:val="24"/>
          <w:szCs w:val="24"/>
          <w:highlight w:val="white"/>
        </w:rPr>
        <w:t>Societe</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d’Investissements</w:t>
      </w:r>
      <w:proofErr w:type="spellEnd"/>
      <w:r>
        <w:rPr>
          <w:rFonts w:ascii="Times New Roman" w:eastAsia="Times New Roman" w:hAnsi="Times New Roman" w:cs="Times New Roman"/>
          <w:sz w:val="24"/>
          <w:szCs w:val="24"/>
          <w:highlight w:val="white"/>
        </w:rPr>
        <w:t xml:space="preserve"> et </w:t>
      </w:r>
      <w:proofErr w:type="spellStart"/>
      <w:r>
        <w:rPr>
          <w:rFonts w:ascii="Times New Roman" w:eastAsia="Times New Roman" w:hAnsi="Times New Roman" w:cs="Times New Roman"/>
          <w:sz w:val="24"/>
          <w:szCs w:val="24"/>
          <w:highlight w:val="white"/>
        </w:rPr>
        <w:t>d’Exploitation</w:t>
      </w:r>
      <w:proofErr w:type="spellEnd"/>
      <w:r>
        <w:rPr>
          <w:rFonts w:ascii="Times New Roman" w:eastAsia="Times New Roman" w:hAnsi="Times New Roman" w:cs="Times New Roman"/>
          <w:sz w:val="24"/>
          <w:szCs w:val="24"/>
          <w:highlight w:val="white"/>
        </w:rPr>
        <w:t xml:space="preserve"> Hoteliers &amp; Anor v </w:t>
      </w:r>
      <w:proofErr w:type="spellStart"/>
      <w:r>
        <w:rPr>
          <w:rFonts w:ascii="Times New Roman" w:eastAsia="Times New Roman" w:hAnsi="Times New Roman" w:cs="Times New Roman"/>
          <w:sz w:val="24"/>
          <w:szCs w:val="24"/>
          <w:highlight w:val="white"/>
        </w:rPr>
        <w:t>Pernas</w:t>
      </w:r>
      <w:proofErr w:type="spellEnd"/>
      <w:r>
        <w:rPr>
          <w:rFonts w:ascii="Times New Roman" w:eastAsia="Times New Roman" w:hAnsi="Times New Roman" w:cs="Times New Roman"/>
          <w:sz w:val="24"/>
          <w:szCs w:val="24"/>
          <w:highlight w:val="white"/>
        </w:rPr>
        <w:t xml:space="preserve"> Hotel Chain (Selangor) [1987] 1 MLJ 210.</w:t>
      </w:r>
    </w:p>
    <w:p w14:paraId="51F122B4" w14:textId="77777777" w:rsidR="00690802" w:rsidRDefault="00690802" w:rsidP="00690802">
      <w:pPr>
        <w:spacing w:after="0" w:line="240" w:lineRule="auto"/>
        <w:ind w:left="567" w:hanging="567"/>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Osman Daud (trading under the name and style of RSZ Trading) v </w:t>
      </w:r>
      <w:proofErr w:type="spellStart"/>
      <w:r>
        <w:rPr>
          <w:rFonts w:ascii="Times New Roman" w:eastAsia="Times New Roman" w:hAnsi="Times New Roman" w:cs="Times New Roman"/>
          <w:sz w:val="24"/>
          <w:szCs w:val="24"/>
          <w:highlight w:val="white"/>
        </w:rPr>
        <w:t>Asal</w:t>
      </w:r>
      <w:proofErr w:type="spellEnd"/>
      <w:r>
        <w:rPr>
          <w:rFonts w:ascii="Times New Roman" w:eastAsia="Times New Roman" w:hAnsi="Times New Roman" w:cs="Times New Roman"/>
          <w:sz w:val="24"/>
          <w:szCs w:val="24"/>
          <w:highlight w:val="white"/>
        </w:rPr>
        <w:t xml:space="preserve"> Bina </w:t>
      </w:r>
      <w:proofErr w:type="spellStart"/>
      <w:r>
        <w:rPr>
          <w:rFonts w:ascii="Times New Roman" w:eastAsia="Times New Roman" w:hAnsi="Times New Roman" w:cs="Times New Roman"/>
          <w:sz w:val="24"/>
          <w:szCs w:val="24"/>
          <w:highlight w:val="white"/>
        </w:rPr>
        <w:t>Sdn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Bhd</w:t>
      </w:r>
      <w:proofErr w:type="spellEnd"/>
      <w:r>
        <w:rPr>
          <w:rFonts w:ascii="Times New Roman" w:eastAsia="Times New Roman" w:hAnsi="Times New Roman" w:cs="Times New Roman"/>
          <w:sz w:val="24"/>
          <w:szCs w:val="24"/>
          <w:highlight w:val="white"/>
        </w:rPr>
        <w:t xml:space="preserve"> [2010] 9 MLJ 840</w:t>
      </w:r>
    </w:p>
    <w:p w14:paraId="2ACD42A9" w14:textId="77777777" w:rsidR="00690802" w:rsidRDefault="00690802" w:rsidP="00690802">
      <w:pPr>
        <w:spacing w:after="0" w:line="240" w:lineRule="auto"/>
        <w:ind w:left="567" w:hanging="567"/>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Pacific Asia Leasing (M) </w:t>
      </w:r>
      <w:proofErr w:type="spellStart"/>
      <w:r>
        <w:rPr>
          <w:rFonts w:ascii="Times New Roman" w:eastAsia="Times New Roman" w:hAnsi="Times New Roman" w:cs="Times New Roman"/>
          <w:sz w:val="24"/>
          <w:szCs w:val="24"/>
          <w:highlight w:val="white"/>
        </w:rPr>
        <w:t>Sdn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Bhd</w:t>
      </w:r>
      <w:proofErr w:type="spellEnd"/>
      <w:r>
        <w:rPr>
          <w:rFonts w:ascii="Times New Roman" w:eastAsia="Times New Roman" w:hAnsi="Times New Roman" w:cs="Times New Roman"/>
          <w:sz w:val="24"/>
          <w:szCs w:val="24"/>
          <w:highlight w:val="white"/>
        </w:rPr>
        <w:t xml:space="preserve"> v </w:t>
      </w:r>
      <w:proofErr w:type="spellStart"/>
      <w:r>
        <w:rPr>
          <w:rFonts w:ascii="Times New Roman" w:eastAsia="Times New Roman" w:hAnsi="Times New Roman" w:cs="Times New Roman"/>
          <w:sz w:val="24"/>
          <w:szCs w:val="24"/>
          <w:highlight w:val="white"/>
        </w:rPr>
        <w:t>Senanti</w:t>
      </w:r>
      <w:proofErr w:type="spellEnd"/>
      <w:r>
        <w:rPr>
          <w:rFonts w:ascii="Times New Roman" w:eastAsia="Times New Roman" w:hAnsi="Times New Roman" w:cs="Times New Roman"/>
          <w:sz w:val="24"/>
          <w:szCs w:val="24"/>
          <w:highlight w:val="white"/>
        </w:rPr>
        <w:t xml:space="preserve"> Motors </w:t>
      </w:r>
      <w:proofErr w:type="spellStart"/>
      <w:r>
        <w:rPr>
          <w:rFonts w:ascii="Times New Roman" w:eastAsia="Times New Roman" w:hAnsi="Times New Roman" w:cs="Times New Roman"/>
          <w:sz w:val="24"/>
          <w:szCs w:val="24"/>
          <w:highlight w:val="white"/>
        </w:rPr>
        <w:t>Sdn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Bhd</w:t>
      </w:r>
      <w:proofErr w:type="spellEnd"/>
      <w:r>
        <w:rPr>
          <w:rFonts w:ascii="Times New Roman" w:eastAsia="Times New Roman" w:hAnsi="Times New Roman" w:cs="Times New Roman"/>
          <w:sz w:val="24"/>
          <w:szCs w:val="24"/>
          <w:highlight w:val="white"/>
        </w:rPr>
        <w:t xml:space="preserve"> &amp; Anor (Y.M. </w:t>
      </w:r>
      <w:proofErr w:type="spellStart"/>
      <w:r>
        <w:rPr>
          <w:rFonts w:ascii="Times New Roman" w:eastAsia="Times New Roman" w:hAnsi="Times New Roman" w:cs="Times New Roman"/>
          <w:sz w:val="24"/>
          <w:szCs w:val="24"/>
          <w:highlight w:val="white"/>
        </w:rPr>
        <w:t>Tunku</w:t>
      </w:r>
      <w:proofErr w:type="spellEnd"/>
      <w:r>
        <w:rPr>
          <w:rFonts w:ascii="Times New Roman" w:eastAsia="Times New Roman" w:hAnsi="Times New Roman" w:cs="Times New Roman"/>
          <w:sz w:val="24"/>
          <w:szCs w:val="24"/>
          <w:highlight w:val="white"/>
        </w:rPr>
        <w:t xml:space="preserve"> Kamil Ikram, Third Party) [1992] 2 MLJ 364</w:t>
      </w:r>
    </w:p>
    <w:p w14:paraId="1F831D1F" w14:textId="77777777" w:rsidR="00690802" w:rsidRDefault="00690802" w:rsidP="00690802">
      <w:pPr>
        <w:spacing w:after="0" w:line="240" w:lineRule="auto"/>
        <w:ind w:left="567" w:hanging="567"/>
        <w:jc w:val="both"/>
        <w:rPr>
          <w:rFonts w:ascii="Times New Roman" w:eastAsia="Times New Roman" w:hAnsi="Times New Roman" w:cs="Times New Roman"/>
          <w:sz w:val="24"/>
          <w:szCs w:val="24"/>
          <w:highlight w:val="white"/>
        </w:rPr>
      </w:pPr>
      <w:proofErr w:type="spellStart"/>
      <w:r>
        <w:rPr>
          <w:rFonts w:ascii="Times New Roman" w:eastAsia="Times New Roman" w:hAnsi="Times New Roman" w:cs="Times New Roman"/>
          <w:sz w:val="24"/>
          <w:szCs w:val="24"/>
          <w:highlight w:val="white"/>
        </w:rPr>
        <w:t>Presiden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Persatuan</w:t>
      </w:r>
      <w:proofErr w:type="spellEnd"/>
      <w:r>
        <w:rPr>
          <w:rFonts w:ascii="Times New Roman" w:eastAsia="Times New Roman" w:hAnsi="Times New Roman" w:cs="Times New Roman"/>
          <w:sz w:val="24"/>
          <w:szCs w:val="24"/>
          <w:highlight w:val="white"/>
        </w:rPr>
        <w:t xml:space="preserve"> Lung Yen </w:t>
      </w:r>
      <w:proofErr w:type="spellStart"/>
      <w:r>
        <w:rPr>
          <w:rFonts w:ascii="Times New Roman" w:eastAsia="Times New Roman" w:hAnsi="Times New Roman" w:cs="Times New Roman"/>
          <w:sz w:val="24"/>
          <w:szCs w:val="24"/>
          <w:highlight w:val="white"/>
        </w:rPr>
        <w:t>Manjung</w:t>
      </w:r>
      <w:proofErr w:type="spellEnd"/>
      <w:r>
        <w:rPr>
          <w:rFonts w:ascii="Times New Roman" w:eastAsia="Times New Roman" w:hAnsi="Times New Roman" w:cs="Times New Roman"/>
          <w:sz w:val="24"/>
          <w:szCs w:val="24"/>
          <w:highlight w:val="white"/>
        </w:rPr>
        <w:t xml:space="preserve"> Perak v K&amp;L Family </w:t>
      </w:r>
      <w:proofErr w:type="spellStart"/>
      <w:r>
        <w:rPr>
          <w:rFonts w:ascii="Times New Roman" w:eastAsia="Times New Roman" w:hAnsi="Times New Roman" w:cs="Times New Roman"/>
          <w:sz w:val="24"/>
          <w:szCs w:val="24"/>
          <w:highlight w:val="white"/>
        </w:rPr>
        <w:t>Sdn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Bhd</w:t>
      </w:r>
      <w:proofErr w:type="spellEnd"/>
      <w:r>
        <w:rPr>
          <w:rFonts w:ascii="Times New Roman" w:eastAsia="Times New Roman" w:hAnsi="Times New Roman" w:cs="Times New Roman"/>
          <w:sz w:val="24"/>
          <w:szCs w:val="24"/>
          <w:highlight w:val="white"/>
        </w:rPr>
        <w:t xml:space="preserve"> [2020] MLJU 417</w:t>
      </w:r>
    </w:p>
    <w:p w14:paraId="0400EBEF" w14:textId="77777777" w:rsidR="00690802" w:rsidRDefault="00690802" w:rsidP="00690802">
      <w:pPr>
        <w:spacing w:after="0" w:line="240" w:lineRule="auto"/>
        <w:ind w:left="567" w:hanging="567"/>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Raja Zainal Abidin Bin Raja Haji </w:t>
      </w:r>
      <w:proofErr w:type="spellStart"/>
      <w:r>
        <w:rPr>
          <w:rFonts w:ascii="Times New Roman" w:eastAsia="Times New Roman" w:hAnsi="Times New Roman" w:cs="Times New Roman"/>
          <w:sz w:val="24"/>
          <w:szCs w:val="24"/>
          <w:highlight w:val="white"/>
        </w:rPr>
        <w:t>Tachik</w:t>
      </w:r>
      <w:proofErr w:type="spellEnd"/>
      <w:r>
        <w:rPr>
          <w:rFonts w:ascii="Times New Roman" w:eastAsia="Times New Roman" w:hAnsi="Times New Roman" w:cs="Times New Roman"/>
          <w:sz w:val="24"/>
          <w:szCs w:val="24"/>
          <w:highlight w:val="white"/>
        </w:rPr>
        <w:t xml:space="preserve"> &amp; </w:t>
      </w:r>
      <w:proofErr w:type="spellStart"/>
      <w:r>
        <w:rPr>
          <w:rFonts w:ascii="Times New Roman" w:eastAsia="Times New Roman" w:hAnsi="Times New Roman" w:cs="Times New Roman"/>
          <w:sz w:val="24"/>
          <w:szCs w:val="24"/>
          <w:highlight w:val="white"/>
        </w:rPr>
        <w:t>Ors</w:t>
      </w:r>
      <w:proofErr w:type="spellEnd"/>
      <w:r>
        <w:rPr>
          <w:rFonts w:ascii="Times New Roman" w:eastAsia="Times New Roman" w:hAnsi="Times New Roman" w:cs="Times New Roman"/>
          <w:sz w:val="24"/>
          <w:szCs w:val="24"/>
          <w:highlight w:val="white"/>
        </w:rPr>
        <w:t xml:space="preserve"> v British-American Life &amp; General Insurance </w:t>
      </w:r>
      <w:proofErr w:type="spellStart"/>
      <w:r>
        <w:rPr>
          <w:rFonts w:ascii="Times New Roman" w:eastAsia="Times New Roman" w:hAnsi="Times New Roman" w:cs="Times New Roman"/>
          <w:sz w:val="24"/>
          <w:szCs w:val="24"/>
          <w:highlight w:val="white"/>
        </w:rPr>
        <w:t>Bhd</w:t>
      </w:r>
      <w:proofErr w:type="spellEnd"/>
      <w:r>
        <w:rPr>
          <w:rFonts w:ascii="Times New Roman" w:eastAsia="Times New Roman" w:hAnsi="Times New Roman" w:cs="Times New Roman"/>
          <w:sz w:val="24"/>
          <w:szCs w:val="24"/>
          <w:highlight w:val="white"/>
        </w:rPr>
        <w:t xml:space="preserve"> [1993] 3 CLJ 606</w:t>
      </w:r>
    </w:p>
    <w:p w14:paraId="3267CFBF" w14:textId="586F5203" w:rsidR="00690802" w:rsidRDefault="00690802" w:rsidP="00690802">
      <w:pPr>
        <w:spacing w:after="0" w:line="240" w:lineRule="auto"/>
        <w:ind w:left="567" w:hanging="567"/>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Ratnam v </w:t>
      </w:r>
      <w:proofErr w:type="spellStart"/>
      <w:r>
        <w:rPr>
          <w:rFonts w:ascii="Times New Roman" w:eastAsia="Times New Roman" w:hAnsi="Times New Roman" w:cs="Times New Roman"/>
          <w:sz w:val="24"/>
          <w:szCs w:val="24"/>
          <w:highlight w:val="white"/>
        </w:rPr>
        <w:t>Cumarasamy</w:t>
      </w:r>
      <w:proofErr w:type="spellEnd"/>
      <w:r>
        <w:rPr>
          <w:rFonts w:ascii="Times New Roman" w:eastAsia="Times New Roman" w:hAnsi="Times New Roman" w:cs="Times New Roman"/>
          <w:sz w:val="24"/>
          <w:szCs w:val="24"/>
          <w:highlight w:val="white"/>
        </w:rPr>
        <w:t xml:space="preserve"> &amp; Anor [1964] 1 NS 237</w:t>
      </w:r>
    </w:p>
    <w:p w14:paraId="53999466" w14:textId="77777777" w:rsidR="00690802" w:rsidRDefault="00690802" w:rsidP="00690802">
      <w:pPr>
        <w:spacing w:after="0" w:line="240" w:lineRule="auto"/>
        <w:ind w:left="567" w:hanging="567"/>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lastRenderedPageBreak/>
        <w:t>Re Bartlett &amp; Berry’s Contract (1887) 76 LT 751</w:t>
      </w:r>
    </w:p>
    <w:p w14:paraId="45DEE7DE" w14:textId="77777777" w:rsidR="00690802" w:rsidRDefault="00690802" w:rsidP="00690802">
      <w:pPr>
        <w:spacing w:after="0" w:line="240" w:lineRule="auto"/>
        <w:ind w:left="567" w:hanging="567"/>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Richland Trade &amp; Development </w:t>
      </w:r>
      <w:proofErr w:type="spellStart"/>
      <w:r>
        <w:rPr>
          <w:rFonts w:ascii="Times New Roman" w:eastAsia="Times New Roman" w:hAnsi="Times New Roman" w:cs="Times New Roman"/>
          <w:sz w:val="24"/>
          <w:szCs w:val="24"/>
          <w:highlight w:val="white"/>
        </w:rPr>
        <w:t>Sdn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Bhd</w:t>
      </w:r>
      <w:proofErr w:type="spellEnd"/>
      <w:r>
        <w:rPr>
          <w:rFonts w:ascii="Times New Roman" w:eastAsia="Times New Roman" w:hAnsi="Times New Roman" w:cs="Times New Roman"/>
          <w:sz w:val="24"/>
          <w:szCs w:val="24"/>
          <w:highlight w:val="white"/>
        </w:rPr>
        <w:t xml:space="preserve"> v United Malayan Banking Corp. </w:t>
      </w:r>
      <w:proofErr w:type="spellStart"/>
      <w:r>
        <w:rPr>
          <w:rFonts w:ascii="Times New Roman" w:eastAsia="Times New Roman" w:hAnsi="Times New Roman" w:cs="Times New Roman"/>
          <w:sz w:val="24"/>
          <w:szCs w:val="24"/>
          <w:highlight w:val="white"/>
        </w:rPr>
        <w:t>Bhd</w:t>
      </w:r>
      <w:proofErr w:type="spellEnd"/>
      <w:r>
        <w:rPr>
          <w:rFonts w:ascii="Times New Roman" w:eastAsia="Times New Roman" w:hAnsi="Times New Roman" w:cs="Times New Roman"/>
          <w:sz w:val="24"/>
          <w:szCs w:val="24"/>
          <w:highlight w:val="white"/>
        </w:rPr>
        <w:t xml:space="preserve"> [1996] 4 MLJ 233</w:t>
      </w:r>
    </w:p>
    <w:p w14:paraId="13720F2F" w14:textId="77777777" w:rsidR="00690802" w:rsidRDefault="00690802" w:rsidP="00690802">
      <w:pPr>
        <w:spacing w:after="0" w:line="240" w:lineRule="auto"/>
        <w:ind w:left="567" w:hanging="567"/>
        <w:jc w:val="both"/>
        <w:rPr>
          <w:rFonts w:ascii="Times New Roman" w:eastAsia="Times New Roman" w:hAnsi="Times New Roman" w:cs="Times New Roman"/>
          <w:sz w:val="24"/>
          <w:szCs w:val="24"/>
          <w:highlight w:val="white"/>
        </w:rPr>
      </w:pPr>
      <w:proofErr w:type="spellStart"/>
      <w:r>
        <w:rPr>
          <w:rFonts w:ascii="Times New Roman" w:eastAsia="Times New Roman" w:hAnsi="Times New Roman" w:cs="Times New Roman"/>
          <w:sz w:val="24"/>
          <w:szCs w:val="24"/>
          <w:highlight w:val="white"/>
        </w:rPr>
        <w:t>Sa’Amran</w:t>
      </w:r>
      <w:proofErr w:type="spellEnd"/>
      <w:r>
        <w:rPr>
          <w:rFonts w:ascii="Times New Roman" w:eastAsia="Times New Roman" w:hAnsi="Times New Roman" w:cs="Times New Roman"/>
          <w:sz w:val="24"/>
          <w:szCs w:val="24"/>
          <w:highlight w:val="white"/>
        </w:rPr>
        <w:t xml:space="preserve"> a/l </w:t>
      </w:r>
      <w:proofErr w:type="spellStart"/>
      <w:r>
        <w:rPr>
          <w:rFonts w:ascii="Times New Roman" w:eastAsia="Times New Roman" w:hAnsi="Times New Roman" w:cs="Times New Roman"/>
          <w:sz w:val="24"/>
          <w:szCs w:val="24"/>
          <w:highlight w:val="white"/>
        </w:rPr>
        <w:t>Atan</w:t>
      </w:r>
      <w:proofErr w:type="spellEnd"/>
      <w:r>
        <w:rPr>
          <w:rFonts w:ascii="Times New Roman" w:eastAsia="Times New Roman" w:hAnsi="Times New Roman" w:cs="Times New Roman"/>
          <w:sz w:val="24"/>
          <w:szCs w:val="24"/>
          <w:highlight w:val="white"/>
        </w:rPr>
        <w:t xml:space="preserve"> v </w:t>
      </w:r>
      <w:proofErr w:type="spellStart"/>
      <w:r>
        <w:rPr>
          <w:rFonts w:ascii="Times New Roman" w:eastAsia="Times New Roman" w:hAnsi="Times New Roman" w:cs="Times New Roman"/>
          <w:sz w:val="24"/>
          <w:szCs w:val="24"/>
          <w:highlight w:val="white"/>
        </w:rPr>
        <w:t>Fazlina</w:t>
      </w:r>
      <w:proofErr w:type="spellEnd"/>
      <w:r>
        <w:rPr>
          <w:rFonts w:ascii="Times New Roman" w:eastAsia="Times New Roman" w:hAnsi="Times New Roman" w:cs="Times New Roman"/>
          <w:sz w:val="24"/>
          <w:szCs w:val="24"/>
          <w:highlight w:val="white"/>
        </w:rPr>
        <w:t xml:space="preserve"> binti </w:t>
      </w:r>
      <w:proofErr w:type="spellStart"/>
      <w:r>
        <w:rPr>
          <w:rFonts w:ascii="Times New Roman" w:eastAsia="Times New Roman" w:hAnsi="Times New Roman" w:cs="Times New Roman"/>
          <w:sz w:val="24"/>
          <w:szCs w:val="24"/>
          <w:highlight w:val="white"/>
        </w:rPr>
        <w:t>Mihad</w:t>
      </w:r>
      <w:proofErr w:type="spellEnd"/>
      <w:r>
        <w:rPr>
          <w:rFonts w:ascii="Times New Roman" w:eastAsia="Times New Roman" w:hAnsi="Times New Roman" w:cs="Times New Roman"/>
          <w:sz w:val="24"/>
          <w:szCs w:val="24"/>
          <w:highlight w:val="white"/>
        </w:rPr>
        <w:t xml:space="preserve"> dan </w:t>
      </w:r>
      <w:proofErr w:type="spellStart"/>
      <w:r>
        <w:rPr>
          <w:rFonts w:ascii="Times New Roman" w:eastAsia="Times New Roman" w:hAnsi="Times New Roman" w:cs="Times New Roman"/>
          <w:sz w:val="24"/>
          <w:szCs w:val="24"/>
          <w:highlight w:val="white"/>
        </w:rPr>
        <w:t>satu</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lagi</w:t>
      </w:r>
      <w:proofErr w:type="spellEnd"/>
      <w:r>
        <w:rPr>
          <w:rFonts w:ascii="Times New Roman" w:eastAsia="Times New Roman" w:hAnsi="Times New Roman" w:cs="Times New Roman"/>
          <w:sz w:val="24"/>
          <w:szCs w:val="24"/>
          <w:highlight w:val="white"/>
        </w:rPr>
        <w:t xml:space="preserve"> [2019] MLJU 919</w:t>
      </w:r>
    </w:p>
    <w:p w14:paraId="19BD4842" w14:textId="77777777" w:rsidR="00690802" w:rsidRDefault="00690802" w:rsidP="00690802">
      <w:pPr>
        <w:spacing w:after="0" w:line="240" w:lineRule="auto"/>
        <w:ind w:left="567" w:hanging="567"/>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Sivakumar a/l </w:t>
      </w:r>
      <w:proofErr w:type="spellStart"/>
      <w:r>
        <w:rPr>
          <w:rFonts w:ascii="Times New Roman" w:eastAsia="Times New Roman" w:hAnsi="Times New Roman" w:cs="Times New Roman"/>
          <w:sz w:val="24"/>
          <w:szCs w:val="24"/>
          <w:highlight w:val="white"/>
        </w:rPr>
        <w:t>Varatharaju</w:t>
      </w:r>
      <w:proofErr w:type="spellEnd"/>
      <w:r>
        <w:rPr>
          <w:rFonts w:ascii="Times New Roman" w:eastAsia="Times New Roman" w:hAnsi="Times New Roman" w:cs="Times New Roman"/>
          <w:sz w:val="24"/>
          <w:szCs w:val="24"/>
          <w:highlight w:val="white"/>
        </w:rPr>
        <w:t xml:space="preserve"> Naidu v Ganesan a/l </w:t>
      </w:r>
      <w:proofErr w:type="spellStart"/>
      <w:r>
        <w:rPr>
          <w:rFonts w:ascii="Times New Roman" w:eastAsia="Times New Roman" w:hAnsi="Times New Roman" w:cs="Times New Roman"/>
          <w:sz w:val="24"/>
          <w:szCs w:val="24"/>
          <w:highlight w:val="white"/>
        </w:rPr>
        <w:t>Retanam</w:t>
      </w:r>
      <w:proofErr w:type="spellEnd"/>
      <w:r>
        <w:rPr>
          <w:rFonts w:ascii="Times New Roman" w:eastAsia="Times New Roman" w:hAnsi="Times New Roman" w:cs="Times New Roman"/>
          <w:sz w:val="24"/>
          <w:szCs w:val="24"/>
          <w:highlight w:val="white"/>
        </w:rPr>
        <w:t xml:space="preserve"> [2011] 6 MLJ 70 </w:t>
      </w:r>
    </w:p>
    <w:p w14:paraId="0D89B8B6" w14:textId="77777777" w:rsidR="00690802" w:rsidRDefault="00690802" w:rsidP="00690802">
      <w:pPr>
        <w:spacing w:after="0" w:line="240" w:lineRule="auto"/>
        <w:ind w:left="567" w:hanging="567"/>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Steamship Mutual Undertaking Association Ltd v Trollope and Colls (City) Ltd (1986) 33 Build LR 77</w:t>
      </w:r>
    </w:p>
    <w:p w14:paraId="777FE273" w14:textId="77777777" w:rsidR="00690802" w:rsidRDefault="00690802" w:rsidP="00690802">
      <w:pPr>
        <w:spacing w:after="0" w:line="240" w:lineRule="auto"/>
        <w:ind w:left="567" w:hanging="567"/>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Superintendent of Land and Surveys (4th </w:t>
      </w:r>
      <w:proofErr w:type="spellStart"/>
      <w:r>
        <w:rPr>
          <w:rFonts w:ascii="Times New Roman" w:eastAsia="Times New Roman" w:hAnsi="Times New Roman" w:cs="Times New Roman"/>
          <w:sz w:val="24"/>
          <w:szCs w:val="24"/>
          <w:highlight w:val="white"/>
        </w:rPr>
        <w:t>Div</w:t>
      </w:r>
      <w:proofErr w:type="spellEnd"/>
      <w:r>
        <w:rPr>
          <w:rFonts w:ascii="Times New Roman" w:eastAsia="Times New Roman" w:hAnsi="Times New Roman" w:cs="Times New Roman"/>
          <w:sz w:val="24"/>
          <w:szCs w:val="24"/>
          <w:highlight w:val="white"/>
        </w:rPr>
        <w:t xml:space="preserve">) &amp; Anor v </w:t>
      </w:r>
      <w:proofErr w:type="spellStart"/>
      <w:r>
        <w:rPr>
          <w:rFonts w:ascii="Times New Roman" w:eastAsia="Times New Roman" w:hAnsi="Times New Roman" w:cs="Times New Roman"/>
          <w:sz w:val="24"/>
          <w:szCs w:val="24"/>
          <w:highlight w:val="white"/>
        </w:rPr>
        <w:t>Hamit</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Matusin</w:t>
      </w:r>
      <w:proofErr w:type="spellEnd"/>
      <w:r>
        <w:rPr>
          <w:rFonts w:ascii="Times New Roman" w:eastAsia="Times New Roman" w:hAnsi="Times New Roman" w:cs="Times New Roman"/>
          <w:sz w:val="24"/>
          <w:szCs w:val="24"/>
          <w:highlight w:val="white"/>
        </w:rPr>
        <w:t xml:space="preserve"> &amp; </w:t>
      </w:r>
      <w:proofErr w:type="spellStart"/>
      <w:r>
        <w:rPr>
          <w:rFonts w:ascii="Times New Roman" w:eastAsia="Times New Roman" w:hAnsi="Times New Roman" w:cs="Times New Roman"/>
          <w:sz w:val="24"/>
          <w:szCs w:val="24"/>
          <w:highlight w:val="white"/>
        </w:rPr>
        <w:t>Ors</w:t>
      </w:r>
      <w:proofErr w:type="spellEnd"/>
      <w:r>
        <w:rPr>
          <w:rFonts w:ascii="Times New Roman" w:eastAsia="Times New Roman" w:hAnsi="Times New Roman" w:cs="Times New Roman"/>
          <w:sz w:val="24"/>
          <w:szCs w:val="24"/>
          <w:highlight w:val="white"/>
        </w:rPr>
        <w:t xml:space="preserve"> [1994] 3 CLJ 567</w:t>
      </w:r>
    </w:p>
    <w:p w14:paraId="001F48CC" w14:textId="77777777" w:rsidR="00690802" w:rsidRDefault="00690802" w:rsidP="00690802">
      <w:pPr>
        <w:spacing w:after="0" w:line="240" w:lineRule="auto"/>
        <w:ind w:left="567" w:hanging="567"/>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Sutcliffe v James (1879) 40 LT 875</w:t>
      </w:r>
    </w:p>
    <w:p w14:paraId="4B3866B1" w14:textId="77777777" w:rsidR="00690802" w:rsidRDefault="00690802" w:rsidP="00690802">
      <w:pPr>
        <w:spacing w:after="0" w:line="240" w:lineRule="auto"/>
        <w:ind w:left="567" w:hanging="567"/>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Tan Ah Tong v Parveen Kaur [2011] 5 MLJ 428</w:t>
      </w:r>
    </w:p>
    <w:p w14:paraId="4DC87110" w14:textId="77777777" w:rsidR="00690802" w:rsidRDefault="00690802" w:rsidP="00690802">
      <w:pPr>
        <w:spacing w:after="0" w:line="240" w:lineRule="auto"/>
        <w:ind w:left="567" w:hanging="567"/>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Tan Seng </w:t>
      </w:r>
      <w:proofErr w:type="spellStart"/>
      <w:r>
        <w:rPr>
          <w:rFonts w:ascii="Times New Roman" w:eastAsia="Times New Roman" w:hAnsi="Times New Roman" w:cs="Times New Roman"/>
          <w:sz w:val="24"/>
          <w:szCs w:val="24"/>
          <w:highlight w:val="white"/>
        </w:rPr>
        <w:t>Hin</w:t>
      </w:r>
      <w:proofErr w:type="spellEnd"/>
      <w:r>
        <w:rPr>
          <w:rFonts w:ascii="Times New Roman" w:eastAsia="Times New Roman" w:hAnsi="Times New Roman" w:cs="Times New Roman"/>
          <w:sz w:val="24"/>
          <w:szCs w:val="24"/>
          <w:highlight w:val="white"/>
        </w:rPr>
        <w:t xml:space="preserve"> v Editor of ‘See Hua Daily News’ [2008] 8 MLJ 73</w:t>
      </w:r>
    </w:p>
    <w:p w14:paraId="1DA65618" w14:textId="77777777" w:rsidR="00690802" w:rsidRDefault="00690802" w:rsidP="00690802">
      <w:pPr>
        <w:spacing w:after="0" w:line="240" w:lineRule="auto"/>
        <w:ind w:left="567" w:hanging="567"/>
        <w:jc w:val="both"/>
        <w:rPr>
          <w:rFonts w:ascii="Times New Roman" w:eastAsia="Times New Roman" w:hAnsi="Times New Roman" w:cs="Times New Roman"/>
          <w:sz w:val="24"/>
          <w:szCs w:val="24"/>
          <w:highlight w:val="white"/>
        </w:rPr>
      </w:pPr>
      <w:proofErr w:type="spellStart"/>
      <w:r>
        <w:rPr>
          <w:rFonts w:ascii="Times New Roman" w:eastAsia="Times New Roman" w:hAnsi="Times New Roman" w:cs="Times New Roman"/>
          <w:sz w:val="24"/>
          <w:szCs w:val="24"/>
          <w:highlight w:val="white"/>
        </w:rPr>
        <w:t>Te</w:t>
      </w:r>
      <w:proofErr w:type="spellEnd"/>
      <w:r>
        <w:rPr>
          <w:rFonts w:ascii="Times New Roman" w:eastAsia="Times New Roman" w:hAnsi="Times New Roman" w:cs="Times New Roman"/>
          <w:sz w:val="24"/>
          <w:szCs w:val="24"/>
          <w:highlight w:val="white"/>
        </w:rPr>
        <w:t xml:space="preserve"> Cheng Hoi v </w:t>
      </w:r>
      <w:proofErr w:type="spellStart"/>
      <w:r>
        <w:rPr>
          <w:rFonts w:ascii="Times New Roman" w:eastAsia="Times New Roman" w:hAnsi="Times New Roman" w:cs="Times New Roman"/>
          <w:sz w:val="24"/>
          <w:szCs w:val="24"/>
          <w:highlight w:val="white"/>
        </w:rPr>
        <w:t>Peh</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Im</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Kweng</w:t>
      </w:r>
      <w:proofErr w:type="spellEnd"/>
      <w:r>
        <w:rPr>
          <w:rFonts w:ascii="Times New Roman" w:eastAsia="Times New Roman" w:hAnsi="Times New Roman" w:cs="Times New Roman"/>
          <w:sz w:val="24"/>
          <w:szCs w:val="24"/>
          <w:highlight w:val="white"/>
        </w:rPr>
        <w:t xml:space="preserve"> [1994] 2 AMR 1484</w:t>
      </w:r>
    </w:p>
    <w:p w14:paraId="1141A40C" w14:textId="77777777" w:rsidR="00690802" w:rsidRDefault="00690802" w:rsidP="00690802">
      <w:pPr>
        <w:spacing w:after="0" w:line="240" w:lineRule="auto"/>
        <w:ind w:left="567" w:hanging="567"/>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Yew Yin Lai v Teo Meng Hai &amp; Anor [2007] 5 CLJ 737</w:t>
      </w:r>
    </w:p>
    <w:p w14:paraId="00000104" w14:textId="77777777" w:rsidR="00E97409" w:rsidRDefault="00E97409" w:rsidP="00690802">
      <w:pPr>
        <w:spacing w:after="0" w:line="240" w:lineRule="auto"/>
        <w:ind w:left="567" w:hanging="567"/>
        <w:jc w:val="both"/>
        <w:rPr>
          <w:rFonts w:ascii="Times New Roman" w:eastAsia="Times New Roman" w:hAnsi="Times New Roman" w:cs="Times New Roman"/>
          <w:b/>
          <w:sz w:val="24"/>
          <w:szCs w:val="24"/>
          <w:highlight w:val="white"/>
        </w:rPr>
      </w:pPr>
    </w:p>
    <w:p w14:paraId="00000105" w14:textId="77777777" w:rsidR="00E97409" w:rsidRDefault="007741DD" w:rsidP="00690802">
      <w:pPr>
        <w:spacing w:after="0" w:line="240" w:lineRule="auto"/>
        <w:ind w:left="567" w:hanging="567"/>
        <w:jc w:val="both"/>
        <w:rPr>
          <w:rFonts w:ascii="Times New Roman" w:eastAsia="Times New Roman" w:hAnsi="Times New Roman" w:cs="Times New Roman"/>
          <w:b/>
          <w:sz w:val="24"/>
          <w:szCs w:val="24"/>
          <w:highlight w:val="white"/>
        </w:rPr>
      </w:pPr>
      <w:proofErr w:type="spellStart"/>
      <w:r>
        <w:rPr>
          <w:rFonts w:ascii="Times New Roman" w:eastAsia="Times New Roman" w:hAnsi="Times New Roman" w:cs="Times New Roman"/>
          <w:b/>
          <w:sz w:val="24"/>
          <w:szCs w:val="24"/>
          <w:highlight w:val="white"/>
        </w:rPr>
        <w:t>Sumber-sumber</w:t>
      </w:r>
      <w:proofErr w:type="spellEnd"/>
      <w:r>
        <w:rPr>
          <w:rFonts w:ascii="Times New Roman" w:eastAsia="Times New Roman" w:hAnsi="Times New Roman" w:cs="Times New Roman"/>
          <w:b/>
          <w:sz w:val="24"/>
          <w:szCs w:val="24"/>
          <w:highlight w:val="white"/>
        </w:rPr>
        <w:t xml:space="preserve"> Lain</w:t>
      </w:r>
    </w:p>
    <w:p w14:paraId="00000106" w14:textId="77777777" w:rsidR="00E97409" w:rsidRDefault="007741DD" w:rsidP="00690802">
      <w:pPr>
        <w:spacing w:after="0" w:line="240" w:lineRule="auto"/>
        <w:ind w:left="567" w:hanging="567"/>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J. Beatson et al. 2010. </w:t>
      </w:r>
      <w:r>
        <w:rPr>
          <w:rFonts w:ascii="Times New Roman" w:eastAsia="Times New Roman" w:hAnsi="Times New Roman" w:cs="Times New Roman"/>
          <w:i/>
          <w:sz w:val="24"/>
          <w:szCs w:val="24"/>
          <w:highlight w:val="white"/>
        </w:rPr>
        <w:t>Anson’s Law of Contract</w:t>
      </w:r>
      <w:r>
        <w:rPr>
          <w:rFonts w:ascii="Times New Roman" w:eastAsia="Times New Roman" w:hAnsi="Times New Roman" w:cs="Times New Roman"/>
          <w:sz w:val="24"/>
          <w:szCs w:val="24"/>
          <w:highlight w:val="white"/>
        </w:rPr>
        <w:t xml:space="preserve">. 29th Edition. Great Britain: Oxford University Press. </w:t>
      </w:r>
    </w:p>
    <w:p w14:paraId="00000107" w14:textId="77777777" w:rsidR="00E97409" w:rsidRDefault="007741DD" w:rsidP="00690802">
      <w:pPr>
        <w:spacing w:after="0" w:line="240" w:lineRule="auto"/>
        <w:ind w:left="567" w:hanging="567"/>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Civil Procedure Volume 1. 2008. London: Sweet &amp; Maxwell.</w:t>
      </w:r>
    </w:p>
    <w:p w14:paraId="00000108" w14:textId="77777777" w:rsidR="00E97409" w:rsidRDefault="007741DD" w:rsidP="00690802">
      <w:pPr>
        <w:spacing w:after="0" w:line="240" w:lineRule="auto"/>
        <w:ind w:left="567" w:hanging="567"/>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Halsbury, S. (2). Halsbury's Laws of England Being Complete Statement of the Whole Law of England. London, Butterworth &amp; Co.</w:t>
      </w:r>
    </w:p>
    <w:p w14:paraId="00000109" w14:textId="0A11657E" w:rsidR="00E97409" w:rsidRDefault="007741DD" w:rsidP="00690802">
      <w:pPr>
        <w:spacing w:after="0" w:line="240" w:lineRule="auto"/>
        <w:ind w:left="567" w:hanging="567"/>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Pleading Subsequent </w:t>
      </w:r>
      <w:r w:rsidR="00690802">
        <w:rPr>
          <w:rFonts w:ascii="Times New Roman" w:eastAsia="Times New Roman" w:hAnsi="Times New Roman" w:cs="Times New Roman"/>
          <w:sz w:val="24"/>
          <w:szCs w:val="24"/>
          <w:highlight w:val="white"/>
        </w:rPr>
        <w:t>to</w:t>
      </w:r>
      <w:r>
        <w:rPr>
          <w:rFonts w:ascii="Times New Roman" w:eastAsia="Times New Roman" w:hAnsi="Times New Roman" w:cs="Times New Roman"/>
          <w:sz w:val="24"/>
          <w:szCs w:val="24"/>
          <w:highlight w:val="white"/>
        </w:rPr>
        <w:t xml:space="preserve"> Reply </w:t>
      </w:r>
      <w:proofErr w:type="gramStart"/>
      <w:r>
        <w:rPr>
          <w:rFonts w:ascii="Times New Roman" w:eastAsia="Times New Roman" w:hAnsi="Times New Roman" w:cs="Times New Roman"/>
          <w:sz w:val="24"/>
          <w:szCs w:val="24"/>
          <w:highlight w:val="white"/>
        </w:rPr>
        <w:t>And</w:t>
      </w:r>
      <w:proofErr w:type="gramEnd"/>
      <w:r>
        <w:rPr>
          <w:rFonts w:ascii="Times New Roman" w:eastAsia="Times New Roman" w:hAnsi="Times New Roman" w:cs="Times New Roman"/>
          <w:sz w:val="24"/>
          <w:szCs w:val="24"/>
          <w:highlight w:val="white"/>
        </w:rPr>
        <w:t xml:space="preserve"> Defence To Counterclaim - Formal Application For Leave Required? [2017] 6 CLJ xli.</w:t>
      </w:r>
    </w:p>
    <w:p w14:paraId="0000010A" w14:textId="77777777" w:rsidR="00E97409" w:rsidRDefault="007741DD" w:rsidP="00690802">
      <w:pPr>
        <w:spacing w:after="0" w:line="240" w:lineRule="auto"/>
        <w:ind w:left="567" w:hanging="567"/>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Nasser Hamid. 1996. </w:t>
      </w:r>
      <w:r>
        <w:rPr>
          <w:rFonts w:ascii="Times New Roman" w:eastAsia="Times New Roman" w:hAnsi="Times New Roman" w:cs="Times New Roman"/>
          <w:i/>
          <w:sz w:val="24"/>
          <w:szCs w:val="24"/>
          <w:highlight w:val="white"/>
        </w:rPr>
        <w:t>Pleadings</w:t>
      </w:r>
      <w:r>
        <w:rPr>
          <w:rFonts w:ascii="Times New Roman" w:eastAsia="Times New Roman" w:hAnsi="Times New Roman" w:cs="Times New Roman"/>
          <w:sz w:val="24"/>
          <w:szCs w:val="24"/>
          <w:highlight w:val="white"/>
        </w:rPr>
        <w:t xml:space="preserve">. </w:t>
      </w:r>
    </w:p>
    <w:p w14:paraId="0000010B" w14:textId="77777777" w:rsidR="00E97409" w:rsidRDefault="00E97409" w:rsidP="00690802">
      <w:pPr>
        <w:spacing w:after="0" w:line="240" w:lineRule="auto"/>
        <w:ind w:left="567" w:hanging="567"/>
        <w:jc w:val="both"/>
        <w:rPr>
          <w:rFonts w:ascii="Times New Roman" w:eastAsia="Times New Roman" w:hAnsi="Times New Roman" w:cs="Times New Roman"/>
          <w:sz w:val="24"/>
          <w:szCs w:val="24"/>
          <w:highlight w:val="white"/>
        </w:rPr>
      </w:pPr>
    </w:p>
    <w:p w14:paraId="0000010C" w14:textId="77777777" w:rsidR="00E97409" w:rsidRDefault="00E97409" w:rsidP="00690802">
      <w:pPr>
        <w:spacing w:after="0" w:line="240" w:lineRule="auto"/>
        <w:ind w:left="567" w:hanging="567"/>
        <w:jc w:val="both"/>
        <w:rPr>
          <w:rFonts w:ascii="Times New Roman" w:eastAsia="Times New Roman" w:hAnsi="Times New Roman" w:cs="Times New Roman"/>
          <w:sz w:val="24"/>
          <w:szCs w:val="24"/>
          <w:highlight w:val="white"/>
        </w:rPr>
      </w:pPr>
    </w:p>
    <w:sectPr w:rsidR="00E97409">
      <w:headerReference w:type="default" r:id="rId8"/>
      <w:footerReference w:type="default" r:id="rId9"/>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5AC7DC" w14:textId="77777777" w:rsidR="00540931" w:rsidRDefault="00540931">
      <w:pPr>
        <w:spacing w:after="0" w:line="240" w:lineRule="auto"/>
      </w:pPr>
      <w:r>
        <w:separator/>
      </w:r>
    </w:p>
  </w:endnote>
  <w:endnote w:type="continuationSeparator" w:id="0">
    <w:p w14:paraId="2742EAD1" w14:textId="77777777" w:rsidR="00540931" w:rsidRDefault="005409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auto"/>
    <w:pitch w:val="default"/>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2231771"/>
      <w:docPartObj>
        <w:docPartGallery w:val="Page Numbers (Bottom of Page)"/>
        <w:docPartUnique/>
      </w:docPartObj>
    </w:sdtPr>
    <w:sdtEndPr>
      <w:rPr>
        <w:noProof/>
      </w:rPr>
    </w:sdtEndPr>
    <w:sdtContent>
      <w:p w14:paraId="6E3EF06F" w14:textId="68F41DFE" w:rsidR="00F3160E" w:rsidRDefault="00F3160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AF8A2B1" w14:textId="77777777" w:rsidR="00F3160E" w:rsidRDefault="00F316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1C5849" w14:textId="77777777" w:rsidR="00540931" w:rsidRDefault="00540931">
      <w:pPr>
        <w:spacing w:after="0" w:line="240" w:lineRule="auto"/>
      </w:pPr>
      <w:r>
        <w:separator/>
      </w:r>
    </w:p>
  </w:footnote>
  <w:footnote w:type="continuationSeparator" w:id="0">
    <w:p w14:paraId="64A3162F" w14:textId="77777777" w:rsidR="00540931" w:rsidRDefault="00540931">
      <w:pPr>
        <w:spacing w:after="0" w:line="240" w:lineRule="auto"/>
      </w:pPr>
      <w:r>
        <w:continuationSeparator/>
      </w:r>
    </w:p>
  </w:footnote>
  <w:footnote w:id="1">
    <w:p w14:paraId="00000164" w14:textId="77777777" w:rsidR="00E97409" w:rsidRDefault="007741DD">
      <w:pPr>
        <w:spacing w:after="0" w:line="240" w:lineRule="auto"/>
        <w:rPr>
          <w:rFonts w:ascii="Times New Roman" w:eastAsia="Times New Roman" w:hAnsi="Times New Roman" w:cs="Times New Roman"/>
          <w:sz w:val="20"/>
          <w:szCs w:val="20"/>
        </w:rPr>
      </w:pPr>
      <w:r>
        <w:rPr>
          <w:rStyle w:val="FootnoteReference"/>
        </w:rPr>
        <w:footnoteRef/>
      </w:r>
      <w:r>
        <w:rPr>
          <w:sz w:val="20"/>
          <w:szCs w:val="20"/>
        </w:rPr>
        <w:t xml:space="preserve"> </w:t>
      </w:r>
      <w:r>
        <w:rPr>
          <w:rFonts w:ascii="Times New Roman" w:eastAsia="Times New Roman" w:hAnsi="Times New Roman" w:cs="Times New Roman"/>
          <w:sz w:val="20"/>
          <w:szCs w:val="20"/>
        </w:rPr>
        <w:t xml:space="preserve">Nasser Hamid, </w:t>
      </w:r>
      <w:r>
        <w:rPr>
          <w:rFonts w:ascii="Times New Roman" w:eastAsia="Times New Roman" w:hAnsi="Times New Roman" w:cs="Times New Roman"/>
          <w:i/>
          <w:sz w:val="20"/>
          <w:szCs w:val="20"/>
        </w:rPr>
        <w:t>Pleadings</w:t>
      </w:r>
      <w:r>
        <w:rPr>
          <w:rFonts w:ascii="Times New Roman" w:eastAsia="Times New Roman" w:hAnsi="Times New Roman" w:cs="Times New Roman"/>
          <w:sz w:val="20"/>
          <w:szCs w:val="20"/>
        </w:rPr>
        <w:t>. 1996.</w:t>
      </w:r>
    </w:p>
    <w:p w14:paraId="00000165" w14:textId="77777777" w:rsidR="00E97409" w:rsidRDefault="00E97409">
      <w:pPr>
        <w:spacing w:after="0" w:line="240" w:lineRule="auto"/>
        <w:rPr>
          <w:rFonts w:ascii="Times New Roman" w:eastAsia="Times New Roman" w:hAnsi="Times New Roman" w:cs="Times New Roman"/>
          <w:sz w:val="20"/>
          <w:szCs w:val="20"/>
        </w:rPr>
      </w:pPr>
    </w:p>
  </w:footnote>
  <w:footnote w:id="2">
    <w:p w14:paraId="00000133" w14:textId="77777777" w:rsidR="00E97409" w:rsidRDefault="007741DD">
      <w:pPr>
        <w:spacing w:after="0" w:line="240" w:lineRule="auto"/>
        <w:rPr>
          <w:rFonts w:ascii="Times New Roman" w:eastAsia="Times New Roman" w:hAnsi="Times New Roman" w:cs="Times New Roman"/>
          <w:sz w:val="20"/>
          <w:szCs w:val="20"/>
          <w:highlight w:val="white"/>
        </w:rPr>
      </w:pPr>
      <w:r>
        <w:rPr>
          <w:rStyle w:val="FootnoteReference"/>
        </w:rPr>
        <w:footnoteRef/>
      </w:r>
      <w:r>
        <w:rPr>
          <w:rFonts w:ascii="Arial" w:eastAsia="Arial" w:hAnsi="Arial" w:cs="Arial"/>
          <w:sz w:val="20"/>
          <w:szCs w:val="20"/>
        </w:rPr>
        <w:t xml:space="preserve"> </w:t>
      </w:r>
      <w:r>
        <w:rPr>
          <w:rFonts w:ascii="Times New Roman" w:eastAsia="Times New Roman" w:hAnsi="Times New Roman" w:cs="Times New Roman"/>
          <w:sz w:val="20"/>
          <w:szCs w:val="20"/>
          <w:highlight w:val="white"/>
        </w:rPr>
        <w:t>[1974] 1 MLJ 157.</w:t>
      </w:r>
    </w:p>
    <w:p w14:paraId="00000134" w14:textId="77777777" w:rsidR="00E97409" w:rsidRDefault="00E97409">
      <w:pPr>
        <w:spacing w:after="0" w:line="240" w:lineRule="auto"/>
        <w:rPr>
          <w:rFonts w:ascii="Times New Roman" w:eastAsia="Times New Roman" w:hAnsi="Times New Roman" w:cs="Times New Roman"/>
          <w:sz w:val="20"/>
          <w:szCs w:val="20"/>
          <w:highlight w:val="white"/>
        </w:rPr>
      </w:pPr>
    </w:p>
  </w:footnote>
  <w:footnote w:id="3">
    <w:p w14:paraId="00000135" w14:textId="77777777" w:rsidR="00E97409" w:rsidRDefault="007741DD">
      <w:pPr>
        <w:spacing w:after="0" w:line="240" w:lineRule="auto"/>
        <w:rPr>
          <w:rFonts w:ascii="Times New Roman" w:eastAsia="Times New Roman" w:hAnsi="Times New Roman" w:cs="Times New Roman"/>
          <w:sz w:val="20"/>
          <w:szCs w:val="20"/>
          <w:highlight w:val="white"/>
        </w:rPr>
      </w:pPr>
      <w:r>
        <w:rPr>
          <w:rStyle w:val="FootnoteReference"/>
        </w:rPr>
        <w:footnoteRef/>
      </w:r>
      <w:r>
        <w:rPr>
          <w:rFonts w:ascii="Arial" w:eastAsia="Arial" w:hAnsi="Arial" w:cs="Arial"/>
          <w:sz w:val="20"/>
          <w:szCs w:val="20"/>
        </w:rPr>
        <w:t xml:space="preserve"> </w:t>
      </w:r>
      <w:r>
        <w:rPr>
          <w:rFonts w:ascii="Times New Roman" w:eastAsia="Times New Roman" w:hAnsi="Times New Roman" w:cs="Times New Roman"/>
          <w:sz w:val="20"/>
          <w:szCs w:val="20"/>
          <w:highlight w:val="white"/>
        </w:rPr>
        <w:t>[1980] 1 All ER 1166.</w:t>
      </w:r>
    </w:p>
    <w:p w14:paraId="00000136" w14:textId="77777777" w:rsidR="00E97409" w:rsidRDefault="00E97409">
      <w:pPr>
        <w:spacing w:after="0" w:line="240" w:lineRule="auto"/>
        <w:rPr>
          <w:rFonts w:ascii="Times New Roman" w:eastAsia="Times New Roman" w:hAnsi="Times New Roman" w:cs="Times New Roman"/>
          <w:sz w:val="20"/>
          <w:szCs w:val="20"/>
          <w:highlight w:val="white"/>
        </w:rPr>
      </w:pPr>
    </w:p>
  </w:footnote>
  <w:footnote w:id="4">
    <w:p w14:paraId="00000137" w14:textId="77777777" w:rsidR="00E97409" w:rsidRDefault="007741DD">
      <w:pPr>
        <w:spacing w:after="0" w:line="240" w:lineRule="auto"/>
        <w:rPr>
          <w:rFonts w:ascii="Times New Roman" w:eastAsia="Times New Roman" w:hAnsi="Times New Roman" w:cs="Times New Roman"/>
          <w:sz w:val="20"/>
          <w:szCs w:val="20"/>
        </w:rPr>
      </w:pPr>
      <w:r>
        <w:rPr>
          <w:rStyle w:val="FootnoteReference"/>
        </w:rPr>
        <w:footnoteRef/>
      </w:r>
      <w:r>
        <w:rPr>
          <w:rFonts w:ascii="Arial" w:eastAsia="Arial" w:hAnsi="Arial" w:cs="Arial"/>
          <w:sz w:val="20"/>
          <w:szCs w:val="20"/>
        </w:rPr>
        <w:t xml:space="preserve"> </w:t>
      </w:r>
      <w:r>
        <w:rPr>
          <w:rFonts w:ascii="Times New Roman" w:eastAsia="Times New Roman" w:hAnsi="Times New Roman" w:cs="Times New Roman"/>
          <w:sz w:val="20"/>
          <w:szCs w:val="20"/>
        </w:rPr>
        <w:t xml:space="preserve">Nasser Hamid, </w:t>
      </w:r>
      <w:r>
        <w:rPr>
          <w:rFonts w:ascii="Times New Roman" w:eastAsia="Times New Roman" w:hAnsi="Times New Roman" w:cs="Times New Roman"/>
          <w:i/>
          <w:sz w:val="20"/>
          <w:szCs w:val="20"/>
        </w:rPr>
        <w:t>Pleadings</w:t>
      </w:r>
      <w:r>
        <w:rPr>
          <w:rFonts w:ascii="Times New Roman" w:eastAsia="Times New Roman" w:hAnsi="Times New Roman" w:cs="Times New Roman"/>
          <w:sz w:val="20"/>
          <w:szCs w:val="20"/>
        </w:rPr>
        <w:t>. 1996</w:t>
      </w:r>
    </w:p>
    <w:p w14:paraId="00000138" w14:textId="77777777" w:rsidR="00E97409" w:rsidRDefault="00E97409">
      <w:pPr>
        <w:spacing w:after="0" w:line="240" w:lineRule="auto"/>
        <w:rPr>
          <w:rFonts w:ascii="Times New Roman" w:eastAsia="Times New Roman" w:hAnsi="Times New Roman" w:cs="Times New Roman"/>
          <w:sz w:val="20"/>
          <w:szCs w:val="20"/>
        </w:rPr>
      </w:pPr>
    </w:p>
  </w:footnote>
  <w:footnote w:id="5">
    <w:p w14:paraId="00000139" w14:textId="77777777" w:rsidR="00E97409" w:rsidRDefault="007741DD">
      <w:pPr>
        <w:spacing w:after="0" w:line="240" w:lineRule="auto"/>
        <w:rPr>
          <w:rFonts w:ascii="Times New Roman" w:eastAsia="Times New Roman" w:hAnsi="Times New Roman" w:cs="Times New Roman"/>
          <w:sz w:val="20"/>
          <w:szCs w:val="20"/>
          <w:highlight w:val="white"/>
        </w:rPr>
      </w:pPr>
      <w:r>
        <w:rPr>
          <w:rStyle w:val="FootnoteReference"/>
        </w:rPr>
        <w:footnoteRef/>
      </w:r>
      <w:r>
        <w:rPr>
          <w:rFonts w:ascii="Times New Roman" w:eastAsia="Times New Roman" w:hAnsi="Times New Roman" w:cs="Times New Roman"/>
          <w:sz w:val="20"/>
          <w:szCs w:val="20"/>
        </w:rPr>
        <w:t xml:space="preserve"> [1987] </w:t>
      </w:r>
      <w:r>
        <w:rPr>
          <w:rFonts w:ascii="Times New Roman" w:eastAsia="Times New Roman" w:hAnsi="Times New Roman" w:cs="Times New Roman"/>
          <w:sz w:val="20"/>
          <w:szCs w:val="20"/>
          <w:highlight w:val="white"/>
        </w:rPr>
        <w:t>1 MLJ 210.</w:t>
      </w:r>
    </w:p>
    <w:p w14:paraId="0000013A" w14:textId="77777777" w:rsidR="00E97409" w:rsidRDefault="00E97409">
      <w:pPr>
        <w:spacing w:after="0" w:line="240" w:lineRule="auto"/>
        <w:rPr>
          <w:rFonts w:ascii="Times New Roman" w:eastAsia="Times New Roman" w:hAnsi="Times New Roman" w:cs="Times New Roman"/>
          <w:sz w:val="20"/>
          <w:szCs w:val="20"/>
          <w:highlight w:val="white"/>
        </w:rPr>
      </w:pPr>
    </w:p>
  </w:footnote>
  <w:footnote w:id="6">
    <w:p w14:paraId="0000013B" w14:textId="77777777" w:rsidR="00E97409" w:rsidRDefault="007741DD">
      <w:pPr>
        <w:spacing w:after="0" w:line="240" w:lineRule="auto"/>
        <w:rPr>
          <w:rFonts w:ascii="Times New Roman" w:eastAsia="Times New Roman" w:hAnsi="Times New Roman" w:cs="Times New Roman"/>
          <w:sz w:val="20"/>
          <w:szCs w:val="20"/>
          <w:highlight w:val="white"/>
        </w:rPr>
      </w:pPr>
      <w:r>
        <w:rPr>
          <w:rStyle w:val="FootnoteReference"/>
        </w:rPr>
        <w:footnoteRef/>
      </w:r>
      <w:r>
        <w:rPr>
          <w:rFonts w:ascii="Arial" w:eastAsia="Arial" w:hAnsi="Arial" w:cs="Arial"/>
          <w:sz w:val="20"/>
          <w:szCs w:val="20"/>
        </w:rPr>
        <w:t xml:space="preserve"> </w:t>
      </w:r>
      <w:r>
        <w:rPr>
          <w:rFonts w:ascii="Times New Roman" w:eastAsia="Times New Roman" w:hAnsi="Times New Roman" w:cs="Times New Roman"/>
          <w:sz w:val="20"/>
          <w:szCs w:val="20"/>
          <w:highlight w:val="white"/>
        </w:rPr>
        <w:t>[2020] 4 MLJ 229.</w:t>
      </w:r>
    </w:p>
    <w:p w14:paraId="0000013C" w14:textId="77777777" w:rsidR="00E97409" w:rsidRDefault="00E97409">
      <w:pPr>
        <w:spacing w:after="0" w:line="240" w:lineRule="auto"/>
        <w:rPr>
          <w:rFonts w:ascii="Times New Roman" w:eastAsia="Times New Roman" w:hAnsi="Times New Roman" w:cs="Times New Roman"/>
          <w:sz w:val="20"/>
          <w:szCs w:val="20"/>
          <w:highlight w:val="white"/>
        </w:rPr>
      </w:pPr>
    </w:p>
  </w:footnote>
  <w:footnote w:id="7">
    <w:p w14:paraId="0000013D" w14:textId="77777777" w:rsidR="00E97409" w:rsidRDefault="007741DD">
      <w:pPr>
        <w:spacing w:after="0" w:line="240" w:lineRule="auto"/>
        <w:rPr>
          <w:rFonts w:ascii="Times New Roman" w:eastAsia="Times New Roman" w:hAnsi="Times New Roman" w:cs="Times New Roman"/>
          <w:sz w:val="20"/>
          <w:szCs w:val="20"/>
          <w:highlight w:val="white"/>
        </w:rPr>
      </w:pPr>
      <w:r>
        <w:rPr>
          <w:rStyle w:val="FootnoteReference"/>
        </w:rPr>
        <w:footnoteRef/>
      </w:r>
      <w:r>
        <w:rPr>
          <w:rFonts w:ascii="Arial" w:eastAsia="Arial" w:hAnsi="Arial" w:cs="Arial"/>
          <w:sz w:val="20"/>
          <w:szCs w:val="20"/>
        </w:rPr>
        <w:t xml:space="preserve"> </w:t>
      </w:r>
      <w:r>
        <w:rPr>
          <w:rFonts w:ascii="Times New Roman" w:eastAsia="Times New Roman" w:hAnsi="Times New Roman" w:cs="Times New Roman"/>
          <w:sz w:val="20"/>
          <w:szCs w:val="20"/>
          <w:highlight w:val="white"/>
        </w:rPr>
        <w:t>[2016] 6 MLJ 635.</w:t>
      </w:r>
    </w:p>
    <w:p w14:paraId="0000013E" w14:textId="77777777" w:rsidR="00E97409" w:rsidRDefault="00E97409">
      <w:pPr>
        <w:spacing w:after="0" w:line="240" w:lineRule="auto"/>
        <w:rPr>
          <w:rFonts w:ascii="Times New Roman" w:eastAsia="Times New Roman" w:hAnsi="Times New Roman" w:cs="Times New Roman"/>
          <w:sz w:val="20"/>
          <w:szCs w:val="20"/>
          <w:highlight w:val="white"/>
        </w:rPr>
      </w:pPr>
    </w:p>
  </w:footnote>
  <w:footnote w:id="8">
    <w:p w14:paraId="00000161" w14:textId="77777777" w:rsidR="00E97409" w:rsidRDefault="007741DD">
      <w:pPr>
        <w:spacing w:after="0" w:line="240" w:lineRule="auto"/>
        <w:rPr>
          <w:rFonts w:ascii="Times New Roman" w:eastAsia="Times New Roman" w:hAnsi="Times New Roman" w:cs="Times New Roman"/>
          <w:sz w:val="20"/>
          <w:szCs w:val="20"/>
        </w:rPr>
      </w:pPr>
      <w:r>
        <w:rPr>
          <w:rStyle w:val="FootnoteReference"/>
        </w:rPr>
        <w:footnoteRef/>
      </w:r>
      <w:r>
        <w:rPr>
          <w:rFonts w:ascii="Times New Roman" w:eastAsia="Times New Roman" w:hAnsi="Times New Roman" w:cs="Times New Roman"/>
          <w:sz w:val="20"/>
          <w:szCs w:val="20"/>
        </w:rPr>
        <w:t xml:space="preserve"> Halsbury's Laws of Malaysia - Civil Procedure (Volumes 7(1) and 7(2)). Malaysia: LexisNexis.</w:t>
      </w:r>
    </w:p>
    <w:p w14:paraId="00000162" w14:textId="77777777" w:rsidR="00E97409" w:rsidRDefault="00E97409">
      <w:pPr>
        <w:spacing w:after="0" w:line="240" w:lineRule="auto"/>
        <w:rPr>
          <w:rFonts w:ascii="Times New Roman" w:eastAsia="Times New Roman" w:hAnsi="Times New Roman" w:cs="Times New Roman"/>
          <w:sz w:val="20"/>
          <w:szCs w:val="20"/>
        </w:rPr>
      </w:pPr>
    </w:p>
  </w:footnote>
  <w:footnote w:id="9">
    <w:p w14:paraId="00000163" w14:textId="77777777" w:rsidR="00E97409" w:rsidRDefault="007741DD">
      <w:pPr>
        <w:spacing w:after="0" w:line="240" w:lineRule="auto"/>
        <w:rPr>
          <w:rFonts w:ascii="Times New Roman" w:eastAsia="Times New Roman" w:hAnsi="Times New Roman" w:cs="Times New Roman"/>
          <w:sz w:val="20"/>
          <w:szCs w:val="20"/>
        </w:rPr>
      </w:pPr>
      <w:r>
        <w:rPr>
          <w:rStyle w:val="FootnoteReference"/>
        </w:rPr>
        <w:footnoteRef/>
      </w:r>
      <w:r>
        <w:rPr>
          <w:sz w:val="20"/>
          <w:szCs w:val="20"/>
        </w:rPr>
        <w:t xml:space="preserve"> </w:t>
      </w:r>
      <w:r>
        <w:rPr>
          <w:rFonts w:ascii="Times New Roman" w:eastAsia="Times New Roman" w:hAnsi="Times New Roman" w:cs="Times New Roman"/>
          <w:sz w:val="20"/>
          <w:szCs w:val="20"/>
        </w:rPr>
        <w:t>Halsbury's Laws of Malaysia - Civil Procedure (Volumes 7(1) and 7(2)). Malaysia: LexisNexis.</w:t>
      </w:r>
    </w:p>
  </w:footnote>
  <w:footnote w:id="10">
    <w:p w14:paraId="0000013F" w14:textId="77777777" w:rsidR="00E97409" w:rsidRDefault="007741DD">
      <w:pPr>
        <w:spacing w:after="0" w:line="240" w:lineRule="auto"/>
        <w:rPr>
          <w:rFonts w:ascii="Times New Roman" w:eastAsia="Times New Roman" w:hAnsi="Times New Roman" w:cs="Times New Roman"/>
          <w:sz w:val="20"/>
          <w:szCs w:val="20"/>
        </w:rPr>
      </w:pPr>
      <w:r>
        <w:rPr>
          <w:rStyle w:val="FootnoteReference"/>
        </w:rPr>
        <w:footnoteRef/>
      </w:r>
      <w:r>
        <w:rPr>
          <w:rFonts w:ascii="Arial" w:eastAsia="Arial" w:hAnsi="Arial" w:cs="Arial"/>
          <w:sz w:val="20"/>
          <w:szCs w:val="20"/>
        </w:rPr>
        <w:t xml:space="preserve"> </w:t>
      </w:r>
      <w:r>
        <w:rPr>
          <w:rFonts w:ascii="Times New Roman" w:eastAsia="Times New Roman" w:hAnsi="Times New Roman" w:cs="Times New Roman"/>
          <w:sz w:val="20"/>
          <w:szCs w:val="20"/>
        </w:rPr>
        <w:t xml:space="preserve">Halsbury's Laws of Malaysia - Civil Procedure (Volumes 7(1) and 7(2)). </w:t>
      </w:r>
      <w:proofErr w:type="spellStart"/>
      <w:proofErr w:type="gramStart"/>
      <w:r>
        <w:rPr>
          <w:rFonts w:ascii="Times New Roman" w:eastAsia="Times New Roman" w:hAnsi="Times New Roman" w:cs="Times New Roman"/>
          <w:sz w:val="20"/>
          <w:szCs w:val="20"/>
        </w:rPr>
        <w:t>Malaysia:LexisNexis</w:t>
      </w:r>
      <w:proofErr w:type="spellEnd"/>
      <w:proofErr w:type="gramEnd"/>
      <w:r>
        <w:rPr>
          <w:rFonts w:ascii="Times New Roman" w:eastAsia="Times New Roman" w:hAnsi="Times New Roman" w:cs="Times New Roman"/>
          <w:sz w:val="20"/>
          <w:szCs w:val="20"/>
        </w:rPr>
        <w:t>.</w:t>
      </w:r>
    </w:p>
    <w:p w14:paraId="00000140" w14:textId="77777777" w:rsidR="00E97409" w:rsidRDefault="00E97409">
      <w:pPr>
        <w:spacing w:after="0" w:line="240" w:lineRule="auto"/>
        <w:rPr>
          <w:rFonts w:ascii="Times New Roman" w:eastAsia="Times New Roman" w:hAnsi="Times New Roman" w:cs="Times New Roman"/>
          <w:sz w:val="20"/>
          <w:szCs w:val="20"/>
        </w:rPr>
      </w:pPr>
    </w:p>
  </w:footnote>
  <w:footnote w:id="11">
    <w:p w14:paraId="00000141" w14:textId="77777777" w:rsidR="00E97409" w:rsidRDefault="007741DD">
      <w:pPr>
        <w:spacing w:after="0" w:line="240" w:lineRule="auto"/>
        <w:rPr>
          <w:rFonts w:ascii="Times New Roman" w:eastAsia="Times New Roman" w:hAnsi="Times New Roman" w:cs="Times New Roman"/>
          <w:sz w:val="20"/>
          <w:szCs w:val="20"/>
        </w:rPr>
      </w:pPr>
      <w:r>
        <w:rPr>
          <w:rStyle w:val="FootnoteReference"/>
        </w:rPr>
        <w:footnoteRef/>
      </w:r>
      <w:r>
        <w:rPr>
          <w:rFonts w:ascii="Arial" w:eastAsia="Arial" w:hAnsi="Arial" w:cs="Arial"/>
          <w:sz w:val="20"/>
          <w:szCs w:val="20"/>
        </w:rPr>
        <w:t xml:space="preserve"> </w:t>
      </w:r>
      <w:r>
        <w:rPr>
          <w:rFonts w:ascii="Times New Roman" w:eastAsia="Times New Roman" w:hAnsi="Times New Roman" w:cs="Times New Roman"/>
          <w:sz w:val="20"/>
          <w:szCs w:val="20"/>
        </w:rPr>
        <w:t xml:space="preserve">Halsbury's Laws of Malaysia - Civil Procedure (Volumes 7(1) and 7(2)). </w:t>
      </w:r>
      <w:proofErr w:type="spellStart"/>
      <w:proofErr w:type="gramStart"/>
      <w:r>
        <w:rPr>
          <w:rFonts w:ascii="Times New Roman" w:eastAsia="Times New Roman" w:hAnsi="Times New Roman" w:cs="Times New Roman"/>
          <w:sz w:val="20"/>
          <w:szCs w:val="20"/>
        </w:rPr>
        <w:t>Malaysia:LexisNexis</w:t>
      </w:r>
      <w:proofErr w:type="spellEnd"/>
      <w:proofErr w:type="gramEnd"/>
      <w:r>
        <w:rPr>
          <w:rFonts w:ascii="Times New Roman" w:eastAsia="Times New Roman" w:hAnsi="Times New Roman" w:cs="Times New Roman"/>
          <w:sz w:val="20"/>
          <w:szCs w:val="20"/>
        </w:rPr>
        <w:t>.</w:t>
      </w:r>
    </w:p>
    <w:p w14:paraId="00000142" w14:textId="77777777" w:rsidR="00E97409" w:rsidRDefault="00E97409">
      <w:pPr>
        <w:spacing w:after="0" w:line="240" w:lineRule="auto"/>
        <w:rPr>
          <w:rFonts w:ascii="Times New Roman" w:eastAsia="Times New Roman" w:hAnsi="Times New Roman" w:cs="Times New Roman"/>
          <w:sz w:val="20"/>
          <w:szCs w:val="20"/>
        </w:rPr>
      </w:pPr>
    </w:p>
  </w:footnote>
  <w:footnote w:id="12">
    <w:p w14:paraId="00000143" w14:textId="77777777" w:rsidR="00E97409" w:rsidRDefault="007741DD">
      <w:pPr>
        <w:spacing w:after="0" w:line="240" w:lineRule="auto"/>
        <w:rPr>
          <w:rFonts w:ascii="Times New Roman" w:eastAsia="Times New Roman" w:hAnsi="Times New Roman" w:cs="Times New Roman"/>
          <w:sz w:val="20"/>
          <w:szCs w:val="20"/>
        </w:rPr>
      </w:pPr>
      <w:r>
        <w:rPr>
          <w:rStyle w:val="FootnoteReference"/>
        </w:rPr>
        <w:footnoteRef/>
      </w:r>
      <w:r>
        <w:rPr>
          <w:rFonts w:ascii="Arial" w:eastAsia="Arial" w:hAnsi="Arial" w:cs="Arial"/>
          <w:sz w:val="20"/>
          <w:szCs w:val="20"/>
        </w:rPr>
        <w:t xml:space="preserve">  </w:t>
      </w:r>
      <w:r>
        <w:rPr>
          <w:rFonts w:ascii="Times New Roman" w:eastAsia="Times New Roman" w:hAnsi="Times New Roman" w:cs="Times New Roman"/>
          <w:sz w:val="20"/>
          <w:szCs w:val="20"/>
        </w:rPr>
        <w:t>Nasser Hamid, Pleadings. 1996.</w:t>
      </w:r>
    </w:p>
    <w:p w14:paraId="00000144" w14:textId="77777777" w:rsidR="00E97409" w:rsidRDefault="00E97409">
      <w:pPr>
        <w:spacing w:after="0" w:line="240" w:lineRule="auto"/>
        <w:rPr>
          <w:rFonts w:ascii="Arial" w:eastAsia="Arial" w:hAnsi="Arial" w:cs="Arial"/>
          <w:sz w:val="20"/>
          <w:szCs w:val="20"/>
        </w:rPr>
      </w:pPr>
    </w:p>
  </w:footnote>
  <w:footnote w:id="13">
    <w:p w14:paraId="00000146" w14:textId="71326C22" w:rsidR="00E97409" w:rsidRDefault="007741DD">
      <w:pPr>
        <w:spacing w:after="0" w:line="240" w:lineRule="auto"/>
        <w:rPr>
          <w:rFonts w:ascii="Times New Roman" w:eastAsia="Times New Roman" w:hAnsi="Times New Roman" w:cs="Times New Roman"/>
          <w:sz w:val="20"/>
          <w:szCs w:val="20"/>
        </w:rPr>
      </w:pPr>
      <w:r>
        <w:rPr>
          <w:rStyle w:val="FootnoteReference"/>
        </w:rPr>
        <w:footnoteRef/>
      </w:r>
      <w:r>
        <w:rPr>
          <w:rFonts w:ascii="Arial" w:eastAsia="Arial" w:hAnsi="Arial" w:cs="Arial"/>
          <w:sz w:val="20"/>
          <w:szCs w:val="20"/>
        </w:rPr>
        <w:t xml:space="preserve"> </w:t>
      </w:r>
      <w:proofErr w:type="spellStart"/>
      <w:r>
        <w:rPr>
          <w:rFonts w:ascii="Times New Roman" w:eastAsia="Times New Roman" w:hAnsi="Times New Roman" w:cs="Times New Roman"/>
          <w:sz w:val="20"/>
          <w:szCs w:val="20"/>
        </w:rPr>
        <w:t>Kaedah-Kaedah</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Mahkamah</w:t>
      </w:r>
      <w:proofErr w:type="spellEnd"/>
      <w:r>
        <w:rPr>
          <w:rFonts w:ascii="Times New Roman" w:eastAsia="Times New Roman" w:hAnsi="Times New Roman" w:cs="Times New Roman"/>
          <w:sz w:val="20"/>
          <w:szCs w:val="20"/>
        </w:rPr>
        <w:t xml:space="preserve"> 2012.</w:t>
      </w:r>
    </w:p>
  </w:footnote>
  <w:footnote w:id="14">
    <w:p w14:paraId="00000147" w14:textId="77777777" w:rsidR="00E97409" w:rsidRDefault="007741DD">
      <w:pPr>
        <w:spacing w:after="0" w:line="240" w:lineRule="auto"/>
        <w:rPr>
          <w:rFonts w:ascii="Times New Roman" w:eastAsia="Times New Roman" w:hAnsi="Times New Roman" w:cs="Times New Roman"/>
          <w:sz w:val="20"/>
          <w:szCs w:val="20"/>
        </w:rPr>
      </w:pPr>
      <w:r>
        <w:rPr>
          <w:rStyle w:val="FootnoteReference"/>
        </w:rPr>
        <w:footnoteRef/>
      </w:r>
      <w:r>
        <w:rPr>
          <w:rFonts w:ascii="Arial" w:eastAsia="Arial" w:hAnsi="Arial" w:cs="Arial"/>
          <w:sz w:val="20"/>
          <w:szCs w:val="20"/>
        </w:rPr>
        <w:t xml:space="preserve">  </w:t>
      </w:r>
      <w:r>
        <w:rPr>
          <w:rFonts w:ascii="Times New Roman" w:eastAsia="Times New Roman" w:hAnsi="Times New Roman" w:cs="Times New Roman"/>
          <w:sz w:val="20"/>
          <w:szCs w:val="20"/>
        </w:rPr>
        <w:t xml:space="preserve">Pleading Subsequent </w:t>
      </w:r>
      <w:proofErr w:type="gramStart"/>
      <w:r>
        <w:rPr>
          <w:rFonts w:ascii="Times New Roman" w:eastAsia="Times New Roman" w:hAnsi="Times New Roman" w:cs="Times New Roman"/>
          <w:sz w:val="20"/>
          <w:szCs w:val="20"/>
        </w:rPr>
        <w:t>To</w:t>
      </w:r>
      <w:proofErr w:type="gramEnd"/>
      <w:r>
        <w:rPr>
          <w:rFonts w:ascii="Times New Roman" w:eastAsia="Times New Roman" w:hAnsi="Times New Roman" w:cs="Times New Roman"/>
          <w:sz w:val="20"/>
          <w:szCs w:val="20"/>
        </w:rPr>
        <w:t xml:space="preserve"> Reply And Defence To Counterclaim - Formal Application For Leave Required? [2017] 6 CLJ xli.</w:t>
      </w:r>
    </w:p>
    <w:p w14:paraId="00000148" w14:textId="77777777" w:rsidR="00E97409" w:rsidRDefault="00E97409">
      <w:pPr>
        <w:spacing w:after="0" w:line="240" w:lineRule="auto"/>
        <w:rPr>
          <w:rFonts w:ascii="Times New Roman" w:eastAsia="Times New Roman" w:hAnsi="Times New Roman" w:cs="Times New Roman"/>
          <w:sz w:val="20"/>
          <w:szCs w:val="20"/>
        </w:rPr>
      </w:pPr>
    </w:p>
  </w:footnote>
  <w:footnote w:id="15">
    <w:p w14:paraId="00000149" w14:textId="77777777" w:rsidR="00E97409" w:rsidRDefault="007741DD">
      <w:pPr>
        <w:spacing w:after="0" w:line="240" w:lineRule="auto"/>
        <w:rPr>
          <w:rFonts w:ascii="Times New Roman" w:eastAsia="Times New Roman" w:hAnsi="Times New Roman" w:cs="Times New Roman"/>
          <w:sz w:val="20"/>
          <w:szCs w:val="20"/>
          <w:highlight w:val="white"/>
        </w:rPr>
      </w:pPr>
      <w:r>
        <w:rPr>
          <w:rStyle w:val="FootnoteReference"/>
        </w:rPr>
        <w:footnoteRef/>
      </w:r>
      <w:r>
        <w:rPr>
          <w:rFonts w:ascii="Arial" w:eastAsia="Arial" w:hAnsi="Arial" w:cs="Arial"/>
          <w:sz w:val="20"/>
          <w:szCs w:val="20"/>
        </w:rPr>
        <w:t xml:space="preserve"> </w:t>
      </w:r>
      <w:r>
        <w:rPr>
          <w:rFonts w:ascii="Times New Roman" w:eastAsia="Times New Roman" w:hAnsi="Times New Roman" w:cs="Times New Roman"/>
          <w:sz w:val="20"/>
          <w:szCs w:val="20"/>
          <w:highlight w:val="white"/>
        </w:rPr>
        <w:t>[2007] 5 CLJ 737.</w:t>
      </w:r>
    </w:p>
    <w:p w14:paraId="0000014A" w14:textId="77777777" w:rsidR="00E97409" w:rsidRDefault="00E97409">
      <w:pPr>
        <w:spacing w:after="0" w:line="240" w:lineRule="auto"/>
        <w:rPr>
          <w:rFonts w:ascii="Times New Roman" w:eastAsia="Times New Roman" w:hAnsi="Times New Roman" w:cs="Times New Roman"/>
          <w:sz w:val="20"/>
          <w:szCs w:val="20"/>
          <w:highlight w:val="white"/>
        </w:rPr>
      </w:pPr>
    </w:p>
  </w:footnote>
  <w:footnote w:id="16">
    <w:p w14:paraId="0000016E" w14:textId="77777777" w:rsidR="00E97409" w:rsidRDefault="007741DD">
      <w:pPr>
        <w:spacing w:after="0" w:line="240" w:lineRule="auto"/>
        <w:jc w:val="both"/>
        <w:rPr>
          <w:rFonts w:ascii="Times New Roman" w:eastAsia="Times New Roman" w:hAnsi="Times New Roman" w:cs="Times New Roman"/>
          <w:sz w:val="20"/>
          <w:szCs w:val="20"/>
        </w:rPr>
      </w:pPr>
      <w:r>
        <w:rPr>
          <w:rStyle w:val="FootnoteReference"/>
        </w:rPr>
        <w:footnoteRef/>
      </w:r>
      <w:r>
        <w:rPr>
          <w:sz w:val="20"/>
          <w:szCs w:val="20"/>
        </w:rPr>
        <w:t xml:space="preserve"> </w:t>
      </w:r>
      <w:proofErr w:type="spellStart"/>
      <w:r>
        <w:rPr>
          <w:rFonts w:ascii="Times New Roman" w:eastAsia="Times New Roman" w:hAnsi="Times New Roman" w:cs="Times New Roman"/>
          <w:sz w:val="20"/>
          <w:szCs w:val="20"/>
        </w:rPr>
        <w:t>Menurut</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Aturan</w:t>
      </w:r>
      <w:proofErr w:type="spellEnd"/>
      <w:r>
        <w:rPr>
          <w:rFonts w:ascii="Times New Roman" w:eastAsia="Times New Roman" w:hAnsi="Times New Roman" w:cs="Times New Roman"/>
          <w:sz w:val="20"/>
          <w:szCs w:val="20"/>
        </w:rPr>
        <w:t xml:space="preserve"> 18 </w:t>
      </w:r>
      <w:proofErr w:type="spellStart"/>
      <w:r>
        <w:rPr>
          <w:rFonts w:ascii="Times New Roman" w:eastAsia="Times New Roman" w:hAnsi="Times New Roman" w:cs="Times New Roman"/>
          <w:sz w:val="20"/>
          <w:szCs w:val="20"/>
        </w:rPr>
        <w:t>Kaedah</w:t>
      </w:r>
      <w:proofErr w:type="spellEnd"/>
      <w:r>
        <w:rPr>
          <w:rFonts w:ascii="Times New Roman" w:eastAsia="Times New Roman" w:hAnsi="Times New Roman" w:cs="Times New Roman"/>
          <w:sz w:val="20"/>
          <w:szCs w:val="20"/>
        </w:rPr>
        <w:t xml:space="preserve"> 20, </w:t>
      </w:r>
      <w:proofErr w:type="spellStart"/>
      <w:r>
        <w:rPr>
          <w:rFonts w:ascii="Times New Roman" w:eastAsia="Times New Roman" w:hAnsi="Times New Roman" w:cs="Times New Roman"/>
          <w:sz w:val="20"/>
          <w:szCs w:val="20"/>
        </w:rPr>
        <w:t>Kaedah-Kaedah</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Mahkamah</w:t>
      </w:r>
      <w:proofErr w:type="spellEnd"/>
      <w:r>
        <w:rPr>
          <w:rFonts w:ascii="Times New Roman" w:eastAsia="Times New Roman" w:hAnsi="Times New Roman" w:cs="Times New Roman"/>
          <w:sz w:val="20"/>
          <w:szCs w:val="20"/>
        </w:rPr>
        <w:t xml:space="preserve"> 2012, </w:t>
      </w:r>
      <w:proofErr w:type="spellStart"/>
      <w:r>
        <w:rPr>
          <w:rFonts w:ascii="Times New Roman" w:eastAsia="Times New Roman" w:hAnsi="Times New Roman" w:cs="Times New Roman"/>
          <w:sz w:val="20"/>
          <w:szCs w:val="20"/>
        </w:rPr>
        <w:t>pliding</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akan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ditutup</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apabila</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tamat</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tempoh</w:t>
      </w:r>
      <w:proofErr w:type="spellEnd"/>
      <w:r>
        <w:rPr>
          <w:rFonts w:ascii="Times New Roman" w:eastAsia="Times New Roman" w:hAnsi="Times New Roman" w:cs="Times New Roman"/>
          <w:sz w:val="20"/>
          <w:szCs w:val="20"/>
        </w:rPr>
        <w:t xml:space="preserve"> 14 (</w:t>
      </w:r>
      <w:proofErr w:type="spellStart"/>
      <w:r>
        <w:rPr>
          <w:rFonts w:ascii="Times New Roman" w:eastAsia="Times New Roman" w:hAnsi="Times New Roman" w:cs="Times New Roman"/>
          <w:sz w:val="20"/>
          <w:szCs w:val="20"/>
        </w:rPr>
        <w:t>empat</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belas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hari</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selepas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penyampaian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atau</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apabila</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tiada</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jawapan</w:t>
      </w:r>
      <w:proofErr w:type="spellEnd"/>
      <w:r>
        <w:rPr>
          <w:rFonts w:ascii="Times New Roman" w:eastAsia="Times New Roman" w:hAnsi="Times New Roman" w:cs="Times New Roman"/>
          <w:sz w:val="20"/>
          <w:szCs w:val="20"/>
        </w:rPr>
        <w:t xml:space="preserve"> dan </w:t>
      </w:r>
      <w:proofErr w:type="spellStart"/>
      <w:r>
        <w:rPr>
          <w:rFonts w:ascii="Times New Roman" w:eastAsia="Times New Roman" w:hAnsi="Times New Roman" w:cs="Times New Roman"/>
          <w:sz w:val="20"/>
          <w:szCs w:val="20"/>
        </w:rPr>
        <w:t>cuma</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pembelaan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bagi</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tuntutan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balas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selepas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pembelaan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kepada</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tuntutan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disampaikan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atau</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selepas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penyampaian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pembelaan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Pliding</w:t>
      </w:r>
      <w:proofErr w:type="spellEnd"/>
      <w:r>
        <w:rPr>
          <w:rFonts w:ascii="Times New Roman" w:eastAsia="Times New Roman" w:hAnsi="Times New Roman" w:cs="Times New Roman"/>
          <w:sz w:val="20"/>
          <w:szCs w:val="20"/>
        </w:rPr>
        <w:t xml:space="preserve"> juga </w:t>
      </w:r>
      <w:proofErr w:type="spellStart"/>
      <w:r>
        <w:rPr>
          <w:rFonts w:ascii="Times New Roman" w:eastAsia="Times New Roman" w:hAnsi="Times New Roman" w:cs="Times New Roman"/>
          <w:sz w:val="20"/>
          <w:szCs w:val="20"/>
        </w:rPr>
        <w:t>akan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ditutup</w:t>
      </w:r>
      <w:proofErr w:type="spellEnd"/>
      <w:r>
        <w:rPr>
          <w:rFonts w:ascii="Times New Roman" w:eastAsia="Times New Roman" w:hAnsi="Times New Roman" w:cs="Times New Roman"/>
          <w:sz w:val="20"/>
          <w:szCs w:val="20"/>
        </w:rPr>
        <w:t xml:space="preserve"> </w:t>
      </w:r>
      <w:proofErr w:type="spellStart"/>
      <w:proofErr w:type="gramStart"/>
      <w:r>
        <w:rPr>
          <w:rFonts w:ascii="Times New Roman" w:eastAsia="Times New Roman" w:hAnsi="Times New Roman" w:cs="Times New Roman"/>
          <w:sz w:val="20"/>
          <w:szCs w:val="20"/>
        </w:rPr>
        <w:t>selepas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tamat</w:t>
      </w:r>
      <w:proofErr w:type="spellEnd"/>
      <w:proofErr w:type="gram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tempoh</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empat</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belas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hari</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walaupun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tidak</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ada</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sebarang</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jawapan</w:t>
      </w:r>
      <w:proofErr w:type="spellEnd"/>
      <w:r>
        <w:rPr>
          <w:rFonts w:ascii="Times New Roman" w:eastAsia="Times New Roman" w:hAnsi="Times New Roman" w:cs="Times New Roman"/>
          <w:sz w:val="20"/>
          <w:szCs w:val="20"/>
        </w:rPr>
        <w:t xml:space="preserve"> dan </w:t>
      </w:r>
      <w:proofErr w:type="spellStart"/>
      <w:r>
        <w:rPr>
          <w:rFonts w:ascii="Times New Roman" w:eastAsia="Times New Roman" w:hAnsi="Times New Roman" w:cs="Times New Roman"/>
          <w:sz w:val="20"/>
          <w:szCs w:val="20"/>
        </w:rPr>
        <w:t>pembelaan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kepada</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tuntutan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balas</w:t>
      </w:r>
      <w:proofErr w:type="spellEnd"/>
      <w:r>
        <w:rPr>
          <w:rFonts w:ascii="Times New Roman" w:eastAsia="Times New Roman" w:hAnsi="Times New Roman" w:cs="Times New Roman"/>
          <w:sz w:val="20"/>
          <w:szCs w:val="20"/>
        </w:rPr>
        <w:t>.</w:t>
      </w:r>
    </w:p>
    <w:p w14:paraId="0000016F" w14:textId="77777777" w:rsidR="00E97409" w:rsidRDefault="00E97409">
      <w:pPr>
        <w:spacing w:after="0" w:line="240" w:lineRule="auto"/>
        <w:jc w:val="both"/>
        <w:rPr>
          <w:rFonts w:ascii="Times New Roman" w:eastAsia="Times New Roman" w:hAnsi="Times New Roman" w:cs="Times New Roman"/>
          <w:sz w:val="20"/>
          <w:szCs w:val="20"/>
        </w:rPr>
      </w:pPr>
    </w:p>
  </w:footnote>
  <w:footnote w:id="17">
    <w:p w14:paraId="00000170" w14:textId="77777777" w:rsidR="00E97409" w:rsidRDefault="007741DD">
      <w:pPr>
        <w:spacing w:after="0" w:line="240" w:lineRule="auto"/>
        <w:rPr>
          <w:rFonts w:ascii="Times New Roman" w:eastAsia="Times New Roman" w:hAnsi="Times New Roman" w:cs="Times New Roman"/>
          <w:sz w:val="20"/>
          <w:szCs w:val="20"/>
        </w:rPr>
      </w:pPr>
      <w:r>
        <w:rPr>
          <w:rStyle w:val="FootnoteReference"/>
        </w:rPr>
        <w:footnoteRef/>
      </w:r>
      <w:r>
        <w:rPr>
          <w:sz w:val="20"/>
          <w:szCs w:val="20"/>
        </w:rPr>
        <w:t xml:space="preserve"> </w:t>
      </w:r>
      <w:r>
        <w:rPr>
          <w:rFonts w:ascii="Times New Roman" w:eastAsia="Times New Roman" w:hAnsi="Times New Roman" w:cs="Times New Roman"/>
          <w:sz w:val="20"/>
          <w:szCs w:val="20"/>
        </w:rPr>
        <w:t xml:space="preserve">Pleading Subsequent </w:t>
      </w:r>
      <w:proofErr w:type="gramStart"/>
      <w:r>
        <w:rPr>
          <w:rFonts w:ascii="Times New Roman" w:eastAsia="Times New Roman" w:hAnsi="Times New Roman" w:cs="Times New Roman"/>
          <w:sz w:val="20"/>
          <w:szCs w:val="20"/>
        </w:rPr>
        <w:t>To</w:t>
      </w:r>
      <w:proofErr w:type="gramEnd"/>
      <w:r>
        <w:rPr>
          <w:rFonts w:ascii="Times New Roman" w:eastAsia="Times New Roman" w:hAnsi="Times New Roman" w:cs="Times New Roman"/>
          <w:sz w:val="20"/>
          <w:szCs w:val="20"/>
        </w:rPr>
        <w:t xml:space="preserve"> Reply And Defence To Counterclaim - Formal Application For Leave Required? [2017] 6 CLJ xli.</w:t>
      </w:r>
    </w:p>
    <w:p w14:paraId="00000171" w14:textId="77777777" w:rsidR="00E97409" w:rsidRDefault="00E97409">
      <w:pPr>
        <w:spacing w:after="0" w:line="240" w:lineRule="auto"/>
        <w:rPr>
          <w:rFonts w:ascii="Times New Roman" w:eastAsia="Times New Roman" w:hAnsi="Times New Roman" w:cs="Times New Roman"/>
          <w:sz w:val="20"/>
          <w:szCs w:val="20"/>
        </w:rPr>
      </w:pPr>
    </w:p>
  </w:footnote>
  <w:footnote w:id="18">
    <w:p w14:paraId="0000014B" w14:textId="77777777" w:rsidR="00E97409" w:rsidRDefault="007741DD">
      <w:pPr>
        <w:spacing w:after="0" w:line="240" w:lineRule="auto"/>
        <w:rPr>
          <w:rFonts w:ascii="Times New Roman" w:eastAsia="Times New Roman" w:hAnsi="Times New Roman" w:cs="Times New Roman"/>
          <w:sz w:val="20"/>
          <w:szCs w:val="20"/>
        </w:rPr>
      </w:pPr>
      <w:r>
        <w:rPr>
          <w:rStyle w:val="FootnoteReference"/>
        </w:rPr>
        <w:footnoteRef/>
      </w:r>
      <w:r>
        <w:rPr>
          <w:rFonts w:ascii="Arial" w:eastAsia="Arial" w:hAnsi="Arial" w:cs="Arial"/>
          <w:sz w:val="20"/>
          <w:szCs w:val="20"/>
        </w:rPr>
        <w:t xml:space="preserve"> </w:t>
      </w:r>
      <w:r>
        <w:rPr>
          <w:rFonts w:ascii="Times New Roman" w:eastAsia="Times New Roman" w:hAnsi="Times New Roman" w:cs="Times New Roman"/>
          <w:sz w:val="20"/>
          <w:szCs w:val="20"/>
        </w:rPr>
        <w:t xml:space="preserve">Pleading Subsequent </w:t>
      </w:r>
      <w:proofErr w:type="gramStart"/>
      <w:r>
        <w:rPr>
          <w:rFonts w:ascii="Times New Roman" w:eastAsia="Times New Roman" w:hAnsi="Times New Roman" w:cs="Times New Roman"/>
          <w:sz w:val="20"/>
          <w:szCs w:val="20"/>
        </w:rPr>
        <w:t>To</w:t>
      </w:r>
      <w:proofErr w:type="gramEnd"/>
      <w:r>
        <w:rPr>
          <w:rFonts w:ascii="Times New Roman" w:eastAsia="Times New Roman" w:hAnsi="Times New Roman" w:cs="Times New Roman"/>
          <w:sz w:val="20"/>
          <w:szCs w:val="20"/>
        </w:rPr>
        <w:t xml:space="preserve"> Reply And Defence To Counterclaim - Formal Application For Leave Required? [2017] 6 CLJ xli.</w:t>
      </w:r>
    </w:p>
    <w:p w14:paraId="0000014C" w14:textId="77777777" w:rsidR="00E97409" w:rsidRDefault="00E97409">
      <w:pPr>
        <w:spacing w:after="0" w:line="240" w:lineRule="auto"/>
        <w:rPr>
          <w:rFonts w:ascii="Times New Roman" w:eastAsia="Times New Roman" w:hAnsi="Times New Roman" w:cs="Times New Roman"/>
          <w:sz w:val="20"/>
          <w:szCs w:val="20"/>
        </w:rPr>
      </w:pPr>
    </w:p>
  </w:footnote>
  <w:footnote w:id="19">
    <w:p w14:paraId="0000014D" w14:textId="77777777" w:rsidR="00E97409" w:rsidRDefault="007741DD">
      <w:pPr>
        <w:spacing w:after="0" w:line="240" w:lineRule="auto"/>
        <w:rPr>
          <w:rFonts w:ascii="Times New Roman" w:eastAsia="Times New Roman" w:hAnsi="Times New Roman" w:cs="Times New Roman"/>
          <w:sz w:val="20"/>
          <w:szCs w:val="20"/>
          <w:highlight w:val="white"/>
        </w:rPr>
      </w:pPr>
      <w:r>
        <w:rPr>
          <w:rStyle w:val="FootnoteReference"/>
        </w:rPr>
        <w:footnoteRef/>
      </w:r>
      <w:r>
        <w:rPr>
          <w:rFonts w:ascii="Arial" w:eastAsia="Arial" w:hAnsi="Arial" w:cs="Arial"/>
          <w:sz w:val="20"/>
          <w:szCs w:val="20"/>
        </w:rPr>
        <w:t xml:space="preserve"> </w:t>
      </w:r>
      <w:r>
        <w:rPr>
          <w:rFonts w:ascii="Times New Roman" w:eastAsia="Times New Roman" w:hAnsi="Times New Roman" w:cs="Times New Roman"/>
          <w:sz w:val="20"/>
          <w:szCs w:val="20"/>
          <w:highlight w:val="white"/>
        </w:rPr>
        <w:t>[1964] 1 NS 237.</w:t>
      </w:r>
    </w:p>
    <w:p w14:paraId="0000014E" w14:textId="77777777" w:rsidR="00E97409" w:rsidRDefault="00E97409">
      <w:pPr>
        <w:spacing w:after="0" w:line="240" w:lineRule="auto"/>
        <w:rPr>
          <w:rFonts w:ascii="Times New Roman" w:eastAsia="Times New Roman" w:hAnsi="Times New Roman" w:cs="Times New Roman"/>
          <w:sz w:val="20"/>
          <w:szCs w:val="20"/>
          <w:highlight w:val="white"/>
        </w:rPr>
      </w:pPr>
    </w:p>
  </w:footnote>
  <w:footnote w:id="20">
    <w:p w14:paraId="00000157" w14:textId="77777777" w:rsidR="00E97409" w:rsidRDefault="007741DD">
      <w:pPr>
        <w:spacing w:after="0" w:line="240" w:lineRule="auto"/>
        <w:rPr>
          <w:rFonts w:ascii="Times New Roman" w:eastAsia="Times New Roman" w:hAnsi="Times New Roman" w:cs="Times New Roman"/>
          <w:sz w:val="20"/>
          <w:szCs w:val="20"/>
        </w:rPr>
      </w:pPr>
      <w:r>
        <w:rPr>
          <w:rStyle w:val="FootnoteReference"/>
        </w:rPr>
        <w:footnoteRef/>
      </w:r>
      <w:r>
        <w:rPr>
          <w:rFonts w:ascii="Times New Roman" w:eastAsia="Times New Roman" w:hAnsi="Times New Roman" w:cs="Times New Roman"/>
          <w:sz w:val="20"/>
          <w:szCs w:val="20"/>
        </w:rPr>
        <w:t xml:space="preserve"> [2020] MLJU 417.</w:t>
      </w:r>
    </w:p>
    <w:p w14:paraId="00000158" w14:textId="77777777" w:rsidR="00E97409" w:rsidRDefault="00E97409">
      <w:pPr>
        <w:spacing w:after="0" w:line="240" w:lineRule="auto"/>
        <w:rPr>
          <w:sz w:val="20"/>
          <w:szCs w:val="20"/>
        </w:rPr>
      </w:pPr>
    </w:p>
  </w:footnote>
  <w:footnote w:id="21">
    <w:p w14:paraId="0000014F" w14:textId="77777777" w:rsidR="00E97409" w:rsidRDefault="007741DD">
      <w:pPr>
        <w:spacing w:after="0" w:line="240" w:lineRule="auto"/>
        <w:rPr>
          <w:rFonts w:ascii="Times New Roman" w:eastAsia="Times New Roman" w:hAnsi="Times New Roman" w:cs="Times New Roman"/>
          <w:sz w:val="20"/>
          <w:szCs w:val="20"/>
          <w:highlight w:val="white"/>
        </w:rPr>
      </w:pPr>
      <w:r>
        <w:rPr>
          <w:rStyle w:val="FootnoteReference"/>
        </w:rPr>
        <w:footnoteRef/>
      </w:r>
      <w:r>
        <w:rPr>
          <w:rFonts w:ascii="Arial" w:eastAsia="Arial" w:hAnsi="Arial" w:cs="Arial"/>
          <w:sz w:val="20"/>
          <w:szCs w:val="20"/>
        </w:rPr>
        <w:t xml:space="preserve"> </w:t>
      </w:r>
      <w:r>
        <w:rPr>
          <w:rFonts w:ascii="Times New Roman" w:eastAsia="Times New Roman" w:hAnsi="Times New Roman" w:cs="Times New Roman"/>
          <w:sz w:val="20"/>
          <w:szCs w:val="20"/>
          <w:highlight w:val="white"/>
        </w:rPr>
        <w:t>[2019] MLJU 919.</w:t>
      </w:r>
    </w:p>
    <w:p w14:paraId="00000150" w14:textId="77777777" w:rsidR="00E97409" w:rsidRDefault="00E97409">
      <w:pPr>
        <w:spacing w:after="0" w:line="240" w:lineRule="auto"/>
        <w:rPr>
          <w:rFonts w:ascii="Times New Roman" w:eastAsia="Times New Roman" w:hAnsi="Times New Roman" w:cs="Times New Roman"/>
          <w:sz w:val="20"/>
          <w:szCs w:val="20"/>
          <w:highlight w:val="white"/>
        </w:rPr>
      </w:pPr>
    </w:p>
  </w:footnote>
  <w:footnote w:id="22">
    <w:p w14:paraId="00000168" w14:textId="77777777" w:rsidR="00E97409" w:rsidRDefault="007741DD">
      <w:pPr>
        <w:spacing w:after="0" w:line="240" w:lineRule="auto"/>
        <w:rPr>
          <w:sz w:val="20"/>
          <w:szCs w:val="20"/>
        </w:rPr>
      </w:pPr>
      <w:r>
        <w:rPr>
          <w:rStyle w:val="FootnoteReference"/>
        </w:rPr>
        <w:footnoteRef/>
      </w:r>
      <w:r>
        <w:rPr>
          <w:rFonts w:ascii="Times New Roman" w:eastAsia="Times New Roman" w:hAnsi="Times New Roman" w:cs="Times New Roman"/>
          <w:sz w:val="20"/>
          <w:szCs w:val="20"/>
        </w:rPr>
        <w:t xml:space="preserve"> Pleading Subsequent </w:t>
      </w:r>
      <w:proofErr w:type="gramStart"/>
      <w:r>
        <w:rPr>
          <w:rFonts w:ascii="Times New Roman" w:eastAsia="Times New Roman" w:hAnsi="Times New Roman" w:cs="Times New Roman"/>
          <w:sz w:val="20"/>
          <w:szCs w:val="20"/>
        </w:rPr>
        <w:t>To</w:t>
      </w:r>
      <w:proofErr w:type="gramEnd"/>
      <w:r>
        <w:rPr>
          <w:rFonts w:ascii="Times New Roman" w:eastAsia="Times New Roman" w:hAnsi="Times New Roman" w:cs="Times New Roman"/>
          <w:sz w:val="20"/>
          <w:szCs w:val="20"/>
        </w:rPr>
        <w:t xml:space="preserve"> Reply And Defence To Counterclaim - Formal Application For Leave Required? [2017] 6 CLJ xli.</w:t>
      </w:r>
    </w:p>
    <w:p w14:paraId="00000169" w14:textId="77777777" w:rsidR="00E97409" w:rsidRDefault="00E97409">
      <w:pPr>
        <w:spacing w:after="0" w:line="240" w:lineRule="auto"/>
        <w:rPr>
          <w:sz w:val="20"/>
          <w:szCs w:val="20"/>
        </w:rPr>
      </w:pPr>
    </w:p>
  </w:footnote>
  <w:footnote w:id="23">
    <w:p w14:paraId="00000166" w14:textId="77777777" w:rsidR="00E97409" w:rsidRDefault="007741DD">
      <w:pPr>
        <w:spacing w:after="0" w:line="240" w:lineRule="auto"/>
        <w:rPr>
          <w:rFonts w:ascii="Times New Roman" w:eastAsia="Times New Roman" w:hAnsi="Times New Roman" w:cs="Times New Roman"/>
          <w:sz w:val="20"/>
          <w:szCs w:val="20"/>
          <w:highlight w:val="white"/>
        </w:rPr>
      </w:pPr>
      <w:r>
        <w:rPr>
          <w:rStyle w:val="FootnoteReference"/>
        </w:rPr>
        <w:footnoteRef/>
      </w:r>
      <w:r>
        <w:rPr>
          <w:sz w:val="20"/>
          <w:szCs w:val="20"/>
        </w:rPr>
        <w:t xml:space="preserve"> </w:t>
      </w:r>
      <w:r>
        <w:rPr>
          <w:rFonts w:ascii="Times New Roman" w:eastAsia="Times New Roman" w:hAnsi="Times New Roman" w:cs="Times New Roman"/>
          <w:sz w:val="20"/>
          <w:szCs w:val="20"/>
          <w:highlight w:val="white"/>
        </w:rPr>
        <w:t>1877 35 LT 845.</w:t>
      </w:r>
    </w:p>
    <w:p w14:paraId="00000167" w14:textId="77777777" w:rsidR="00E97409" w:rsidRDefault="00E97409">
      <w:pPr>
        <w:spacing w:after="0" w:line="240" w:lineRule="auto"/>
        <w:rPr>
          <w:rFonts w:ascii="Times New Roman" w:eastAsia="Times New Roman" w:hAnsi="Times New Roman" w:cs="Times New Roman"/>
          <w:sz w:val="20"/>
          <w:szCs w:val="20"/>
          <w:highlight w:val="white"/>
        </w:rPr>
      </w:pPr>
    </w:p>
  </w:footnote>
  <w:footnote w:id="24">
    <w:p w14:paraId="00000151" w14:textId="77777777" w:rsidR="00E97409" w:rsidRDefault="007741DD">
      <w:pPr>
        <w:spacing w:after="0" w:line="240" w:lineRule="auto"/>
        <w:rPr>
          <w:rFonts w:ascii="Times New Roman" w:eastAsia="Times New Roman" w:hAnsi="Times New Roman" w:cs="Times New Roman"/>
          <w:sz w:val="20"/>
          <w:szCs w:val="20"/>
          <w:highlight w:val="white"/>
        </w:rPr>
      </w:pPr>
      <w:r>
        <w:rPr>
          <w:rStyle w:val="FootnoteReference"/>
        </w:rPr>
        <w:footnoteRef/>
      </w:r>
      <w:r>
        <w:rPr>
          <w:rFonts w:ascii="Arial" w:eastAsia="Arial" w:hAnsi="Arial" w:cs="Arial"/>
          <w:sz w:val="20"/>
          <w:szCs w:val="20"/>
        </w:rPr>
        <w:t xml:space="preserve"> </w:t>
      </w:r>
      <w:r>
        <w:rPr>
          <w:rFonts w:ascii="Times New Roman" w:eastAsia="Times New Roman" w:hAnsi="Times New Roman" w:cs="Times New Roman"/>
          <w:sz w:val="20"/>
          <w:szCs w:val="20"/>
          <w:highlight w:val="white"/>
        </w:rPr>
        <w:t>1877 35 LT 845.</w:t>
      </w:r>
    </w:p>
    <w:p w14:paraId="00000152" w14:textId="77777777" w:rsidR="00E97409" w:rsidRDefault="00E97409">
      <w:pPr>
        <w:spacing w:after="0" w:line="240" w:lineRule="auto"/>
        <w:rPr>
          <w:rFonts w:ascii="Times New Roman" w:eastAsia="Times New Roman" w:hAnsi="Times New Roman" w:cs="Times New Roman"/>
          <w:sz w:val="20"/>
          <w:szCs w:val="20"/>
          <w:highlight w:val="white"/>
        </w:rPr>
      </w:pPr>
    </w:p>
  </w:footnote>
  <w:footnote w:id="25">
    <w:p w14:paraId="0000016A" w14:textId="77777777" w:rsidR="00E97409" w:rsidRDefault="007741DD">
      <w:pPr>
        <w:spacing w:after="0" w:line="240" w:lineRule="auto"/>
        <w:rPr>
          <w:rFonts w:ascii="Times New Roman" w:eastAsia="Times New Roman" w:hAnsi="Times New Roman" w:cs="Times New Roman"/>
          <w:sz w:val="20"/>
          <w:szCs w:val="20"/>
        </w:rPr>
      </w:pPr>
      <w:r>
        <w:rPr>
          <w:rStyle w:val="FootnoteReference"/>
        </w:rPr>
        <w:footnoteRef/>
      </w:r>
      <w:r>
        <w:rPr>
          <w:sz w:val="20"/>
          <w:szCs w:val="20"/>
        </w:rPr>
        <w:t xml:space="preserve"> </w:t>
      </w:r>
      <w:r>
        <w:rPr>
          <w:rFonts w:ascii="Times New Roman" w:eastAsia="Times New Roman" w:hAnsi="Times New Roman" w:cs="Times New Roman"/>
          <w:sz w:val="20"/>
          <w:szCs w:val="20"/>
        </w:rPr>
        <w:t xml:space="preserve">Halsbury, S. (2). Halsbury's Laws of England Being Complete Statement of the Whole Law of England. London, Butterworth &amp; Co. </w:t>
      </w:r>
    </w:p>
    <w:p w14:paraId="0000016B" w14:textId="77777777" w:rsidR="00E97409" w:rsidRDefault="00E97409">
      <w:pPr>
        <w:spacing w:after="0" w:line="240" w:lineRule="auto"/>
        <w:rPr>
          <w:rFonts w:ascii="Times New Roman" w:eastAsia="Times New Roman" w:hAnsi="Times New Roman" w:cs="Times New Roman"/>
          <w:sz w:val="20"/>
          <w:szCs w:val="20"/>
        </w:rPr>
      </w:pPr>
    </w:p>
  </w:footnote>
  <w:footnote w:id="26">
    <w:p w14:paraId="00000153" w14:textId="77777777" w:rsidR="00E97409" w:rsidRDefault="007741DD">
      <w:pPr>
        <w:spacing w:after="0" w:line="240" w:lineRule="auto"/>
        <w:rPr>
          <w:rFonts w:ascii="Times New Roman" w:eastAsia="Times New Roman" w:hAnsi="Times New Roman" w:cs="Times New Roman"/>
          <w:sz w:val="20"/>
          <w:szCs w:val="20"/>
          <w:highlight w:val="white"/>
        </w:rPr>
      </w:pPr>
      <w:r>
        <w:rPr>
          <w:rStyle w:val="FootnoteReference"/>
        </w:rPr>
        <w:footnoteRef/>
      </w:r>
      <w:r>
        <w:rPr>
          <w:rFonts w:ascii="Arial" w:eastAsia="Arial" w:hAnsi="Arial" w:cs="Arial"/>
          <w:sz w:val="20"/>
          <w:szCs w:val="20"/>
        </w:rPr>
        <w:t xml:space="preserve"> </w:t>
      </w:r>
      <w:r>
        <w:rPr>
          <w:rFonts w:ascii="Times New Roman" w:eastAsia="Times New Roman" w:hAnsi="Times New Roman" w:cs="Times New Roman"/>
          <w:sz w:val="20"/>
          <w:szCs w:val="20"/>
          <w:highlight w:val="white"/>
        </w:rPr>
        <w:t>(1884) 26 Ch D 700.</w:t>
      </w:r>
    </w:p>
    <w:p w14:paraId="00000154" w14:textId="77777777" w:rsidR="00E97409" w:rsidRDefault="00E97409">
      <w:pPr>
        <w:spacing w:after="0" w:line="240" w:lineRule="auto"/>
        <w:rPr>
          <w:rFonts w:ascii="Times New Roman" w:eastAsia="Times New Roman" w:hAnsi="Times New Roman" w:cs="Times New Roman"/>
          <w:sz w:val="20"/>
          <w:szCs w:val="20"/>
          <w:highlight w:val="white"/>
        </w:rPr>
      </w:pPr>
    </w:p>
  </w:footnote>
  <w:footnote w:id="27">
    <w:p w14:paraId="00000159" w14:textId="77777777" w:rsidR="00E97409" w:rsidRDefault="007741DD">
      <w:pPr>
        <w:spacing w:after="0" w:line="240" w:lineRule="auto"/>
        <w:rPr>
          <w:rFonts w:ascii="Times New Roman" w:eastAsia="Times New Roman" w:hAnsi="Times New Roman" w:cs="Times New Roman"/>
          <w:sz w:val="20"/>
          <w:szCs w:val="20"/>
          <w:highlight w:val="white"/>
        </w:rPr>
      </w:pPr>
      <w:r>
        <w:rPr>
          <w:rStyle w:val="FootnoteReference"/>
        </w:rPr>
        <w:footnoteRef/>
      </w:r>
      <w:r>
        <w:rPr>
          <w:rFonts w:ascii="Arial" w:eastAsia="Arial" w:hAnsi="Arial" w:cs="Arial"/>
          <w:sz w:val="20"/>
          <w:szCs w:val="20"/>
        </w:rPr>
        <w:t xml:space="preserve"> </w:t>
      </w:r>
      <w:r>
        <w:rPr>
          <w:rFonts w:ascii="Times New Roman" w:eastAsia="Times New Roman" w:hAnsi="Times New Roman" w:cs="Times New Roman"/>
          <w:sz w:val="20"/>
          <w:szCs w:val="20"/>
          <w:highlight w:val="white"/>
        </w:rPr>
        <w:t>[1964] 1 NS 237.</w:t>
      </w:r>
    </w:p>
    <w:p w14:paraId="0000015A" w14:textId="77777777" w:rsidR="00E97409" w:rsidRDefault="00E97409">
      <w:pPr>
        <w:spacing w:after="0" w:line="240" w:lineRule="auto"/>
        <w:rPr>
          <w:rFonts w:ascii="Times New Roman" w:eastAsia="Times New Roman" w:hAnsi="Times New Roman" w:cs="Times New Roman"/>
          <w:sz w:val="20"/>
          <w:szCs w:val="20"/>
          <w:highlight w:val="white"/>
        </w:rPr>
      </w:pPr>
    </w:p>
  </w:footnote>
  <w:footnote w:id="28">
    <w:p w14:paraId="0000015B" w14:textId="77777777" w:rsidR="00E97409" w:rsidRDefault="007741DD">
      <w:pPr>
        <w:spacing w:after="0" w:line="240" w:lineRule="auto"/>
        <w:rPr>
          <w:rFonts w:ascii="Times New Roman" w:eastAsia="Times New Roman" w:hAnsi="Times New Roman" w:cs="Times New Roman"/>
          <w:sz w:val="20"/>
          <w:szCs w:val="20"/>
        </w:rPr>
      </w:pPr>
      <w:r>
        <w:rPr>
          <w:rStyle w:val="FootnoteReference"/>
        </w:rPr>
        <w:footnoteRef/>
      </w:r>
      <w:r>
        <w:rPr>
          <w:rFonts w:ascii="Times New Roman" w:eastAsia="Times New Roman" w:hAnsi="Times New Roman" w:cs="Times New Roman"/>
          <w:sz w:val="20"/>
          <w:szCs w:val="20"/>
        </w:rPr>
        <w:t xml:space="preserve"> (1878) 3 QBD 722.</w:t>
      </w:r>
    </w:p>
    <w:p w14:paraId="0000015C" w14:textId="77777777" w:rsidR="00E97409" w:rsidRDefault="00E97409">
      <w:pPr>
        <w:spacing w:after="0" w:line="240" w:lineRule="auto"/>
        <w:rPr>
          <w:rFonts w:ascii="Times New Roman" w:eastAsia="Times New Roman" w:hAnsi="Times New Roman" w:cs="Times New Roman"/>
          <w:sz w:val="20"/>
          <w:szCs w:val="20"/>
        </w:rPr>
      </w:pPr>
    </w:p>
  </w:footnote>
  <w:footnote w:id="29">
    <w:p w14:paraId="0000016C" w14:textId="77777777" w:rsidR="00E97409" w:rsidRDefault="007741DD">
      <w:pPr>
        <w:spacing w:after="0" w:line="240" w:lineRule="auto"/>
        <w:rPr>
          <w:rFonts w:ascii="Times New Roman" w:eastAsia="Times New Roman" w:hAnsi="Times New Roman" w:cs="Times New Roman"/>
          <w:sz w:val="20"/>
          <w:szCs w:val="20"/>
        </w:rPr>
      </w:pPr>
      <w:r>
        <w:rPr>
          <w:rStyle w:val="FootnoteReference"/>
        </w:rPr>
        <w:footnoteRef/>
      </w:r>
      <w:r>
        <w:rPr>
          <w:sz w:val="20"/>
          <w:szCs w:val="20"/>
        </w:rPr>
        <w:t xml:space="preserve"> </w:t>
      </w:r>
      <w:r>
        <w:rPr>
          <w:rFonts w:ascii="Times New Roman" w:eastAsia="Times New Roman" w:hAnsi="Times New Roman" w:cs="Times New Roman"/>
          <w:sz w:val="20"/>
          <w:szCs w:val="20"/>
        </w:rPr>
        <w:t xml:space="preserve">Halsbury, S. (2). Halsbury's Laws of England Being Complete Statement of the Whole Law of England. London, Butterworth &amp; Co. </w:t>
      </w:r>
    </w:p>
    <w:p w14:paraId="0000016D" w14:textId="77777777" w:rsidR="00E97409" w:rsidRDefault="00E97409">
      <w:pPr>
        <w:spacing w:after="0" w:line="240" w:lineRule="auto"/>
        <w:rPr>
          <w:rFonts w:ascii="Times New Roman" w:eastAsia="Times New Roman" w:hAnsi="Times New Roman" w:cs="Times New Roman"/>
          <w:sz w:val="20"/>
          <w:szCs w:val="20"/>
        </w:rPr>
      </w:pPr>
    </w:p>
  </w:footnote>
  <w:footnote w:id="30">
    <w:p w14:paraId="0000010D" w14:textId="77777777" w:rsidR="00E97409" w:rsidRDefault="007741DD">
      <w:pPr>
        <w:pBdr>
          <w:top w:val="nil"/>
          <w:left w:val="nil"/>
          <w:bottom w:val="nil"/>
          <w:right w:val="nil"/>
          <w:between w:val="nil"/>
        </w:pBdr>
        <w:spacing w:after="240" w:line="240" w:lineRule="auto"/>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 [1987] 1 MLJ 302.</w:t>
      </w:r>
    </w:p>
  </w:footnote>
  <w:footnote w:id="31">
    <w:p w14:paraId="0000010E" w14:textId="77777777" w:rsidR="00E97409" w:rsidRDefault="007741DD">
      <w:pPr>
        <w:pBdr>
          <w:top w:val="nil"/>
          <w:left w:val="nil"/>
          <w:bottom w:val="nil"/>
          <w:right w:val="nil"/>
          <w:between w:val="nil"/>
        </w:pBdr>
        <w:spacing w:after="240" w:line="240" w:lineRule="auto"/>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 [2011] 5 MLJ 428.</w:t>
      </w:r>
    </w:p>
  </w:footnote>
  <w:footnote w:id="32">
    <w:p w14:paraId="0000010F" w14:textId="77777777" w:rsidR="00E97409" w:rsidRDefault="007741DD">
      <w:pPr>
        <w:pBdr>
          <w:top w:val="nil"/>
          <w:left w:val="nil"/>
          <w:bottom w:val="nil"/>
          <w:right w:val="nil"/>
          <w:between w:val="nil"/>
        </w:pBdr>
        <w:spacing w:after="240" w:line="240" w:lineRule="auto"/>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 [2017] 1 LNS 1832.</w:t>
      </w:r>
    </w:p>
  </w:footnote>
  <w:footnote w:id="33">
    <w:p w14:paraId="00000155" w14:textId="77777777" w:rsidR="00E97409" w:rsidRDefault="007741DD">
      <w:pPr>
        <w:spacing w:after="0" w:line="240" w:lineRule="auto"/>
        <w:rPr>
          <w:rFonts w:ascii="Times New Roman" w:eastAsia="Times New Roman" w:hAnsi="Times New Roman" w:cs="Times New Roman"/>
          <w:sz w:val="20"/>
          <w:szCs w:val="20"/>
        </w:rPr>
      </w:pPr>
      <w:r>
        <w:rPr>
          <w:rStyle w:val="FootnoteReference"/>
        </w:rPr>
        <w:footnoteRef/>
      </w:r>
      <w:r>
        <w:rPr>
          <w:rFonts w:ascii="Times New Roman" w:eastAsia="Times New Roman" w:hAnsi="Times New Roman" w:cs="Times New Roman"/>
          <w:sz w:val="20"/>
          <w:szCs w:val="20"/>
        </w:rPr>
        <w:t xml:space="preserve"> [1996] 2 MLJ 141.</w:t>
      </w:r>
    </w:p>
    <w:p w14:paraId="00000156" w14:textId="77777777" w:rsidR="00E97409" w:rsidRDefault="00E97409">
      <w:pPr>
        <w:spacing w:after="0" w:line="240" w:lineRule="auto"/>
        <w:rPr>
          <w:rFonts w:ascii="Times New Roman" w:eastAsia="Times New Roman" w:hAnsi="Times New Roman" w:cs="Times New Roman"/>
          <w:sz w:val="20"/>
          <w:szCs w:val="20"/>
        </w:rPr>
      </w:pPr>
    </w:p>
  </w:footnote>
  <w:footnote w:id="34">
    <w:p w14:paraId="00000172" w14:textId="77777777" w:rsidR="00E97409" w:rsidRDefault="007741DD">
      <w:pPr>
        <w:spacing w:after="0" w:line="240" w:lineRule="auto"/>
        <w:rPr>
          <w:rFonts w:ascii="Times New Roman" w:eastAsia="Times New Roman" w:hAnsi="Times New Roman" w:cs="Times New Roman"/>
          <w:sz w:val="20"/>
          <w:szCs w:val="20"/>
        </w:rPr>
      </w:pPr>
      <w:r>
        <w:rPr>
          <w:rStyle w:val="FootnoteReference"/>
        </w:rPr>
        <w:footnoteRef/>
      </w:r>
      <w:r>
        <w:rPr>
          <w:rFonts w:ascii="Times New Roman" w:eastAsia="Times New Roman" w:hAnsi="Times New Roman" w:cs="Times New Roman"/>
          <w:sz w:val="20"/>
          <w:szCs w:val="20"/>
        </w:rPr>
        <w:t xml:space="preserve"> ‘Illegality”, CLJ translation. </w:t>
      </w:r>
    </w:p>
    <w:p w14:paraId="00000173" w14:textId="77777777" w:rsidR="00E97409" w:rsidRDefault="00E97409">
      <w:pPr>
        <w:spacing w:after="0" w:line="240" w:lineRule="auto"/>
        <w:rPr>
          <w:sz w:val="20"/>
          <w:szCs w:val="20"/>
        </w:rPr>
      </w:pPr>
    </w:p>
  </w:footnote>
  <w:footnote w:id="35">
    <w:p w14:paraId="00000110" w14:textId="77777777" w:rsidR="00E97409" w:rsidRDefault="007741DD">
      <w:pPr>
        <w:pBdr>
          <w:top w:val="nil"/>
          <w:left w:val="nil"/>
          <w:bottom w:val="nil"/>
          <w:right w:val="nil"/>
          <w:between w:val="nil"/>
        </w:pBdr>
        <w:spacing w:after="240" w:line="240" w:lineRule="auto"/>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Aturan</w:t>
      </w:r>
      <w:proofErr w:type="spellEnd"/>
      <w:r>
        <w:rPr>
          <w:rFonts w:ascii="Times New Roman" w:eastAsia="Times New Roman" w:hAnsi="Times New Roman" w:cs="Times New Roman"/>
          <w:color w:val="000000"/>
          <w:sz w:val="20"/>
          <w:szCs w:val="20"/>
        </w:rPr>
        <w:t xml:space="preserve"> 18 </w:t>
      </w:r>
      <w:proofErr w:type="spellStart"/>
      <w:r>
        <w:rPr>
          <w:rFonts w:ascii="Times New Roman" w:eastAsia="Times New Roman" w:hAnsi="Times New Roman" w:cs="Times New Roman"/>
          <w:color w:val="000000"/>
          <w:sz w:val="20"/>
          <w:szCs w:val="20"/>
        </w:rPr>
        <w:t>Kaedah</w:t>
      </w:r>
      <w:proofErr w:type="spellEnd"/>
      <w:r>
        <w:rPr>
          <w:rFonts w:ascii="Times New Roman" w:eastAsia="Times New Roman" w:hAnsi="Times New Roman" w:cs="Times New Roman"/>
          <w:color w:val="000000"/>
          <w:sz w:val="20"/>
          <w:szCs w:val="20"/>
        </w:rPr>
        <w:t xml:space="preserve"> 8(1) </w:t>
      </w:r>
      <w:proofErr w:type="spellStart"/>
      <w:r>
        <w:rPr>
          <w:rFonts w:ascii="Times New Roman" w:eastAsia="Times New Roman" w:hAnsi="Times New Roman" w:cs="Times New Roman"/>
          <w:color w:val="000000"/>
          <w:sz w:val="20"/>
          <w:szCs w:val="20"/>
        </w:rPr>
        <w:t>Kaedah-Kaedah</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Mahkamah</w:t>
      </w:r>
      <w:proofErr w:type="spellEnd"/>
      <w:r>
        <w:rPr>
          <w:rFonts w:ascii="Times New Roman" w:eastAsia="Times New Roman" w:hAnsi="Times New Roman" w:cs="Times New Roman"/>
          <w:color w:val="000000"/>
          <w:sz w:val="20"/>
          <w:szCs w:val="20"/>
        </w:rPr>
        <w:t xml:space="preserve"> 2012.</w:t>
      </w:r>
    </w:p>
  </w:footnote>
  <w:footnote w:id="36">
    <w:p w14:paraId="00000111" w14:textId="77777777" w:rsidR="00E97409" w:rsidRDefault="007741DD">
      <w:pPr>
        <w:pBdr>
          <w:top w:val="nil"/>
          <w:left w:val="nil"/>
          <w:bottom w:val="nil"/>
          <w:right w:val="nil"/>
          <w:between w:val="nil"/>
        </w:pBdr>
        <w:spacing w:after="240" w:line="240" w:lineRule="auto"/>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 (1884) 51 LJQB 359.</w:t>
      </w:r>
    </w:p>
  </w:footnote>
  <w:footnote w:id="37">
    <w:p w14:paraId="00000112" w14:textId="77777777" w:rsidR="00E97409" w:rsidRDefault="007741DD">
      <w:pPr>
        <w:pBdr>
          <w:top w:val="nil"/>
          <w:left w:val="nil"/>
          <w:bottom w:val="nil"/>
          <w:right w:val="nil"/>
          <w:between w:val="nil"/>
        </w:pBdr>
        <w:spacing w:after="240" w:line="240" w:lineRule="auto"/>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 [2008] 8 MLJ 73.</w:t>
      </w:r>
    </w:p>
  </w:footnote>
  <w:footnote w:id="38">
    <w:p w14:paraId="00000113" w14:textId="77777777" w:rsidR="00E97409" w:rsidRDefault="007741DD">
      <w:pPr>
        <w:pBdr>
          <w:top w:val="nil"/>
          <w:left w:val="nil"/>
          <w:bottom w:val="nil"/>
          <w:right w:val="nil"/>
          <w:between w:val="nil"/>
        </w:pBdr>
        <w:spacing w:after="240" w:line="240" w:lineRule="auto"/>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 [1902] 2 </w:t>
      </w:r>
      <w:proofErr w:type="spellStart"/>
      <w:proofErr w:type="gramStart"/>
      <w:r>
        <w:rPr>
          <w:rFonts w:ascii="Times New Roman" w:eastAsia="Times New Roman" w:hAnsi="Times New Roman" w:cs="Times New Roman"/>
          <w:color w:val="000000"/>
          <w:sz w:val="20"/>
          <w:szCs w:val="20"/>
        </w:rPr>
        <w:t>Ir.R</w:t>
      </w:r>
      <w:proofErr w:type="spellEnd"/>
      <w:proofErr w:type="gramEnd"/>
      <w:r>
        <w:rPr>
          <w:rFonts w:ascii="Times New Roman" w:eastAsia="Times New Roman" w:hAnsi="Times New Roman" w:cs="Times New Roman"/>
          <w:color w:val="000000"/>
          <w:sz w:val="20"/>
          <w:szCs w:val="20"/>
        </w:rPr>
        <w:t xml:space="preserve"> 232.</w:t>
      </w:r>
    </w:p>
  </w:footnote>
  <w:footnote w:id="39">
    <w:p w14:paraId="00000114" w14:textId="77777777" w:rsidR="00E97409" w:rsidRDefault="007741DD">
      <w:pPr>
        <w:pBdr>
          <w:top w:val="nil"/>
          <w:left w:val="nil"/>
          <w:bottom w:val="nil"/>
          <w:right w:val="nil"/>
          <w:between w:val="nil"/>
        </w:pBdr>
        <w:spacing w:after="240" w:line="240" w:lineRule="auto"/>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 [1995] 3 MLJ 331.</w:t>
      </w:r>
    </w:p>
  </w:footnote>
  <w:footnote w:id="40">
    <w:p w14:paraId="00000115" w14:textId="77777777" w:rsidR="00E97409" w:rsidRDefault="007741DD">
      <w:pPr>
        <w:pBdr>
          <w:top w:val="nil"/>
          <w:left w:val="nil"/>
          <w:bottom w:val="nil"/>
          <w:right w:val="nil"/>
          <w:between w:val="nil"/>
        </w:pBdr>
        <w:spacing w:after="240" w:line="240" w:lineRule="auto"/>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 [1996] 4 MLJ 233.</w:t>
      </w:r>
    </w:p>
  </w:footnote>
  <w:footnote w:id="41">
    <w:p w14:paraId="00000116" w14:textId="77777777" w:rsidR="00E97409" w:rsidRDefault="007741DD">
      <w:pPr>
        <w:pBdr>
          <w:top w:val="nil"/>
          <w:left w:val="nil"/>
          <w:bottom w:val="nil"/>
          <w:right w:val="nil"/>
          <w:between w:val="nil"/>
        </w:pBdr>
        <w:spacing w:after="240" w:line="240" w:lineRule="auto"/>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 [1982] 3 All ER 415.</w:t>
      </w:r>
    </w:p>
  </w:footnote>
  <w:footnote w:id="42">
    <w:p w14:paraId="00000117" w14:textId="77777777" w:rsidR="00E97409" w:rsidRDefault="007741DD">
      <w:pPr>
        <w:pBdr>
          <w:top w:val="nil"/>
          <w:left w:val="nil"/>
          <w:bottom w:val="nil"/>
          <w:right w:val="nil"/>
          <w:between w:val="nil"/>
        </w:pBdr>
        <w:spacing w:after="240" w:line="240" w:lineRule="auto"/>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 [1994] 2 AMR 1484.</w:t>
      </w:r>
    </w:p>
  </w:footnote>
  <w:footnote w:id="43">
    <w:p w14:paraId="00000118" w14:textId="77777777" w:rsidR="00E97409" w:rsidRDefault="007741DD">
      <w:pPr>
        <w:pBdr>
          <w:top w:val="nil"/>
          <w:left w:val="nil"/>
          <w:bottom w:val="nil"/>
          <w:right w:val="nil"/>
          <w:between w:val="nil"/>
        </w:pBdr>
        <w:spacing w:after="240" w:line="240" w:lineRule="auto"/>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 Part 16.4 Civil Procedure Rules, UK. </w:t>
      </w:r>
    </w:p>
  </w:footnote>
  <w:footnote w:id="44">
    <w:p w14:paraId="00000119" w14:textId="77777777" w:rsidR="00E97409" w:rsidRDefault="007741DD">
      <w:pPr>
        <w:pBdr>
          <w:top w:val="nil"/>
          <w:left w:val="nil"/>
          <w:bottom w:val="nil"/>
          <w:right w:val="nil"/>
          <w:between w:val="nil"/>
        </w:pBdr>
        <w:spacing w:after="240" w:line="240" w:lineRule="auto"/>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 No. 8.2, Practice Direction 16, Civil Procedure Rules, UK.</w:t>
      </w:r>
    </w:p>
  </w:footnote>
  <w:footnote w:id="45">
    <w:p w14:paraId="0000011A" w14:textId="77777777" w:rsidR="00E97409" w:rsidRDefault="007741DD">
      <w:pPr>
        <w:pBdr>
          <w:top w:val="nil"/>
          <w:left w:val="nil"/>
          <w:bottom w:val="nil"/>
          <w:right w:val="nil"/>
          <w:between w:val="nil"/>
        </w:pBdr>
        <w:spacing w:after="240" w:line="240" w:lineRule="auto"/>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 (1879) 40 LT 875.</w:t>
      </w:r>
    </w:p>
  </w:footnote>
  <w:footnote w:id="46">
    <w:p w14:paraId="0000011B" w14:textId="77777777" w:rsidR="00E97409" w:rsidRDefault="007741DD">
      <w:pPr>
        <w:pBdr>
          <w:top w:val="nil"/>
          <w:left w:val="nil"/>
          <w:bottom w:val="nil"/>
          <w:right w:val="nil"/>
          <w:between w:val="nil"/>
        </w:pBdr>
        <w:spacing w:after="240" w:line="240" w:lineRule="auto"/>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 [1977] 3 All ER 667.</w:t>
      </w:r>
    </w:p>
  </w:footnote>
  <w:footnote w:id="47">
    <w:p w14:paraId="0000011C" w14:textId="77777777" w:rsidR="00E97409" w:rsidRDefault="007741DD">
      <w:pPr>
        <w:pBdr>
          <w:top w:val="nil"/>
          <w:left w:val="nil"/>
          <w:bottom w:val="nil"/>
          <w:right w:val="nil"/>
          <w:between w:val="nil"/>
        </w:pBdr>
        <w:spacing w:after="240" w:line="240" w:lineRule="auto"/>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 J. Beatson et al, </w:t>
      </w:r>
      <w:r>
        <w:rPr>
          <w:rFonts w:ascii="Times New Roman" w:eastAsia="Times New Roman" w:hAnsi="Times New Roman" w:cs="Times New Roman"/>
          <w:i/>
          <w:color w:val="000000"/>
          <w:sz w:val="20"/>
          <w:szCs w:val="20"/>
        </w:rPr>
        <w:t>Anson’s Law of Contract</w:t>
      </w:r>
      <w:r>
        <w:rPr>
          <w:rFonts w:ascii="Times New Roman" w:eastAsia="Times New Roman" w:hAnsi="Times New Roman" w:cs="Times New Roman"/>
          <w:color w:val="000000"/>
          <w:sz w:val="20"/>
          <w:szCs w:val="20"/>
        </w:rPr>
        <w:t>, 29</w:t>
      </w:r>
      <w:r>
        <w:rPr>
          <w:rFonts w:ascii="Times New Roman" w:eastAsia="Times New Roman" w:hAnsi="Times New Roman" w:cs="Times New Roman"/>
          <w:color w:val="000000"/>
          <w:sz w:val="20"/>
          <w:szCs w:val="20"/>
          <w:vertAlign w:val="superscript"/>
        </w:rPr>
        <w:t>th</w:t>
      </w:r>
      <w:r>
        <w:rPr>
          <w:rFonts w:ascii="Times New Roman" w:eastAsia="Times New Roman" w:hAnsi="Times New Roman" w:cs="Times New Roman"/>
          <w:color w:val="000000"/>
          <w:sz w:val="20"/>
          <w:szCs w:val="20"/>
        </w:rPr>
        <w:t xml:space="preserve"> Edition, Great Britain: Oxford University Press, 2010, </w:t>
      </w:r>
      <w:proofErr w:type="spellStart"/>
      <w:r>
        <w:rPr>
          <w:rFonts w:ascii="Times New Roman" w:eastAsia="Times New Roman" w:hAnsi="Times New Roman" w:cs="Times New Roman"/>
          <w:color w:val="000000"/>
          <w:sz w:val="20"/>
          <w:szCs w:val="20"/>
        </w:rPr>
        <w:t>ms</w:t>
      </w:r>
      <w:proofErr w:type="spellEnd"/>
      <w:r>
        <w:rPr>
          <w:rFonts w:ascii="Times New Roman" w:eastAsia="Times New Roman" w:hAnsi="Times New Roman" w:cs="Times New Roman"/>
          <w:color w:val="000000"/>
          <w:sz w:val="20"/>
          <w:szCs w:val="20"/>
        </w:rPr>
        <w:t xml:space="preserve"> 258. </w:t>
      </w:r>
    </w:p>
  </w:footnote>
  <w:footnote w:id="48">
    <w:p w14:paraId="0000011D" w14:textId="77777777" w:rsidR="00E97409" w:rsidRDefault="007741DD">
      <w:pPr>
        <w:pBdr>
          <w:top w:val="nil"/>
          <w:left w:val="nil"/>
          <w:bottom w:val="nil"/>
          <w:right w:val="nil"/>
          <w:between w:val="nil"/>
        </w:pBdr>
        <w:spacing w:after="240" w:line="240" w:lineRule="auto"/>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  [1971] AC 1004.</w:t>
      </w:r>
    </w:p>
  </w:footnote>
  <w:footnote w:id="49">
    <w:p w14:paraId="0000015D" w14:textId="77777777" w:rsidR="00E97409" w:rsidRDefault="007741DD">
      <w:pPr>
        <w:spacing w:after="0" w:line="240" w:lineRule="auto"/>
        <w:rPr>
          <w:rFonts w:ascii="Times New Roman" w:eastAsia="Times New Roman" w:hAnsi="Times New Roman" w:cs="Times New Roman"/>
          <w:sz w:val="20"/>
          <w:szCs w:val="20"/>
        </w:rPr>
      </w:pPr>
      <w:r>
        <w:rPr>
          <w:rStyle w:val="FootnoteReference"/>
        </w:rPr>
        <w:footnoteRef/>
      </w:r>
      <w:r>
        <w:rPr>
          <w:rFonts w:ascii="Times New Roman" w:eastAsia="Times New Roman" w:hAnsi="Times New Roman" w:cs="Times New Roman"/>
          <w:sz w:val="20"/>
          <w:szCs w:val="20"/>
        </w:rPr>
        <w:t xml:space="preserve"> Superintendent of Land and Surveys (4th </w:t>
      </w:r>
      <w:proofErr w:type="spellStart"/>
      <w:r>
        <w:rPr>
          <w:rFonts w:ascii="Times New Roman" w:eastAsia="Times New Roman" w:hAnsi="Times New Roman" w:cs="Times New Roman"/>
          <w:sz w:val="20"/>
          <w:szCs w:val="20"/>
        </w:rPr>
        <w:t>Div</w:t>
      </w:r>
      <w:proofErr w:type="spellEnd"/>
      <w:r>
        <w:rPr>
          <w:rFonts w:ascii="Times New Roman" w:eastAsia="Times New Roman" w:hAnsi="Times New Roman" w:cs="Times New Roman"/>
          <w:sz w:val="20"/>
          <w:szCs w:val="20"/>
        </w:rPr>
        <w:t xml:space="preserve">) &amp; Anor v </w:t>
      </w:r>
      <w:proofErr w:type="spellStart"/>
      <w:r>
        <w:rPr>
          <w:rFonts w:ascii="Times New Roman" w:eastAsia="Times New Roman" w:hAnsi="Times New Roman" w:cs="Times New Roman"/>
          <w:sz w:val="20"/>
          <w:szCs w:val="20"/>
        </w:rPr>
        <w:t>Hamit</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Matusin</w:t>
      </w:r>
      <w:proofErr w:type="spellEnd"/>
      <w:r>
        <w:rPr>
          <w:rFonts w:ascii="Times New Roman" w:eastAsia="Times New Roman" w:hAnsi="Times New Roman" w:cs="Times New Roman"/>
          <w:sz w:val="20"/>
          <w:szCs w:val="20"/>
        </w:rPr>
        <w:t xml:space="preserve"> &amp; </w:t>
      </w:r>
      <w:proofErr w:type="spellStart"/>
      <w:r>
        <w:rPr>
          <w:rFonts w:ascii="Times New Roman" w:eastAsia="Times New Roman" w:hAnsi="Times New Roman" w:cs="Times New Roman"/>
          <w:sz w:val="20"/>
          <w:szCs w:val="20"/>
        </w:rPr>
        <w:t>Ors</w:t>
      </w:r>
      <w:proofErr w:type="spellEnd"/>
      <w:r>
        <w:rPr>
          <w:rFonts w:ascii="Times New Roman" w:eastAsia="Times New Roman" w:hAnsi="Times New Roman" w:cs="Times New Roman"/>
          <w:sz w:val="20"/>
          <w:szCs w:val="20"/>
        </w:rPr>
        <w:t xml:space="preserve"> [1994] 3 CLJ 567. </w:t>
      </w:r>
    </w:p>
    <w:p w14:paraId="0000015E" w14:textId="77777777" w:rsidR="00E97409" w:rsidRDefault="00E97409">
      <w:pPr>
        <w:spacing w:after="0" w:line="240" w:lineRule="auto"/>
        <w:rPr>
          <w:rFonts w:ascii="Times New Roman" w:eastAsia="Times New Roman" w:hAnsi="Times New Roman" w:cs="Times New Roman"/>
          <w:sz w:val="20"/>
          <w:szCs w:val="20"/>
        </w:rPr>
      </w:pPr>
    </w:p>
  </w:footnote>
  <w:footnote w:id="50">
    <w:p w14:paraId="0000011E" w14:textId="77777777" w:rsidR="00E97409" w:rsidRDefault="007741DD">
      <w:pPr>
        <w:pBdr>
          <w:top w:val="nil"/>
          <w:left w:val="nil"/>
          <w:bottom w:val="nil"/>
          <w:right w:val="nil"/>
          <w:between w:val="nil"/>
        </w:pBdr>
        <w:spacing w:after="240" w:line="240" w:lineRule="auto"/>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 (1887) 76 LT 751.</w:t>
      </w:r>
    </w:p>
  </w:footnote>
  <w:footnote w:id="51">
    <w:p w14:paraId="0000011F" w14:textId="77777777" w:rsidR="00E97409" w:rsidRDefault="007741DD">
      <w:pPr>
        <w:pBdr>
          <w:top w:val="nil"/>
          <w:left w:val="nil"/>
          <w:bottom w:val="nil"/>
          <w:right w:val="nil"/>
          <w:between w:val="nil"/>
        </w:pBdr>
        <w:spacing w:after="240" w:line="240" w:lineRule="auto"/>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 [1992] 2 MLJ 364.</w:t>
      </w:r>
    </w:p>
  </w:footnote>
  <w:footnote w:id="52">
    <w:p w14:paraId="00000120" w14:textId="77777777" w:rsidR="00E97409" w:rsidRDefault="007741DD">
      <w:pPr>
        <w:pBdr>
          <w:top w:val="nil"/>
          <w:left w:val="nil"/>
          <w:bottom w:val="nil"/>
          <w:right w:val="nil"/>
          <w:between w:val="nil"/>
        </w:pBdr>
        <w:spacing w:after="240" w:line="240" w:lineRule="auto"/>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Aturan</w:t>
      </w:r>
      <w:proofErr w:type="spellEnd"/>
      <w:r>
        <w:rPr>
          <w:rFonts w:ascii="Times New Roman" w:eastAsia="Times New Roman" w:hAnsi="Times New Roman" w:cs="Times New Roman"/>
          <w:color w:val="000000"/>
          <w:sz w:val="20"/>
          <w:szCs w:val="20"/>
        </w:rPr>
        <w:t xml:space="preserve"> 18 </w:t>
      </w:r>
      <w:proofErr w:type="spellStart"/>
      <w:r>
        <w:rPr>
          <w:rFonts w:ascii="Times New Roman" w:eastAsia="Times New Roman" w:hAnsi="Times New Roman" w:cs="Times New Roman"/>
          <w:color w:val="000000"/>
          <w:sz w:val="20"/>
          <w:szCs w:val="20"/>
        </w:rPr>
        <w:t>Kaedah</w:t>
      </w:r>
      <w:proofErr w:type="spellEnd"/>
      <w:r>
        <w:rPr>
          <w:rFonts w:ascii="Times New Roman" w:eastAsia="Times New Roman" w:hAnsi="Times New Roman" w:cs="Times New Roman"/>
          <w:color w:val="000000"/>
          <w:sz w:val="20"/>
          <w:szCs w:val="20"/>
        </w:rPr>
        <w:t xml:space="preserve"> 19(1) </w:t>
      </w:r>
      <w:proofErr w:type="spellStart"/>
      <w:r>
        <w:rPr>
          <w:rFonts w:ascii="Times New Roman" w:eastAsia="Times New Roman" w:hAnsi="Times New Roman" w:cs="Times New Roman"/>
          <w:color w:val="000000"/>
          <w:sz w:val="20"/>
          <w:szCs w:val="20"/>
        </w:rPr>
        <w:t>Kaedah-Kaedah</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Mahkamah</w:t>
      </w:r>
      <w:proofErr w:type="spellEnd"/>
      <w:r>
        <w:rPr>
          <w:rFonts w:ascii="Times New Roman" w:eastAsia="Times New Roman" w:hAnsi="Times New Roman" w:cs="Times New Roman"/>
          <w:color w:val="000000"/>
          <w:sz w:val="20"/>
          <w:szCs w:val="20"/>
        </w:rPr>
        <w:t xml:space="preserve"> 2012. </w:t>
      </w:r>
    </w:p>
  </w:footnote>
  <w:footnote w:id="53">
    <w:p w14:paraId="00000121" w14:textId="77777777" w:rsidR="00E97409" w:rsidRDefault="007741DD">
      <w:pPr>
        <w:pBdr>
          <w:top w:val="nil"/>
          <w:left w:val="nil"/>
          <w:bottom w:val="nil"/>
          <w:right w:val="nil"/>
          <w:between w:val="nil"/>
        </w:pBdr>
        <w:spacing w:after="240" w:line="240" w:lineRule="auto"/>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 [2000] 1 FLR 759.</w:t>
      </w:r>
    </w:p>
  </w:footnote>
  <w:footnote w:id="54">
    <w:p w14:paraId="00000122" w14:textId="77777777" w:rsidR="00E97409" w:rsidRDefault="007741DD">
      <w:pPr>
        <w:pBdr>
          <w:top w:val="nil"/>
          <w:left w:val="nil"/>
          <w:bottom w:val="nil"/>
          <w:right w:val="nil"/>
          <w:between w:val="nil"/>
        </w:pBdr>
        <w:spacing w:after="240" w:line="240" w:lineRule="auto"/>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 [1993] 3 CLJ 606.</w:t>
      </w:r>
    </w:p>
  </w:footnote>
  <w:footnote w:id="55">
    <w:p w14:paraId="00000123" w14:textId="77777777" w:rsidR="00E97409" w:rsidRDefault="007741DD">
      <w:pPr>
        <w:pBdr>
          <w:top w:val="nil"/>
          <w:left w:val="nil"/>
          <w:bottom w:val="nil"/>
          <w:right w:val="nil"/>
          <w:between w:val="nil"/>
        </w:pBdr>
        <w:spacing w:after="240" w:line="240" w:lineRule="auto"/>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 Kluang Wood Products </w:t>
      </w:r>
      <w:proofErr w:type="spellStart"/>
      <w:r>
        <w:rPr>
          <w:rFonts w:ascii="Times New Roman" w:eastAsia="Times New Roman" w:hAnsi="Times New Roman" w:cs="Times New Roman"/>
          <w:color w:val="000000"/>
          <w:sz w:val="20"/>
          <w:szCs w:val="20"/>
        </w:rPr>
        <w:t>Sdn</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Bhd</w:t>
      </w:r>
      <w:proofErr w:type="spellEnd"/>
      <w:r>
        <w:rPr>
          <w:rFonts w:ascii="Times New Roman" w:eastAsia="Times New Roman" w:hAnsi="Times New Roman" w:cs="Times New Roman"/>
          <w:color w:val="000000"/>
          <w:sz w:val="20"/>
          <w:szCs w:val="20"/>
        </w:rPr>
        <w:t xml:space="preserve"> &amp; Anor v Hong Leong Finance </w:t>
      </w:r>
      <w:proofErr w:type="spellStart"/>
      <w:r>
        <w:rPr>
          <w:rFonts w:ascii="Times New Roman" w:eastAsia="Times New Roman" w:hAnsi="Times New Roman" w:cs="Times New Roman"/>
          <w:color w:val="000000"/>
          <w:sz w:val="20"/>
          <w:szCs w:val="20"/>
        </w:rPr>
        <w:t>Bhd</w:t>
      </w:r>
      <w:proofErr w:type="spellEnd"/>
      <w:r>
        <w:rPr>
          <w:rFonts w:ascii="Times New Roman" w:eastAsia="Times New Roman" w:hAnsi="Times New Roman" w:cs="Times New Roman"/>
          <w:color w:val="000000"/>
          <w:sz w:val="20"/>
          <w:szCs w:val="20"/>
        </w:rPr>
        <w:t xml:space="preserve"> &amp; Anor [1999] 1 MLJ 193. </w:t>
      </w:r>
    </w:p>
  </w:footnote>
  <w:footnote w:id="56">
    <w:p w14:paraId="00000124" w14:textId="77777777" w:rsidR="00E97409" w:rsidRDefault="007741DD">
      <w:pPr>
        <w:pBdr>
          <w:top w:val="nil"/>
          <w:left w:val="nil"/>
          <w:bottom w:val="nil"/>
          <w:right w:val="nil"/>
          <w:between w:val="nil"/>
        </w:pBdr>
        <w:spacing w:after="240" w:line="240" w:lineRule="auto"/>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 Osman Daud (trading under the name and style of RSZ Trading) v </w:t>
      </w:r>
      <w:proofErr w:type="spellStart"/>
      <w:r>
        <w:rPr>
          <w:rFonts w:ascii="Times New Roman" w:eastAsia="Times New Roman" w:hAnsi="Times New Roman" w:cs="Times New Roman"/>
          <w:color w:val="000000"/>
          <w:sz w:val="20"/>
          <w:szCs w:val="20"/>
        </w:rPr>
        <w:t>Asal</w:t>
      </w:r>
      <w:proofErr w:type="spellEnd"/>
      <w:r>
        <w:rPr>
          <w:rFonts w:ascii="Times New Roman" w:eastAsia="Times New Roman" w:hAnsi="Times New Roman" w:cs="Times New Roman"/>
          <w:color w:val="000000"/>
          <w:sz w:val="20"/>
          <w:szCs w:val="20"/>
        </w:rPr>
        <w:t xml:space="preserve"> Bina </w:t>
      </w:r>
      <w:proofErr w:type="spellStart"/>
      <w:r>
        <w:rPr>
          <w:rFonts w:ascii="Times New Roman" w:eastAsia="Times New Roman" w:hAnsi="Times New Roman" w:cs="Times New Roman"/>
          <w:color w:val="000000"/>
          <w:sz w:val="20"/>
          <w:szCs w:val="20"/>
        </w:rPr>
        <w:t>Sdn</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Bhd</w:t>
      </w:r>
      <w:proofErr w:type="spellEnd"/>
      <w:r>
        <w:rPr>
          <w:rFonts w:ascii="Times New Roman" w:eastAsia="Times New Roman" w:hAnsi="Times New Roman" w:cs="Times New Roman"/>
          <w:color w:val="000000"/>
          <w:sz w:val="20"/>
          <w:szCs w:val="20"/>
        </w:rPr>
        <w:t xml:space="preserve"> [2010] 9 MLJ 840.</w:t>
      </w:r>
    </w:p>
    <w:bookmarkStart w:id="15" w:name="_heading=h.35nkun2" w:colFirst="0" w:colLast="0"/>
    <w:bookmarkEnd w:id="15"/>
  </w:footnote>
  <w:footnote w:id="57">
    <w:p w14:paraId="00000125" w14:textId="77777777" w:rsidR="00E97409" w:rsidRDefault="007741DD">
      <w:pPr>
        <w:pBdr>
          <w:top w:val="nil"/>
          <w:left w:val="nil"/>
          <w:bottom w:val="nil"/>
          <w:right w:val="nil"/>
          <w:between w:val="nil"/>
        </w:pBdr>
        <w:spacing w:after="240" w:line="240" w:lineRule="auto"/>
        <w:rPr>
          <w:rFonts w:ascii="Times New Roman" w:eastAsia="Times New Roman" w:hAnsi="Times New Roman" w:cs="Times New Roman"/>
          <w:color w:val="000000"/>
          <w:sz w:val="20"/>
          <w:szCs w:val="20"/>
        </w:rPr>
      </w:pPr>
      <w:bookmarkStart w:id="16" w:name="_heading=h.35nkun2" w:colFirst="0" w:colLast="0"/>
      <w:bookmarkEnd w:id="16"/>
      <w:r>
        <w:rPr>
          <w:rStyle w:val="FootnoteReference"/>
        </w:rPr>
        <w:footnoteRef/>
      </w:r>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Jeyaretnam</w:t>
      </w:r>
      <w:proofErr w:type="spellEnd"/>
      <w:r>
        <w:rPr>
          <w:rFonts w:ascii="Times New Roman" w:eastAsia="Times New Roman" w:hAnsi="Times New Roman" w:cs="Times New Roman"/>
          <w:color w:val="000000"/>
          <w:sz w:val="20"/>
          <w:szCs w:val="20"/>
        </w:rPr>
        <w:t xml:space="preserve"> Joshua Benjamin v Lee Kwan Yew [2001] 2 SLR(R) 831.</w:t>
      </w:r>
    </w:p>
  </w:footnote>
  <w:footnote w:id="58">
    <w:p w14:paraId="00000126" w14:textId="77777777" w:rsidR="00E97409" w:rsidRDefault="007741DD">
      <w:pPr>
        <w:pBdr>
          <w:top w:val="nil"/>
          <w:left w:val="nil"/>
          <w:bottom w:val="nil"/>
          <w:right w:val="nil"/>
          <w:between w:val="nil"/>
        </w:pBdr>
        <w:spacing w:after="240" w:line="240" w:lineRule="auto"/>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 [2008] 2 MLJ 11.</w:t>
      </w:r>
    </w:p>
  </w:footnote>
  <w:footnote w:id="59">
    <w:p w14:paraId="00000127" w14:textId="77777777" w:rsidR="00E97409" w:rsidRDefault="007741DD">
      <w:pPr>
        <w:pBdr>
          <w:top w:val="nil"/>
          <w:left w:val="nil"/>
          <w:bottom w:val="nil"/>
          <w:right w:val="nil"/>
          <w:between w:val="nil"/>
        </w:pBdr>
        <w:spacing w:after="240" w:line="240" w:lineRule="auto"/>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i/>
          <w:color w:val="000000"/>
          <w:sz w:val="20"/>
          <w:szCs w:val="20"/>
        </w:rPr>
        <w:t>Civil Procedure 2008 Volume 1</w:t>
      </w:r>
      <w:r>
        <w:rPr>
          <w:rFonts w:ascii="Times New Roman" w:eastAsia="Times New Roman" w:hAnsi="Times New Roman" w:cs="Times New Roman"/>
          <w:color w:val="000000"/>
          <w:sz w:val="20"/>
          <w:szCs w:val="20"/>
        </w:rPr>
        <w:t xml:space="preserve">, London: Sweet &amp; Maxwell, 2008, </w:t>
      </w:r>
      <w:proofErr w:type="spellStart"/>
      <w:r>
        <w:rPr>
          <w:rFonts w:ascii="Times New Roman" w:eastAsia="Times New Roman" w:hAnsi="Times New Roman" w:cs="Times New Roman"/>
          <w:color w:val="000000"/>
          <w:sz w:val="20"/>
          <w:szCs w:val="20"/>
        </w:rPr>
        <w:t>ms</w:t>
      </w:r>
      <w:proofErr w:type="spellEnd"/>
      <w:r>
        <w:rPr>
          <w:rFonts w:ascii="Times New Roman" w:eastAsia="Times New Roman" w:hAnsi="Times New Roman" w:cs="Times New Roman"/>
          <w:color w:val="000000"/>
          <w:sz w:val="20"/>
          <w:szCs w:val="20"/>
        </w:rPr>
        <w:t xml:space="preserve"> 65. </w:t>
      </w:r>
    </w:p>
  </w:footnote>
  <w:footnote w:id="60">
    <w:p w14:paraId="0000015F" w14:textId="77777777" w:rsidR="00E97409" w:rsidRDefault="007741DD">
      <w:pPr>
        <w:spacing w:after="0" w:line="240" w:lineRule="auto"/>
        <w:rPr>
          <w:rFonts w:ascii="Times New Roman" w:eastAsia="Times New Roman" w:hAnsi="Times New Roman" w:cs="Times New Roman"/>
          <w:sz w:val="20"/>
          <w:szCs w:val="20"/>
        </w:rPr>
      </w:pPr>
      <w:r>
        <w:rPr>
          <w:rStyle w:val="FootnoteReference"/>
        </w:rPr>
        <w:footnoteRef/>
      </w:r>
      <w:r>
        <w:rPr>
          <w:rFonts w:ascii="Times New Roman" w:eastAsia="Times New Roman" w:hAnsi="Times New Roman" w:cs="Times New Roman"/>
          <w:sz w:val="20"/>
          <w:szCs w:val="20"/>
        </w:rPr>
        <w:t xml:space="preserve"> [2006] EWHC 748.</w:t>
      </w:r>
    </w:p>
    <w:p w14:paraId="00000160" w14:textId="77777777" w:rsidR="00E97409" w:rsidRDefault="00E97409">
      <w:pPr>
        <w:spacing w:after="0" w:line="240" w:lineRule="auto"/>
        <w:rPr>
          <w:sz w:val="20"/>
          <w:szCs w:val="20"/>
        </w:rPr>
      </w:pPr>
    </w:p>
  </w:footnote>
  <w:footnote w:id="61">
    <w:p w14:paraId="00000128" w14:textId="77777777" w:rsidR="00E97409" w:rsidRDefault="007741DD">
      <w:pPr>
        <w:pBdr>
          <w:top w:val="nil"/>
          <w:left w:val="nil"/>
          <w:bottom w:val="nil"/>
          <w:right w:val="nil"/>
          <w:between w:val="nil"/>
        </w:pBdr>
        <w:spacing w:after="240" w:line="240" w:lineRule="auto"/>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 [1995] 3 MLJ 522.</w:t>
      </w:r>
    </w:p>
  </w:footnote>
  <w:footnote w:id="62">
    <w:p w14:paraId="00000129" w14:textId="77777777" w:rsidR="00E97409" w:rsidRDefault="007741DD">
      <w:pPr>
        <w:pBdr>
          <w:top w:val="nil"/>
          <w:left w:val="nil"/>
          <w:bottom w:val="nil"/>
          <w:right w:val="nil"/>
          <w:between w:val="nil"/>
        </w:pBdr>
        <w:spacing w:after="240" w:line="240" w:lineRule="auto"/>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 [1990] 2 All Er 981.</w:t>
      </w:r>
    </w:p>
  </w:footnote>
  <w:footnote w:id="63">
    <w:p w14:paraId="0000012A" w14:textId="77777777" w:rsidR="00E97409" w:rsidRDefault="007741DD">
      <w:pPr>
        <w:pBdr>
          <w:top w:val="nil"/>
          <w:left w:val="nil"/>
          <w:bottom w:val="nil"/>
          <w:right w:val="nil"/>
          <w:between w:val="nil"/>
        </w:pBdr>
        <w:spacing w:after="240" w:line="240" w:lineRule="auto"/>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 [2002] 6 MLJ 171.</w:t>
      </w:r>
    </w:p>
    <w:bookmarkStart w:id="19" w:name="_heading=h.1ksv4uv" w:colFirst="0" w:colLast="0"/>
    <w:bookmarkEnd w:id="19"/>
  </w:footnote>
  <w:footnote w:id="64">
    <w:p w14:paraId="0000012B" w14:textId="77777777" w:rsidR="00E97409" w:rsidRDefault="007741DD">
      <w:pPr>
        <w:pBdr>
          <w:top w:val="nil"/>
          <w:left w:val="nil"/>
          <w:bottom w:val="nil"/>
          <w:right w:val="nil"/>
          <w:between w:val="nil"/>
        </w:pBdr>
        <w:spacing w:after="240" w:line="240" w:lineRule="auto"/>
        <w:rPr>
          <w:rFonts w:ascii="Times New Roman" w:eastAsia="Times New Roman" w:hAnsi="Times New Roman" w:cs="Times New Roman"/>
          <w:color w:val="000000"/>
          <w:sz w:val="20"/>
          <w:szCs w:val="20"/>
        </w:rPr>
      </w:pPr>
      <w:bookmarkStart w:id="21" w:name="_heading=h.1ksv4uv" w:colFirst="0" w:colLast="0"/>
      <w:bookmarkEnd w:id="21"/>
      <w:r>
        <w:rPr>
          <w:rStyle w:val="FootnoteReference"/>
        </w:rPr>
        <w:footnoteRef/>
      </w:r>
      <w:r>
        <w:rPr>
          <w:rFonts w:ascii="Times New Roman" w:eastAsia="Times New Roman" w:hAnsi="Times New Roman" w:cs="Times New Roman"/>
          <w:color w:val="000000"/>
          <w:sz w:val="20"/>
          <w:szCs w:val="20"/>
        </w:rPr>
        <w:t xml:space="preserve"> (1986) 33 Build LR 77.</w:t>
      </w:r>
    </w:p>
  </w:footnote>
  <w:footnote w:id="65">
    <w:p w14:paraId="0000012C" w14:textId="77777777" w:rsidR="00E97409" w:rsidRDefault="007741DD">
      <w:pPr>
        <w:pBdr>
          <w:top w:val="nil"/>
          <w:left w:val="nil"/>
          <w:bottom w:val="nil"/>
          <w:right w:val="nil"/>
          <w:between w:val="nil"/>
        </w:pBdr>
        <w:spacing w:after="240" w:line="240" w:lineRule="auto"/>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 [1994] 3 MLJ 691.</w:t>
      </w:r>
    </w:p>
    <w:bookmarkStart w:id="22" w:name="_heading=h.44sinio" w:colFirst="0" w:colLast="0"/>
    <w:bookmarkEnd w:id="22"/>
  </w:footnote>
  <w:footnote w:id="66">
    <w:p w14:paraId="0000012D" w14:textId="77777777" w:rsidR="00E97409" w:rsidRDefault="007741DD">
      <w:pPr>
        <w:pBdr>
          <w:top w:val="nil"/>
          <w:left w:val="nil"/>
          <w:bottom w:val="nil"/>
          <w:right w:val="nil"/>
          <w:between w:val="nil"/>
        </w:pBdr>
        <w:spacing w:after="240" w:line="240" w:lineRule="auto"/>
        <w:rPr>
          <w:rFonts w:ascii="Times New Roman" w:eastAsia="Times New Roman" w:hAnsi="Times New Roman" w:cs="Times New Roman"/>
          <w:color w:val="000000"/>
          <w:sz w:val="20"/>
          <w:szCs w:val="20"/>
        </w:rPr>
      </w:pPr>
      <w:bookmarkStart w:id="23" w:name="_heading=h.44sinio" w:colFirst="0" w:colLast="0"/>
      <w:bookmarkEnd w:id="23"/>
      <w:r>
        <w:rPr>
          <w:rStyle w:val="FootnoteReference"/>
        </w:rPr>
        <w:footnoteRef/>
      </w:r>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Lohrho</w:t>
      </w:r>
      <w:proofErr w:type="spellEnd"/>
      <w:r>
        <w:rPr>
          <w:rFonts w:ascii="Times New Roman" w:eastAsia="Times New Roman" w:hAnsi="Times New Roman" w:cs="Times New Roman"/>
          <w:color w:val="000000"/>
          <w:sz w:val="20"/>
          <w:szCs w:val="20"/>
        </w:rPr>
        <w:t xml:space="preserve"> v Fayed (No.5) [1993] 1 WLR 1489. </w:t>
      </w:r>
    </w:p>
  </w:footnote>
  <w:footnote w:id="67">
    <w:p w14:paraId="0000012E" w14:textId="77777777" w:rsidR="00E97409" w:rsidRDefault="007741DD">
      <w:pPr>
        <w:pBdr>
          <w:top w:val="nil"/>
          <w:left w:val="nil"/>
          <w:bottom w:val="nil"/>
          <w:right w:val="nil"/>
          <w:between w:val="nil"/>
        </w:pBdr>
        <w:spacing w:after="240" w:line="240" w:lineRule="auto"/>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 [1989] 2 MLJ 423.</w:t>
      </w:r>
    </w:p>
  </w:footnote>
  <w:footnote w:id="68">
    <w:p w14:paraId="0000012F" w14:textId="77777777" w:rsidR="00E97409" w:rsidRDefault="007741DD">
      <w:pPr>
        <w:pBdr>
          <w:top w:val="nil"/>
          <w:left w:val="nil"/>
          <w:bottom w:val="nil"/>
          <w:right w:val="nil"/>
          <w:between w:val="nil"/>
        </w:pBdr>
        <w:spacing w:after="240" w:line="240" w:lineRule="auto"/>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 [2011] 6 MLJ 70. </w:t>
      </w:r>
    </w:p>
  </w:footnote>
  <w:footnote w:id="69">
    <w:p w14:paraId="00000130" w14:textId="77777777" w:rsidR="00E97409" w:rsidRDefault="007741DD">
      <w:pPr>
        <w:pBdr>
          <w:top w:val="nil"/>
          <w:left w:val="nil"/>
          <w:bottom w:val="nil"/>
          <w:right w:val="nil"/>
          <w:between w:val="nil"/>
        </w:pBdr>
        <w:spacing w:after="240" w:line="240" w:lineRule="auto"/>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 [1998] 2 AMR 1666.</w:t>
      </w:r>
    </w:p>
  </w:footnote>
  <w:footnote w:id="70">
    <w:p w14:paraId="00000131" w14:textId="77777777" w:rsidR="00E97409" w:rsidRDefault="007741DD">
      <w:pPr>
        <w:pBdr>
          <w:top w:val="nil"/>
          <w:left w:val="nil"/>
          <w:bottom w:val="nil"/>
          <w:right w:val="nil"/>
          <w:between w:val="nil"/>
        </w:pBdr>
        <w:spacing w:after="240" w:line="240" w:lineRule="auto"/>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  Civil Procedure 2008 Volume 1, London: Sweet &amp; Maxwell, 2008, </w:t>
      </w:r>
      <w:proofErr w:type="spellStart"/>
      <w:r>
        <w:rPr>
          <w:rFonts w:ascii="Times New Roman" w:eastAsia="Times New Roman" w:hAnsi="Times New Roman" w:cs="Times New Roman"/>
          <w:color w:val="000000"/>
          <w:sz w:val="20"/>
          <w:szCs w:val="20"/>
        </w:rPr>
        <w:t>ms</w:t>
      </w:r>
      <w:proofErr w:type="spellEnd"/>
      <w:r>
        <w:rPr>
          <w:rFonts w:ascii="Times New Roman" w:eastAsia="Times New Roman" w:hAnsi="Times New Roman" w:cs="Times New Roman"/>
          <w:color w:val="000000"/>
          <w:sz w:val="20"/>
          <w:szCs w:val="20"/>
        </w:rPr>
        <w:t xml:space="preserve"> 73.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32" w14:textId="77777777" w:rsidR="00E97409" w:rsidRDefault="00E97409">
    <w:pPr>
      <w:pBdr>
        <w:top w:val="nil"/>
        <w:left w:val="nil"/>
        <w:bottom w:val="nil"/>
        <w:right w:val="nil"/>
        <w:between w:val="nil"/>
      </w:pBdr>
      <w:tabs>
        <w:tab w:val="center" w:pos="4513"/>
        <w:tab w:val="right" w:pos="9026"/>
      </w:tabs>
      <w:spacing w:after="0" w:line="240" w:lineRule="auto"/>
      <w:jc w:val="right"/>
      <w:rPr>
        <w:rFonts w:ascii="Times New Roman" w:eastAsia="Times New Roman" w:hAnsi="Times New Roman" w:cs="Times New Roman"/>
        <w:color w:val="FF00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3B22EF"/>
    <w:multiLevelType w:val="multilevel"/>
    <w:tmpl w:val="DCCABB8A"/>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 w15:restartNumberingAfterBreak="0">
    <w:nsid w:val="21562614"/>
    <w:multiLevelType w:val="multilevel"/>
    <w:tmpl w:val="E81287A0"/>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 w15:restartNumberingAfterBreak="0">
    <w:nsid w:val="26292341"/>
    <w:multiLevelType w:val="multilevel"/>
    <w:tmpl w:val="70B40426"/>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3" w15:restartNumberingAfterBreak="0">
    <w:nsid w:val="2FEC35F6"/>
    <w:multiLevelType w:val="multilevel"/>
    <w:tmpl w:val="B106DDB0"/>
    <w:lvl w:ilvl="0">
      <w:start w:val="1"/>
      <w:numFmt w:val="lowerLetter"/>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4" w15:restartNumberingAfterBreak="0">
    <w:nsid w:val="3CC76BCA"/>
    <w:multiLevelType w:val="multilevel"/>
    <w:tmpl w:val="E9B4310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2555EAF"/>
    <w:multiLevelType w:val="multilevel"/>
    <w:tmpl w:val="2F8EB8A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6A2F66CB"/>
    <w:multiLevelType w:val="multilevel"/>
    <w:tmpl w:val="88E0953E"/>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7" w15:restartNumberingAfterBreak="0">
    <w:nsid w:val="6A72739F"/>
    <w:multiLevelType w:val="multilevel"/>
    <w:tmpl w:val="BE08BE3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087720374">
    <w:abstractNumId w:val="4"/>
  </w:num>
  <w:num w:numId="2" w16cid:durableId="133760862">
    <w:abstractNumId w:val="7"/>
  </w:num>
  <w:num w:numId="3" w16cid:durableId="1146698909">
    <w:abstractNumId w:val="6"/>
  </w:num>
  <w:num w:numId="4" w16cid:durableId="1916934492">
    <w:abstractNumId w:val="5"/>
  </w:num>
  <w:num w:numId="5" w16cid:durableId="184053933">
    <w:abstractNumId w:val="0"/>
  </w:num>
  <w:num w:numId="6" w16cid:durableId="569655701">
    <w:abstractNumId w:val="1"/>
  </w:num>
  <w:num w:numId="7" w16cid:durableId="1910723907">
    <w:abstractNumId w:val="3"/>
  </w:num>
  <w:num w:numId="8" w16cid:durableId="20868022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7409"/>
    <w:rsid w:val="00540931"/>
    <w:rsid w:val="00690802"/>
    <w:rsid w:val="007741DD"/>
    <w:rsid w:val="00E97409"/>
    <w:rsid w:val="00F3160E"/>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477A6E"/>
  <w15:docId w15:val="{636C6B57-017B-466D-BDD5-9AF054181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MY"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982D5C"/>
    <w:pPr>
      <w:ind w:left="720"/>
      <w:contextualSpacing/>
    </w:pPr>
  </w:style>
  <w:style w:type="paragraph" w:styleId="FootnoteText">
    <w:name w:val="footnote text"/>
    <w:basedOn w:val="Normal"/>
    <w:link w:val="FootnoteTextChar"/>
    <w:uiPriority w:val="99"/>
    <w:semiHidden/>
    <w:unhideWhenUsed/>
    <w:rsid w:val="00FD71F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D71FD"/>
    <w:rPr>
      <w:sz w:val="20"/>
      <w:szCs w:val="20"/>
    </w:rPr>
  </w:style>
  <w:style w:type="character" w:styleId="FootnoteReference">
    <w:name w:val="footnote reference"/>
    <w:basedOn w:val="DefaultParagraphFont"/>
    <w:uiPriority w:val="99"/>
    <w:semiHidden/>
    <w:unhideWhenUsed/>
    <w:rsid w:val="00FD71FD"/>
    <w:rPr>
      <w:vertAlign w:val="superscript"/>
    </w:rPr>
  </w:style>
  <w:style w:type="paragraph" w:styleId="Header">
    <w:name w:val="header"/>
    <w:basedOn w:val="Normal"/>
    <w:link w:val="HeaderChar"/>
    <w:uiPriority w:val="99"/>
    <w:unhideWhenUsed/>
    <w:rsid w:val="00DD28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DD287D"/>
  </w:style>
  <w:style w:type="paragraph" w:styleId="Footer">
    <w:name w:val="footer"/>
    <w:basedOn w:val="Normal"/>
    <w:link w:val="FooterChar"/>
    <w:uiPriority w:val="99"/>
    <w:unhideWhenUsed/>
    <w:rsid w:val="00DD28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DD287D"/>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bfVNy06xv2k1ESnF7Cf9LpASsIg==">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18</Pages>
  <Words>6705</Words>
  <Characters>38222</Characters>
  <Application>Microsoft Office Word</Application>
  <DocSecurity>0</DocSecurity>
  <Lines>318</Lines>
  <Paragraphs>89</Paragraphs>
  <ScaleCrop>false</ScaleCrop>
  <Company/>
  <LinksUpToDate>false</LinksUpToDate>
  <CharactersWithSpaces>44838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Jia Yearn Tang</dc:creator>
  <cp:lastModifiedBy>Jia Yearn Tang</cp:lastModifiedBy>
  <cp:revision>3</cp:revision>
  <dcterms:created xsi:type="dcterms:W3CDTF">2022-04-17T04:11:00Z</dcterms:created>
  <dcterms:modified xsi:type="dcterms:W3CDTF">2022-06-21T03:45:00Z</dcterms:modified>
</cp:coreProperties>
</file>