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14311" w14:textId="77777777" w:rsidR="00406710" w:rsidRDefault="00406710">
      <w:pPr>
        <w:widowControl w:val="0"/>
        <w:pBdr>
          <w:top w:val="nil"/>
          <w:left w:val="nil"/>
          <w:bottom w:val="nil"/>
          <w:right w:val="nil"/>
          <w:between w:val="nil"/>
        </w:pBdr>
        <w:spacing w:after="0" w:line="240" w:lineRule="auto"/>
      </w:pPr>
    </w:p>
    <w:p w14:paraId="7896D61D" w14:textId="77777777" w:rsidR="00406710" w:rsidRDefault="0013379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Embracing Maqasid Al-Shariah And Sustainable Development Goals In Takaful Legal Framework </w:t>
      </w:r>
    </w:p>
    <w:p w14:paraId="4DA108CD" w14:textId="77777777" w:rsidR="00406710" w:rsidRDefault="00406710">
      <w:pPr>
        <w:spacing w:after="0" w:line="240" w:lineRule="auto"/>
        <w:jc w:val="center"/>
        <w:rPr>
          <w:rFonts w:ascii="Times New Roman" w:eastAsia="Times New Roman" w:hAnsi="Times New Roman" w:cs="Times New Roman"/>
          <w:sz w:val="28"/>
          <w:szCs w:val="28"/>
        </w:rPr>
      </w:pPr>
    </w:p>
    <w:p w14:paraId="35DB7A76" w14:textId="77777777" w:rsidR="00406710" w:rsidRDefault="00406710">
      <w:pPr>
        <w:spacing w:after="0" w:line="240" w:lineRule="auto"/>
        <w:rPr>
          <w:rFonts w:ascii="Times New Roman" w:eastAsia="Times New Roman" w:hAnsi="Times New Roman" w:cs="Times New Roman"/>
          <w:sz w:val="24"/>
          <w:szCs w:val="24"/>
        </w:rPr>
      </w:pPr>
    </w:p>
    <w:p w14:paraId="3FF5E07A" w14:textId="358F1918" w:rsidR="00406710" w:rsidRDefault="00133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ABSTRACT</w:t>
      </w:r>
    </w:p>
    <w:p w14:paraId="56B17977" w14:textId="77777777" w:rsidR="00406710" w:rsidRDefault="00406710">
      <w:pPr>
        <w:spacing w:after="0" w:line="240" w:lineRule="auto"/>
        <w:ind w:firstLine="420"/>
        <w:rPr>
          <w:rFonts w:ascii="Times New Roman" w:eastAsia="Times New Roman" w:hAnsi="Times New Roman" w:cs="Times New Roman"/>
          <w:sz w:val="24"/>
          <w:szCs w:val="24"/>
        </w:rPr>
      </w:pPr>
    </w:p>
    <w:p w14:paraId="718DBF91" w14:textId="77777777" w:rsidR="00406710" w:rsidRDefault="00133797">
      <w:pPr>
        <w:spacing w:before="240" w:line="360" w:lineRule="auto"/>
        <w:jc w:val="both"/>
        <w:rPr>
          <w:rFonts w:ascii="Times New Roman" w:eastAsia="Times New Roman" w:hAnsi="Times New Roman" w:cs="Times New Roman"/>
          <w:i/>
        </w:rPr>
      </w:pPr>
      <w:r>
        <w:rPr>
          <w:rFonts w:ascii="Times New Roman" w:eastAsia="Times New Roman" w:hAnsi="Times New Roman" w:cs="Times New Roman"/>
          <w:i/>
        </w:rPr>
        <w:t>Takaful, as an alternative to conventional insurance, has gained much attention as part of financial security through its cooperation and mutual guarantee mechanism. Despite its Shariah compliance nature, the principle of takaful is often viewed to be in line with the United Nations Sustainable Development Goals insofar as the protection of wealth is concerned. It was, however, argued that the Westernized approach is not suitable in the practice of takaful. Rather, the embracement of maqasid al-Shariah shou</w:t>
      </w:r>
      <w:r>
        <w:rPr>
          <w:rFonts w:ascii="Times New Roman" w:eastAsia="Times New Roman" w:hAnsi="Times New Roman" w:cs="Times New Roman"/>
          <w:i/>
        </w:rPr>
        <w:t>ld instead be the benchmark due to the nature of takaful being part of Islamic finance. These conflicting approaches led to the writing of this article, which aims to assess the two relevant concepts of maqasid al-Shariah and Sustainable Development Goals, then subsequently examine their relationship, and finally to recommend for the harmonization of these two key aspects. In conducting the research, qualitative research is applied by adopting the doctrinal approach. The data are mainly based on library res</w:t>
      </w:r>
      <w:r>
        <w:rPr>
          <w:rFonts w:ascii="Times New Roman" w:eastAsia="Times New Roman" w:hAnsi="Times New Roman" w:cs="Times New Roman"/>
          <w:i/>
        </w:rPr>
        <w:t>earch via document analysis. It was found that both are complementing the takaful legal framework. It is recommended for the embracement of both in the takaful legal framework so as to ensure the attainment of higher objectives of Shariah in takaful.</w:t>
      </w:r>
    </w:p>
    <w:p w14:paraId="65FB08BF" w14:textId="77777777" w:rsidR="00406710" w:rsidRDefault="00406710">
      <w:pPr>
        <w:spacing w:after="0" w:line="240" w:lineRule="auto"/>
        <w:jc w:val="both"/>
        <w:rPr>
          <w:rFonts w:ascii="Times New Roman" w:eastAsia="Times New Roman" w:hAnsi="Times New Roman" w:cs="Times New Roman"/>
          <w:i/>
        </w:rPr>
      </w:pPr>
    </w:p>
    <w:p w14:paraId="6A8B76F4" w14:textId="77777777" w:rsidR="00406710" w:rsidRDefault="00133797">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Keywords: Maqasid al Shariah ; takaful legal framework; insurance ;Sustainable Development Goals;Shariah.</w:t>
      </w:r>
    </w:p>
    <w:p w14:paraId="035F5A3E" w14:textId="77777777" w:rsidR="00406710" w:rsidRDefault="00406710">
      <w:pPr>
        <w:spacing w:after="0" w:line="240" w:lineRule="auto"/>
        <w:jc w:val="center"/>
        <w:rPr>
          <w:rFonts w:ascii="Times New Roman" w:eastAsia="Times New Roman" w:hAnsi="Times New Roman" w:cs="Times New Roman"/>
          <w:sz w:val="24"/>
          <w:szCs w:val="24"/>
        </w:rPr>
      </w:pPr>
    </w:p>
    <w:p w14:paraId="7C15A9B4" w14:textId="77777777" w:rsidR="00406710" w:rsidRDefault="00406710">
      <w:pPr>
        <w:spacing w:after="0" w:line="240" w:lineRule="auto"/>
        <w:jc w:val="center"/>
        <w:rPr>
          <w:rFonts w:ascii="Times New Roman" w:eastAsia="Times New Roman" w:hAnsi="Times New Roman" w:cs="Times New Roman"/>
          <w:sz w:val="24"/>
          <w:szCs w:val="24"/>
        </w:rPr>
      </w:pPr>
    </w:p>
    <w:p w14:paraId="661C4C89"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14:paraId="66B0FE35"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of takaful is no longer foreign in the realm of the Islamic finance. Although its term is not directly mentioned in the Quran, it however derives its foundation from the practice of the Arab tribal system of </w:t>
      </w:r>
      <w:r>
        <w:rPr>
          <w:rFonts w:ascii="Times New Roman" w:eastAsia="Times New Roman" w:hAnsi="Times New Roman" w:cs="Times New Roman"/>
          <w:i/>
          <w:sz w:val="24"/>
          <w:szCs w:val="24"/>
        </w:rPr>
        <w:t xml:space="preserve">aqilah </w:t>
      </w:r>
      <w:r>
        <w:rPr>
          <w:rFonts w:ascii="Times New Roman" w:eastAsia="Times New Roman" w:hAnsi="Times New Roman" w:cs="Times New Roman"/>
          <w:sz w:val="24"/>
          <w:szCs w:val="24"/>
        </w:rPr>
        <w:t xml:space="preserve">during the time of the Prophet SAW based on helping tribe members who bore liability for </w:t>
      </w:r>
      <w:r>
        <w:rPr>
          <w:rFonts w:ascii="Times New Roman" w:eastAsia="Times New Roman" w:hAnsi="Times New Roman" w:cs="Times New Roman"/>
          <w:i/>
          <w:sz w:val="24"/>
          <w:szCs w:val="24"/>
        </w:rPr>
        <w:t xml:space="preserve">diyyat </w:t>
      </w:r>
      <w:r>
        <w:rPr>
          <w:rFonts w:ascii="Times New Roman" w:eastAsia="Times New Roman" w:hAnsi="Times New Roman" w:cs="Times New Roman"/>
          <w:sz w:val="24"/>
          <w:szCs w:val="24"/>
        </w:rPr>
        <w:t>payment (Ahmed, 2023). This connotes the Islamic version of conventional insurance due to its similarity concerning the nature of indemnity for loss that occurred and the attachment of risk to it, leading to both being a provision of protection to their respective customers. YetHowever, there still are still many differences insofar as thein terms of legal mechanisms and implementation of takaful concerned</w:t>
      </w:r>
      <w:r>
        <w:rPr>
          <w:rFonts w:ascii="Times New Roman" w:eastAsia="Times New Roman" w:hAnsi="Times New Roman" w:cs="Times New Roman"/>
          <w:sz w:val="24"/>
          <w:szCs w:val="24"/>
        </w:rPr>
        <w:t xml:space="preserve"> (Dikko &amp; Abdullah, 2015). In general, the contract involved in conventional insurance involves the selling of an indemnity in exchange for a premium, resulting in the risk to being wholly transferred to the insurance company rather than the policyholder. On the other hand, the principle </w:t>
      </w:r>
      <w:r>
        <w:rPr>
          <w:rFonts w:ascii="Times New Roman" w:eastAsia="Times New Roman" w:hAnsi="Times New Roman" w:cs="Times New Roman"/>
          <w:sz w:val="24"/>
          <w:szCs w:val="24"/>
        </w:rPr>
        <w:lastRenderedPageBreak/>
        <w:t>in takaful revolves around mutual indemnity, as the participants indemnify one another mutually with the risk being shared between them. The contribution made is based on the basis of donations (Faizal &amp; Shaifulazlee, 2013)</w:t>
      </w:r>
      <w:r>
        <w:rPr>
          <w:rFonts w:ascii="Times New Roman" w:eastAsia="Times New Roman" w:hAnsi="Times New Roman" w:cs="Times New Roman"/>
          <w:sz w:val="24"/>
          <w:szCs w:val="24"/>
        </w:rPr>
        <w:t>.  The practice of takaful has received wide acceptance from various countries around the world and is related to the fulfilment of the SDGs as introduced by the United Nation (“UN”) back thenNations (UN) in 2015. The future of takaful has demonstrated a significant promise to positively contribute to the achievement of all the 17 goals under the SDGs, especially in developing countries with majority Muslim populations (Dadi et al, 2023). Nonetheless, it is arguable that the SDGs shallare not be the main ob</w:t>
      </w:r>
      <w:r>
        <w:rPr>
          <w:rFonts w:ascii="Times New Roman" w:eastAsia="Times New Roman" w:hAnsi="Times New Roman" w:cs="Times New Roman"/>
          <w:sz w:val="24"/>
          <w:szCs w:val="24"/>
        </w:rPr>
        <w:t>jectives to be fulfilled in the practice of takaful.  BeingAs part of the Islamic finance, the legal mechanism and implementation of takaful should put a greater emphasis on the achievement of the main objectives of Shariah, which is also known as the maqasid al-Shariah. (Romzie et al, 2022).</w:t>
      </w:r>
    </w:p>
    <w:p w14:paraId="2F151A4F"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BETWEEN TAKAFUL, SDGS, AND MAQASID AL SHARIAH</w:t>
      </w:r>
    </w:p>
    <w:p w14:paraId="579F277B"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studies have shown that there are correlation Not limited to that literature between the maqasid al-Shariah and the SDGs based on both aimed at preserving human development. (Burhanudin et.al, 2023, Nurain, 2021 &amp; Sharifah, 2020). The correlation was drawn towards the practice of takaful to reduce poverty (Saba et.al, 2021).  TheA similar proposition can be found in another literature in which the authors reported that there is a connection between maqasid al-shariah and SDGs due to the sustaina</w:t>
      </w:r>
      <w:r>
        <w:rPr>
          <w:rFonts w:ascii="Times New Roman" w:eastAsia="Times New Roman" w:hAnsi="Times New Roman" w:cs="Times New Roman"/>
          <w:sz w:val="24"/>
          <w:szCs w:val="24"/>
        </w:rPr>
        <w:t xml:space="preserve">ble and inclusive development aimed both, yet the former is more extensive, as it is unchanging and excited before the emergence of the SDGs, yet still; however, there is still no direct indication of the practice of takaful.        </w:t>
      </w:r>
      <w:r>
        <w:rPr>
          <w:rFonts w:ascii="Times New Roman" w:eastAsia="Times New Roman" w:hAnsi="Times New Roman" w:cs="Times New Roman"/>
          <w:sz w:val="24"/>
          <w:szCs w:val="24"/>
        </w:rPr>
        <w:tab/>
      </w:r>
    </w:p>
    <w:p w14:paraId="0FBA9146" w14:textId="77777777" w:rsidR="00406710" w:rsidRDefault="00133797">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363DA03"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SHARIAH (MAQASID AL-SHARIAH)</w:t>
      </w:r>
    </w:p>
    <w:p w14:paraId="28AF65AE"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maqasid al-Shariah is often easily understood as the objective of the Shariah. It comprises every maslahah, i.e., benefits, welfare, and advantages, for which the Shariah was revealed by Allah SWT by attaining that maslahah and preventing any loss, injury, or evil, i.e., the mafsadah. This eventually aimed to achieve masalih a-Ibad </w:t>
      </w:r>
      <w:r>
        <w:rPr>
          <w:rFonts w:ascii="Times New Roman" w:eastAsia="Times New Roman" w:hAnsi="Times New Roman" w:cs="Times New Roman"/>
          <w:sz w:val="24"/>
          <w:szCs w:val="24"/>
        </w:rPr>
        <w:lastRenderedPageBreak/>
        <w:t>in this world and hereafter. Its foundation can be seen from the Quranic verse where Allah SWT stated concerning the concept of maslahah:</w:t>
      </w:r>
    </w:p>
    <w:p w14:paraId="6BDC8DB7" w14:textId="77777777" w:rsidR="00406710" w:rsidRDefault="00133797">
      <w:pPr>
        <w:bidi/>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tl/>
        </w:rPr>
        <w:t>مَا يُرِيدُ ٱللَّهُ لِيَجْعَلَ عَلَيْكُم مِّنْ حَرَجٍۢ وَلَـٰكِنوَلَـكِن يُرِيدُ لِيُطَهِّرَكُمْ وَلِيُتِمَّ نِعْمَتَهُۥ عَلَيْكُمْ لَعَلَّكُمْ تَشْكُرُونَ</w:t>
      </w:r>
    </w:p>
    <w:p w14:paraId="07358697" w14:textId="77777777" w:rsidR="00406710" w:rsidRDefault="00133797">
      <w:pPr>
        <w:spacing w:before="24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Allāh does not intend to make it difficult for you, but He intends to purify you and complete His favor upon you so that you may be grateful.</w:t>
      </w:r>
    </w:p>
    <w:p w14:paraId="2B7911EB"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off with its literal definition, the term maqasid is derived from the singular word of maqsad or its root word, qasada or qasd;, which means intend, taking a middle course, goal, aim, or aspiration. While Shariah, on the other hand, is a path to a water hole, commonly applied within the pretext of the law of Allah SWT, which is revealed to Rasulullah.   As such, the combination of these two terms leads  to the definition that is often known as the objectives and goals of the legislation and rules o</w:t>
      </w:r>
      <w:r>
        <w:rPr>
          <w:rFonts w:ascii="Times New Roman" w:eastAsia="Times New Roman" w:hAnsi="Times New Roman" w:cs="Times New Roman"/>
          <w:sz w:val="24"/>
          <w:szCs w:val="24"/>
        </w:rPr>
        <w:t>f Islam .</w:t>
      </w:r>
    </w:p>
    <w:p w14:paraId="5EB12DA6"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There are various other definitions given by the fuqaha’. For instance, according to Ibn Ashur, maqasid al-Shariah comprises of both a deeper meaning, i.e., </w:t>
      </w:r>
      <w:r>
        <w:rPr>
          <w:rFonts w:ascii="Times New Roman" w:eastAsia="Times New Roman" w:hAnsi="Times New Roman" w:cs="Times New Roman"/>
          <w:i/>
          <w:sz w:val="24"/>
          <w:szCs w:val="24"/>
        </w:rPr>
        <w:t>ma’ani,</w:t>
      </w:r>
      <w:r>
        <w:rPr>
          <w:rFonts w:ascii="Times New Roman" w:eastAsia="Times New Roman" w:hAnsi="Times New Roman" w:cs="Times New Roman"/>
          <w:sz w:val="24"/>
          <w:szCs w:val="24"/>
        </w:rPr>
        <w:t xml:space="preserve"> and the inner aspect of wisdom, i.e., </w:t>
      </w:r>
      <w:r>
        <w:rPr>
          <w:rFonts w:ascii="Times New Roman" w:eastAsia="Times New Roman" w:hAnsi="Times New Roman" w:cs="Times New Roman"/>
          <w:i/>
          <w:sz w:val="24"/>
          <w:szCs w:val="24"/>
        </w:rPr>
        <w:t>hikam</w:t>
      </w:r>
      <w:r>
        <w:rPr>
          <w:rFonts w:ascii="Times New Roman" w:eastAsia="Times New Roman" w:hAnsi="Times New Roman" w:cs="Times New Roman"/>
          <w:sz w:val="24"/>
          <w:szCs w:val="24"/>
        </w:rPr>
        <w:t>, which are both considered by the Lawgiverlawgiver in the legislation areas of the Shariah. A deeper knowledge inof maqasid al-Shariah is very much crucial for mujtahid to understand and interpret the Shariah text in addition to searching for solutions to the contemporary problems faced by the Muslims</w:t>
      </w:r>
      <w:r>
        <w:rPr>
          <w:rFonts w:ascii="Times New Roman" w:eastAsia="Times New Roman" w:hAnsi="Times New Roman" w:cs="Times New Roman"/>
          <w:sz w:val="24"/>
          <w:szCs w:val="24"/>
        </w:rPr>
        <w:t xml:space="preserve"> where the Quran and Sunnah are silent about it (Akhtarzaite, 2010). As forFor Imam al-Ghazali and al-Shatibi, the concept of maqasid al-Shariah can further be divided into three levels of hierarchy which are: </w:t>
      </w:r>
      <w:r>
        <w:rPr>
          <w:rFonts w:ascii="Times New Roman" w:eastAsia="Times New Roman" w:hAnsi="Times New Roman" w:cs="Times New Roman"/>
          <w:i/>
          <w:sz w:val="24"/>
          <w:szCs w:val="24"/>
        </w:rPr>
        <w:t>daruriyyat</w:t>
      </w:r>
      <w:r>
        <w:rPr>
          <w:rFonts w:ascii="Times New Roman" w:eastAsia="Times New Roman" w:hAnsi="Times New Roman" w:cs="Times New Roman"/>
          <w:sz w:val="24"/>
          <w:szCs w:val="24"/>
        </w:rPr>
        <w:t xml:space="preserve">, i.e., essentials,; </w:t>
      </w:r>
      <w:r>
        <w:rPr>
          <w:rFonts w:ascii="Times New Roman" w:eastAsia="Times New Roman" w:hAnsi="Times New Roman" w:cs="Times New Roman"/>
          <w:i/>
          <w:sz w:val="24"/>
          <w:szCs w:val="24"/>
        </w:rPr>
        <w:t>the hajiyyat,</w:t>
      </w:r>
      <w:r>
        <w:rPr>
          <w:rFonts w:ascii="Times New Roman" w:eastAsia="Times New Roman" w:hAnsi="Times New Roman" w:cs="Times New Roman"/>
          <w:sz w:val="24"/>
          <w:szCs w:val="24"/>
        </w:rPr>
        <w:t xml:space="preserve"> i.e., general needs or convenience,; and finally </w:t>
      </w:r>
      <w:r>
        <w:rPr>
          <w:rFonts w:ascii="Times New Roman" w:eastAsia="Times New Roman" w:hAnsi="Times New Roman" w:cs="Times New Roman"/>
          <w:i/>
          <w:sz w:val="24"/>
          <w:szCs w:val="24"/>
        </w:rPr>
        <w:t>tahsiniyat</w:t>
      </w:r>
      <w:r>
        <w:rPr>
          <w:rFonts w:ascii="Times New Roman" w:eastAsia="Times New Roman" w:hAnsi="Times New Roman" w:cs="Times New Roman"/>
          <w:sz w:val="24"/>
          <w:szCs w:val="24"/>
        </w:rPr>
        <w:t>, i.e., refinements. All in all, it was the theory brought forward byOverall, Imam al-Ghazali proposed that maslahah is the significant aspect of the framework of maqasid al-Shariah (Zoolhelmi et al</w:t>
      </w:r>
      <w:r>
        <w:rPr>
          <w:rFonts w:ascii="Times New Roman" w:eastAsia="Times New Roman" w:hAnsi="Times New Roman" w:cs="Times New Roman"/>
          <w:sz w:val="24"/>
          <w:szCs w:val="24"/>
        </w:rPr>
        <w:t>, 2023).</w:t>
      </w:r>
    </w:p>
    <w:p w14:paraId="4E312BDF"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elaborate further on this part, Imam al-Ghazali has also defined </w:t>
      </w:r>
      <w:r>
        <w:rPr>
          <w:rFonts w:ascii="Times New Roman" w:eastAsia="Times New Roman" w:hAnsi="Times New Roman" w:cs="Times New Roman"/>
          <w:i/>
          <w:sz w:val="24"/>
          <w:szCs w:val="24"/>
        </w:rPr>
        <w:t>maqasid al-Shariah</w:t>
      </w:r>
      <w:r>
        <w:rPr>
          <w:rFonts w:ascii="Times New Roman" w:eastAsia="Times New Roman" w:hAnsi="Times New Roman" w:cs="Times New Roman"/>
          <w:sz w:val="24"/>
          <w:szCs w:val="24"/>
        </w:rPr>
        <w:t xml:space="preserve"> from the perspective of its objectives. As such, this gives rise to the most commonly known </w:t>
      </w:r>
      <w:r>
        <w:rPr>
          <w:rFonts w:ascii="Times New Roman" w:eastAsia="Times New Roman" w:hAnsi="Times New Roman" w:cs="Times New Roman"/>
          <w:i/>
          <w:sz w:val="24"/>
          <w:szCs w:val="24"/>
        </w:rPr>
        <w:t>as daruriyyat al-khams</w:t>
      </w:r>
      <w:r>
        <w:rPr>
          <w:rFonts w:ascii="Times New Roman" w:eastAsia="Times New Roman" w:hAnsi="Times New Roman" w:cs="Times New Roman"/>
          <w:sz w:val="24"/>
          <w:szCs w:val="24"/>
        </w:rPr>
        <w:t>, namely, protection of religion (</w:t>
      </w:r>
      <w:r>
        <w:rPr>
          <w:rFonts w:ascii="Times New Roman" w:eastAsia="Times New Roman" w:hAnsi="Times New Roman" w:cs="Times New Roman"/>
          <w:i/>
          <w:sz w:val="24"/>
          <w:szCs w:val="24"/>
        </w:rPr>
        <w:t>hifz ad-din</w:t>
      </w:r>
      <w:r>
        <w:rPr>
          <w:rFonts w:ascii="Times New Roman" w:eastAsia="Times New Roman" w:hAnsi="Times New Roman" w:cs="Times New Roman"/>
          <w:sz w:val="24"/>
          <w:szCs w:val="24"/>
        </w:rPr>
        <w:t>), protection of life (</w:t>
      </w:r>
      <w:r>
        <w:rPr>
          <w:rFonts w:ascii="Times New Roman" w:eastAsia="Times New Roman" w:hAnsi="Times New Roman" w:cs="Times New Roman"/>
          <w:i/>
          <w:sz w:val="24"/>
          <w:szCs w:val="24"/>
        </w:rPr>
        <w:t>hifz an-nafs</w:t>
      </w:r>
      <w:r>
        <w:rPr>
          <w:rFonts w:ascii="Times New Roman" w:eastAsia="Times New Roman" w:hAnsi="Times New Roman" w:cs="Times New Roman"/>
          <w:sz w:val="24"/>
          <w:szCs w:val="24"/>
        </w:rPr>
        <w:t>), protection of intellect (</w:t>
      </w:r>
      <w:r>
        <w:rPr>
          <w:rFonts w:ascii="Times New Roman" w:eastAsia="Times New Roman" w:hAnsi="Times New Roman" w:cs="Times New Roman"/>
          <w:i/>
          <w:sz w:val="24"/>
          <w:szCs w:val="24"/>
        </w:rPr>
        <w:t>hifz al-aql</w:t>
      </w:r>
      <w:r>
        <w:rPr>
          <w:rFonts w:ascii="Times New Roman" w:eastAsia="Times New Roman" w:hAnsi="Times New Roman" w:cs="Times New Roman"/>
          <w:sz w:val="24"/>
          <w:szCs w:val="24"/>
        </w:rPr>
        <w:t>), protection of posterity or lineage (hifz an-nasl) and finally protection of property or wealth (</w:t>
      </w:r>
      <w:r>
        <w:rPr>
          <w:rFonts w:ascii="Times New Roman" w:eastAsia="Times New Roman" w:hAnsi="Times New Roman" w:cs="Times New Roman"/>
          <w:i/>
          <w:sz w:val="24"/>
          <w:szCs w:val="24"/>
        </w:rPr>
        <w:t>hifz al-maal</w:t>
      </w:r>
      <w:r>
        <w:rPr>
          <w:rFonts w:ascii="Times New Roman" w:eastAsia="Times New Roman" w:hAnsi="Times New Roman" w:cs="Times New Roman"/>
          <w:sz w:val="24"/>
          <w:szCs w:val="24"/>
        </w:rPr>
        <w:t>). This is in line with the definition given by Ibn Ashur over the term of maqas</w:t>
      </w:r>
      <w:r>
        <w:rPr>
          <w:rFonts w:ascii="Times New Roman" w:eastAsia="Times New Roman" w:hAnsi="Times New Roman" w:cs="Times New Roman"/>
          <w:sz w:val="24"/>
          <w:szCs w:val="24"/>
        </w:rPr>
        <w:t xml:space="preserve">id al-Shariah to mean the wisdom and purpose behind every ruling of Shariah, with the </w:t>
      </w:r>
      <w:r>
        <w:rPr>
          <w:rFonts w:ascii="Times New Roman" w:eastAsia="Times New Roman" w:hAnsi="Times New Roman" w:cs="Times New Roman"/>
          <w:sz w:val="24"/>
          <w:szCs w:val="24"/>
        </w:rPr>
        <w:lastRenderedPageBreak/>
        <w:t xml:space="preserve">objectives of preserving social order preservation and to ensure  healthy progress of the society. Therefore, it can generally be deduced that the Muslim jurists are all agreeable that </w:t>
      </w:r>
      <w:r>
        <w:rPr>
          <w:rFonts w:ascii="Times New Roman" w:eastAsia="Times New Roman" w:hAnsi="Times New Roman" w:cs="Times New Roman"/>
          <w:i/>
          <w:sz w:val="24"/>
          <w:szCs w:val="24"/>
        </w:rPr>
        <w:t>maqasid al-Shariah</w:t>
      </w:r>
      <w:r>
        <w:rPr>
          <w:rFonts w:ascii="Times New Roman" w:eastAsia="Times New Roman" w:hAnsi="Times New Roman" w:cs="Times New Roman"/>
          <w:sz w:val="24"/>
          <w:szCs w:val="24"/>
        </w:rPr>
        <w:t xml:space="preserve"> is an essential benefits for mankind, with rationale and wisdom behind every rulings passed in the Shariah.</w:t>
      </w:r>
    </w:p>
    <w:p w14:paraId="4F6CD96F"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As stipulated earlier in the definition partsection, maqasid al-Shariah can further be divided into three categories which are: </w:t>
      </w:r>
      <w:r>
        <w:rPr>
          <w:rFonts w:ascii="Times New Roman" w:eastAsia="Times New Roman" w:hAnsi="Times New Roman" w:cs="Times New Roman"/>
          <w:i/>
          <w:sz w:val="24"/>
          <w:szCs w:val="24"/>
        </w:rPr>
        <w:t>daruriyyat, hajiyyat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tahsiniyyat.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Daruriyyat</w:t>
      </w:r>
      <w:r>
        <w:rPr>
          <w:rFonts w:ascii="Times New Roman" w:eastAsia="Times New Roman" w:hAnsi="Times New Roman" w:cs="Times New Roman"/>
          <w:sz w:val="24"/>
          <w:szCs w:val="24"/>
        </w:rPr>
        <w:t xml:space="preserve"> involves the objectives which are a must so asthat are necessary to form the basis of welfare establishment in the world and hereafter, whereby if any of these objectives are ignored, the order and coherence cannot be duly fulfilled and thus will lead to facade and chaos. The five objectives under daruriyyat are famously known as d</w:t>
      </w:r>
      <w:r>
        <w:rPr>
          <w:rFonts w:ascii="Times New Roman" w:eastAsia="Times New Roman" w:hAnsi="Times New Roman" w:cs="Times New Roman"/>
          <w:sz w:val="24"/>
          <w:szCs w:val="24"/>
        </w:rPr>
        <w:t xml:space="preserve">aruriyyat al-khams and will be further elaborated afterward. As for theThe second category, </w:t>
      </w:r>
      <w:r>
        <w:rPr>
          <w:rFonts w:ascii="Times New Roman" w:eastAsia="Times New Roman" w:hAnsi="Times New Roman" w:cs="Times New Roman"/>
          <w:i/>
          <w:sz w:val="24"/>
          <w:szCs w:val="24"/>
        </w:rPr>
        <w:t>hajiyyat</w:t>
      </w:r>
      <w:r>
        <w:rPr>
          <w:rFonts w:ascii="Times New Roman" w:eastAsia="Times New Roman" w:hAnsi="Times New Roman" w:cs="Times New Roman"/>
          <w:sz w:val="24"/>
          <w:szCs w:val="24"/>
        </w:rPr>
        <w:t xml:space="preserve">, it is aimed to remove hardship and to facilitate life, while the third category, </w:t>
      </w:r>
      <w:r>
        <w:rPr>
          <w:rFonts w:ascii="Times New Roman" w:eastAsia="Times New Roman" w:hAnsi="Times New Roman" w:cs="Times New Roman"/>
          <w:i/>
          <w:sz w:val="24"/>
          <w:szCs w:val="24"/>
        </w:rPr>
        <w:t>tahsiniyyat,</w:t>
      </w:r>
      <w:r>
        <w:rPr>
          <w:rFonts w:ascii="Times New Roman" w:eastAsia="Times New Roman" w:hAnsi="Times New Roman" w:cs="Times New Roman"/>
          <w:sz w:val="24"/>
          <w:szCs w:val="24"/>
        </w:rPr>
        <w:t xml:space="preserve"> is aimedaims to beautify and put comfort to the whole mechanism, complementing every aspect of </w:t>
      </w:r>
      <w:r>
        <w:rPr>
          <w:rFonts w:ascii="Times New Roman" w:eastAsia="Times New Roman" w:hAnsi="Times New Roman" w:cs="Times New Roman"/>
          <w:i/>
          <w:sz w:val="24"/>
          <w:szCs w:val="24"/>
        </w:rPr>
        <w:t xml:space="preserve">daruriyyat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hajiyyat </w:t>
      </w:r>
      <w:r>
        <w:rPr>
          <w:rFonts w:ascii="Times New Roman" w:eastAsia="Times New Roman" w:hAnsi="Times New Roman" w:cs="Times New Roman"/>
          <w:sz w:val="24"/>
          <w:szCs w:val="24"/>
        </w:rPr>
        <w:t>.</w:t>
      </w:r>
    </w:p>
    <w:p w14:paraId="1DDE65D9" w14:textId="77777777" w:rsidR="00406710" w:rsidRDefault="0013379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SUSTAINABLE DEVELOPMENT GOALS</w:t>
      </w:r>
    </w:p>
    <w:p w14:paraId="77F5E63C"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first goal is no poverty. Poverty can be defined as surviving on less than $2.15 per day per person. Thus, this goal aims to eradicate poverty of all forms everywhere by 2030. The second goal is zero hunger, whereby it aims for the world to be free from hunger by 2030 due to whatever cause, including food insecurity or lack of access to sufficient nourishment. This is crucial to prevent malnutrition, which may alleviate the likelihood of being prone to the spread of disease. The third goal is good heal</w:t>
      </w:r>
      <w:r>
        <w:rPr>
          <w:rFonts w:ascii="Times New Roman" w:eastAsia="Times New Roman" w:hAnsi="Times New Roman" w:cs="Times New Roman"/>
          <w:sz w:val="24"/>
          <w:szCs w:val="24"/>
        </w:rPr>
        <w:t xml:space="preserve">th and well-being. This goal aims to promote the well-being of every single human at all ages so as to ensure a healthy life. Moving on to the fourth goal, which is on quality education. It aims to make progress towards children's education so as to negate any sort of inequality. The next goal is gender equality, which aims to empower the rights of both men and women by 2030 for sexual violence, an unequal division of work, discrimination in public office, and many more. The sixth goal of the SDGs is clean </w:t>
      </w:r>
      <w:r>
        <w:rPr>
          <w:rFonts w:ascii="Times New Roman" w:eastAsia="Times New Roman" w:hAnsi="Times New Roman" w:cs="Times New Roman"/>
          <w:sz w:val="24"/>
          <w:szCs w:val="24"/>
        </w:rPr>
        <w:t xml:space="preserve">water and sanitation. This goal aims to ensure that everyone has equal access to water and sanitation by investing in facilities relating to infrastructure and sanitation, and protecting and restoring ecosystems relating to water as well as hand hygiene education. The seventh goal to be achieved is affordable and clean energy, which are </w:t>
      </w:r>
      <w:r>
        <w:rPr>
          <w:rFonts w:ascii="Times New Roman" w:eastAsia="Times New Roman" w:hAnsi="Times New Roman" w:cs="Times New Roman"/>
          <w:sz w:val="24"/>
          <w:szCs w:val="24"/>
        </w:rPr>
        <w:lastRenderedPageBreak/>
        <w:t>reliable, sustainable, and modern. This includes investment in solar, wind, and thermal energy sources, which will be cleaner by 2030 (United Nations, 2015).</w:t>
      </w:r>
    </w:p>
    <w:p w14:paraId="2F8E72AD"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eighth goal is decent work and economic growth, which is achieved by providing decent and sustainable employment and work for all so as to promote inclusive economic growth. The next goal under the SDGs is pertaining  to industries, innovations, and infrastructures, which is aimed to promote resilient infrastructure, and sustainable industrialization as well as fostering innovation via technology. Goal 10 of the SDGs aims to reduce inequalities within and among countries based on income, sex, age, disab</w:t>
      </w:r>
      <w:r>
        <w:rPr>
          <w:rFonts w:ascii="Times New Roman" w:eastAsia="Times New Roman" w:hAnsi="Times New Roman" w:cs="Times New Roman"/>
          <w:sz w:val="24"/>
          <w:szCs w:val="24"/>
        </w:rPr>
        <w:t>ility, sexual orientation, race, class, ethnicity, religion, and opportunity. As to theThe eleventh goal, it pertains to sustainable cities and communities by making them inclusive, safe, and resilient for rapid urbanization. The twelfth goal is responsible for consumption and production patterns by eliminating food waste and promoting recycling, for instance. The subsequent goal is climate action in order to prevent the greenhouse gas emissions as well as weather patterns and rising sea levels changes. The</w:t>
      </w:r>
      <w:r>
        <w:rPr>
          <w:rFonts w:ascii="Times New Roman" w:eastAsia="Times New Roman" w:hAnsi="Times New Roman" w:cs="Times New Roman"/>
          <w:sz w:val="24"/>
          <w:szCs w:val="24"/>
        </w:rPr>
        <w:t xml:space="preserve"> fourteenth goal under the SDGs is regarding life below water. It aims to conserve and use the oceans, seas, and marine resources sustainably. As for theThe next goal, it is with regards to life on land, which is aimed at conserving ecosystems, managing forests, preventing land from degrading, and avoiding the loss of biodiversity so as to stop global deforestation. The sixteenth goal is peace, justice, and strong institutions by promoting a society that is free of fear from all sorts of violence besides fe</w:t>
      </w:r>
      <w:r>
        <w:rPr>
          <w:rFonts w:ascii="Times New Roman" w:eastAsia="Times New Roman" w:hAnsi="Times New Roman" w:cs="Times New Roman"/>
          <w:sz w:val="24"/>
          <w:szCs w:val="24"/>
        </w:rPr>
        <w:t>eling safe in their lives. And theThe final goal is a partnership for the goals, which essentially focus on revitalizing global partnership so as partnerships to ensure that sustainable developments are achieved. This goal calls for strong commitment and cooperation from various entities to materialize the fulfilllment of every goal under the SDGs (United Nations, 2015).</w:t>
      </w:r>
    </w:p>
    <w:p w14:paraId="06D21976"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Undeniably that the idea of every goal of the SDGs is indeed values focused on the sustainable development and growth of three main aspects which are: economy, social, and environmental protection.</w:t>
      </w:r>
    </w:p>
    <w:p w14:paraId="452789B3" w14:textId="77777777" w:rsidR="00406710" w:rsidRDefault="0013379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FULFILLMENT OF MAQASID AL-SHARIAH IN THE PRACTICE OF TAKAFUL</w:t>
      </w:r>
    </w:p>
    <w:p w14:paraId="18DA7CF5"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F8902F"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Upon accessing the concept of maqasid al-Shariah and SDGs in the previous section, the following discussion focused on the correlation between takaful. </w:t>
      </w:r>
    </w:p>
    <w:p w14:paraId="2AC01200"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To begin, the concept of takaful is worth reiterating, whereby it means a joint guarantee, shared responsibility, and guarantee, collective assurance as well as mutual undertaking among members in a group of specified people through agreement. Pursuant to section 2 of the Malaysian Islamic Financial Services Act 2013, takaful is defined as an arrangement based on mutual assistance, whereby the participants under the takaful agree to contribute to a common fund that will provide for mutual financial benefit</w:t>
      </w:r>
      <w:r>
        <w:rPr>
          <w:rFonts w:ascii="Times New Roman" w:eastAsia="Times New Roman" w:hAnsi="Times New Roman" w:cs="Times New Roman"/>
          <w:sz w:val="24"/>
          <w:szCs w:val="24"/>
        </w:rPr>
        <w:t>s payable to the takaful participants or their beneficiaries on the occurrence of pre-agreed events. As such, there is three mutualities that exist in takaful which are mutual help, mutual responsibility, and mutual protection from losses(AAOIFI, 2007). Insofar as the practice in Malaysia is concerned, a licensed takaful operator can carry its business on general takaful or family takaful.</w:t>
      </w:r>
    </w:p>
    <w:p w14:paraId="257F42F3"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RELIGION</w:t>
      </w:r>
    </w:p>
    <w:p w14:paraId="1E38198E"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beginThe practice of takaful reflects the protection of religion. This is because ensuring that one’s earnings are from lawful and halal methods as per the Shariah is indeed very closely related to the maqasid of </w:t>
      </w:r>
      <w:r>
        <w:rPr>
          <w:rFonts w:ascii="Times New Roman" w:eastAsia="Times New Roman" w:hAnsi="Times New Roman" w:cs="Times New Roman"/>
          <w:i/>
          <w:sz w:val="24"/>
          <w:szCs w:val="24"/>
        </w:rPr>
        <w:t>hifz ad-din</w:t>
      </w:r>
      <w:r>
        <w:rPr>
          <w:rFonts w:ascii="Times New Roman" w:eastAsia="Times New Roman" w:hAnsi="Times New Roman" w:cs="Times New Roman"/>
          <w:sz w:val="24"/>
          <w:szCs w:val="24"/>
        </w:rPr>
        <w:t xml:space="preserve">, as Allah SWT instructed every human being to act righteous and for their earning to be gained from halal sources. This leads to the prohibition of </w:t>
      </w:r>
      <w:r>
        <w:rPr>
          <w:rFonts w:ascii="Times New Roman" w:eastAsia="Times New Roman" w:hAnsi="Times New Roman" w:cs="Times New Roman"/>
          <w:i/>
          <w:sz w:val="24"/>
          <w:szCs w:val="24"/>
        </w:rPr>
        <w:t>riba, gharar, maysir</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qimar,</w:t>
      </w:r>
      <w:r>
        <w:rPr>
          <w:rFonts w:ascii="Times New Roman" w:eastAsia="Times New Roman" w:hAnsi="Times New Roman" w:cs="Times New Roman"/>
          <w:sz w:val="24"/>
          <w:szCs w:val="24"/>
        </w:rPr>
        <w:t xml:space="preserve"> which are the basis for the illegality of convention insurance, as it consists of all of these prohibited elements. Similarly, the investment made in the conventional insurance will be invested in various investment instruments regardless of whether it involved s businesses concerning wine, pork, or any other prohibited commodities in Shariah.</w:t>
      </w:r>
    </w:p>
    <w:p w14:paraId="693915AE"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situation is unlike the practice in takaful, as any sort of investment shall be strictly Shariah compliance, reflecting an act of obedience from the servant of Allah to always abide by his commands at all times, including in muamalat matters within the practice of takaful. Avoiding the involvement in conventional insurance and shifting to takaful practice as an alternative to protect oneself from possible future loss is thus in line with the act of a servant preserving his relationship with Allah SWT, </w:t>
      </w:r>
      <w:r>
        <w:rPr>
          <w:rFonts w:ascii="Times New Roman" w:eastAsia="Times New Roman" w:hAnsi="Times New Roman" w:cs="Times New Roman"/>
          <w:sz w:val="24"/>
          <w:szCs w:val="24"/>
        </w:rPr>
        <w:t xml:space="preserve">simultaneously protecting his religion and faith from sinful actions   (Usama et.al, 2021). BesidesIn addition, the fact that the takaful agents shall reflect the core Islamic </w:t>
      </w:r>
      <w:r>
        <w:rPr>
          <w:rFonts w:ascii="Times New Roman" w:eastAsia="Times New Roman" w:hAnsi="Times New Roman" w:cs="Times New Roman"/>
          <w:sz w:val="24"/>
          <w:szCs w:val="24"/>
        </w:rPr>
        <w:lastRenderedPageBreak/>
        <w:t xml:space="preserve">values in the takaful business operation also reflects the advancement of religion, looking at the role of the takaful agent as not merely an agent to gain profit but rather a religious agent that ensure compliance of the whole takaful operation with Shariah (Dikko &amp; Abdullah, 2015). Therefore, the first maqasid of </w:t>
      </w:r>
      <w:r>
        <w:rPr>
          <w:rFonts w:ascii="Times New Roman" w:eastAsia="Times New Roman" w:hAnsi="Times New Roman" w:cs="Times New Roman"/>
          <w:i/>
          <w:sz w:val="24"/>
          <w:szCs w:val="24"/>
        </w:rPr>
        <w:t>hifz ad-din</w:t>
      </w:r>
      <w:r>
        <w:rPr>
          <w:rFonts w:ascii="Times New Roman" w:eastAsia="Times New Roman" w:hAnsi="Times New Roman" w:cs="Times New Roman"/>
          <w:sz w:val="24"/>
          <w:szCs w:val="24"/>
        </w:rPr>
        <w:t xml:space="preserve"> can be </w:t>
      </w:r>
      <w:r>
        <w:rPr>
          <w:rFonts w:ascii="Times New Roman" w:eastAsia="Times New Roman" w:hAnsi="Times New Roman" w:cs="Times New Roman"/>
          <w:sz w:val="24"/>
          <w:szCs w:val="24"/>
        </w:rPr>
        <w:t>considered to have been fulfilled in the practice of takaful.</w:t>
      </w:r>
    </w:p>
    <w:p w14:paraId="4E019DC9" w14:textId="77777777" w:rsidR="00406710" w:rsidRDefault="00133797">
      <w:pPr>
        <w:spacing w:before="24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LIFE</w:t>
      </w:r>
    </w:p>
    <w:p w14:paraId="2F0EFF3D"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second maqasid that shall be analysed is the fulfilllment of protection of life in the context of takaful. This maqasid can further be widened so as to include not only life protection in protecting the participants from death, but also to the extent of protecting oneself to which they protect themselves from injury, medical illness, or health care issues that may adversely impact heir lives. This protection is the most obvious one under the practice of takaful, specifically under family takaful, as it </w:t>
      </w:r>
      <w:r>
        <w:rPr>
          <w:rFonts w:ascii="Times New Roman" w:eastAsia="Times New Roman" w:hAnsi="Times New Roman" w:cs="Times New Roman"/>
          <w:sz w:val="24"/>
          <w:szCs w:val="24"/>
        </w:rPr>
        <w:t>protects the participants as well as their dependents with long -term savings arising from disability, death, or survival. A detailed regulation can further be found as per the framework issued by the Bank Negara Malaysia (“BNM”), which forms a foundation to guide the practice of family ltakaful business in Malaysia (BNM, 2015).</w:t>
      </w:r>
    </w:p>
    <w:p w14:paraId="6D628B1E"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protecting savings in the </w:t>
      </w:r>
      <w:r>
        <w:rPr>
          <w:rFonts w:ascii="Times New Roman" w:eastAsia="Times New Roman" w:hAnsi="Times New Roman" w:cs="Times New Roman"/>
          <w:i/>
          <w:sz w:val="24"/>
          <w:szCs w:val="24"/>
        </w:rPr>
        <w:t>tabarru’</w:t>
      </w:r>
      <w:r>
        <w:rPr>
          <w:rFonts w:ascii="Times New Roman" w:eastAsia="Times New Roman" w:hAnsi="Times New Roman" w:cs="Times New Roman"/>
          <w:sz w:val="24"/>
          <w:szCs w:val="24"/>
        </w:rPr>
        <w:t xml:space="preserve"> shared pool fund for the participants and their dependent’s death, disability, or survival, it thus depicts the protection of life, not only for the participants but also for the dependents who might suffer from the death or disability of the participant. This will eventually ease their burden to continue their life (Nor Hanani et al, 2017). Also, theAdditionally, life protection in takaful people has been fulfilled through the spirit of scarification between Muslim so asMuslims to help one another</w:t>
      </w:r>
      <w:r>
        <w:rPr>
          <w:rFonts w:ascii="Times New Roman" w:eastAsia="Times New Roman" w:hAnsi="Times New Roman" w:cs="Times New Roman"/>
          <w:sz w:val="24"/>
          <w:szCs w:val="24"/>
        </w:rPr>
        <w:t xml:space="preserve"> in times of need in the future (Syahida, 2012). Therefore all in all, the existence of family takaful simply reflects the protection of participants' and dependents' lives.</w:t>
      </w:r>
    </w:p>
    <w:p w14:paraId="787FF46F" w14:textId="77777777" w:rsidR="00406710" w:rsidRDefault="00133797">
      <w:pPr>
        <w:spacing w:before="24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HUMAN INTELLECT</w:t>
      </w:r>
    </w:p>
    <w:p w14:paraId="5FD12DF3"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on to the next maqasid of hifz al-aql, this objective of Shariah is rarely discussed to have been fulfilled in takaful. Nonetheless, takaful practice has protected human’s intellects, for instance, mental health concerns have arisen. These issues include anxiety, depression, bipolar as well as disorder, and PTSD, and it calls for prompt intervention for medical treatment if needed to prevent it from worsening. Many </w:t>
      </w:r>
      <w:r>
        <w:rPr>
          <w:rFonts w:ascii="Times New Roman" w:eastAsia="Times New Roman" w:hAnsi="Times New Roman" w:cs="Times New Roman"/>
          <w:sz w:val="24"/>
          <w:szCs w:val="24"/>
        </w:rPr>
        <w:lastRenderedPageBreak/>
        <w:t>takaful providers have extended protection to cover mental illness conditions through the launching of mental health disorder schemes for example (Faizal et al, 2021). This has been done by several takaful providers in Malaysia, such as Prudential BSN Takaful and Etiqa AafiyahCare Takaful (Nathan, 2020).</w:t>
      </w:r>
    </w:p>
    <w:p w14:paraId="76DCA535"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attention given to extend the protection under takaful for mental health illness depicts reflects the fulfilment of intellectual protection in the practice of takaful, in line with the principles of maqasid al-Shariah. Therefore, it can safely be deduced that the practice of takaful extends to the protection of intellect, and further research is needed to extend the protection even further to every takaful provider in Malaysia specifically, as it is very much capable of being explored and extended.</w:t>
      </w:r>
    </w:p>
    <w:p w14:paraId="09BACB9B" w14:textId="77777777" w:rsidR="00406710" w:rsidRDefault="00133797">
      <w:pPr>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HUMAN DIGNITY, POSTERITY AND LINEAGE</w:t>
      </w:r>
    </w:p>
    <w:p w14:paraId="5E21BBC5"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 the fourth maqasid, which is </w:t>
      </w:r>
      <w:r>
        <w:rPr>
          <w:rFonts w:ascii="Times New Roman" w:eastAsia="Times New Roman" w:hAnsi="Times New Roman" w:cs="Times New Roman"/>
          <w:i/>
          <w:sz w:val="24"/>
          <w:szCs w:val="24"/>
        </w:rPr>
        <w:t>hifz an-nasl</w:t>
      </w:r>
      <w:r>
        <w:rPr>
          <w:rFonts w:ascii="Times New Roman" w:eastAsia="Times New Roman" w:hAnsi="Times New Roman" w:cs="Times New Roman"/>
          <w:sz w:val="24"/>
          <w:szCs w:val="24"/>
        </w:rPr>
        <w:t>, there has been much research done and studies have been conducted to extend the practice of takaful to protect human dignity, posterity, and lineage. It is crucial because it centers upon a person’s inviolability. In other words, means takaful shall be able to protect victims of inhumane and unethical actions likesuch as rape, domestic violence, incest, and child molestation (Dikko &amp; Abdullah, 2015). As such, the masalih al-ibad is able to fulfill within the parameters of maqasid al-Shariah, a</w:t>
      </w:r>
      <w:r>
        <w:rPr>
          <w:rFonts w:ascii="Times New Roman" w:eastAsia="Times New Roman" w:hAnsi="Times New Roman" w:cs="Times New Roman"/>
          <w:sz w:val="24"/>
          <w:szCs w:val="24"/>
        </w:rPr>
        <w:t>s takaful will provide greater justice towards those victims whose rights have been discriminated against. This is based on the principle of aqilah in the payment of blood money, i.e., diyyah, which is the custom of the Arab tribes, whereby the paternal relative of the slainer will have to be responsible in mutual contribution to be paid to the victim’s relatives as a result of the injury or killing committed by the slainer towards the victim (Syahida, 2012).</w:t>
      </w:r>
    </w:p>
    <w:p w14:paraId="4F2D52D3"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Nonetheless, to date, there is still no due mechanism to fulfilll this protection under the coverage of takaful due to a lack of research on the practical approach to materialize it during the operation. YetHowever, it can be construed that such an approach is not impossible to be doneapply with a proper legal mechanism, guideline mechanisms, guidelines, and standard operating procedure within the procedures among takaful providers, specifically in Malaysia. A good start that may be considered is to include</w:t>
      </w:r>
      <w:r>
        <w:rPr>
          <w:rFonts w:ascii="Times New Roman" w:eastAsia="Times New Roman" w:hAnsi="Times New Roman" w:cs="Times New Roman"/>
          <w:sz w:val="24"/>
          <w:szCs w:val="24"/>
        </w:rPr>
        <w:t xml:space="preserve"> the right of the takaful participant to claim from the shared </w:t>
      </w:r>
      <w:r>
        <w:rPr>
          <w:rFonts w:ascii="Times New Roman" w:eastAsia="Times New Roman" w:hAnsi="Times New Roman" w:cs="Times New Roman"/>
          <w:i/>
          <w:sz w:val="24"/>
          <w:szCs w:val="24"/>
        </w:rPr>
        <w:t>tabarru’tabarru</w:t>
      </w:r>
      <w:r>
        <w:rPr>
          <w:rFonts w:ascii="Times New Roman" w:eastAsia="Times New Roman" w:hAnsi="Times New Roman" w:cs="Times New Roman"/>
          <w:sz w:val="24"/>
          <w:szCs w:val="24"/>
        </w:rPr>
        <w:t xml:space="preserve"> fund for any injury or damagesdamage suffered by her upon the occurrence of any </w:t>
      </w:r>
      <w:r>
        <w:rPr>
          <w:rFonts w:ascii="Times New Roman" w:eastAsia="Times New Roman" w:hAnsi="Times New Roman" w:cs="Times New Roman"/>
          <w:sz w:val="24"/>
          <w:szCs w:val="24"/>
        </w:rPr>
        <w:lastRenderedPageBreak/>
        <w:t>violence and unethical actions, for instance, rape, against her. This seems to be workable, as it merely involves a claim for protection in favour  of a participant who subscribes for such a protection from the takaful provider. However, further research is very much needed to explore the possibility of fulfilling this aspect within the practice of ta</w:t>
      </w:r>
      <w:r>
        <w:rPr>
          <w:rFonts w:ascii="Times New Roman" w:eastAsia="Times New Roman" w:hAnsi="Times New Roman" w:cs="Times New Roman"/>
          <w:sz w:val="24"/>
          <w:szCs w:val="24"/>
        </w:rPr>
        <w:t>kaful.</w:t>
      </w:r>
    </w:p>
    <w:p w14:paraId="18CF55D3"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takaful that provided, which provides a mechanism for saving in favour of children, can still be considered fulfilling maqasid </w:t>
      </w:r>
      <w:r>
        <w:rPr>
          <w:rFonts w:ascii="Times New Roman" w:eastAsia="Times New Roman" w:hAnsi="Times New Roman" w:cs="Times New Roman"/>
          <w:i/>
          <w:sz w:val="24"/>
          <w:szCs w:val="24"/>
        </w:rPr>
        <w:t>hifz an-nasl</w:t>
      </w:r>
      <w:r>
        <w:rPr>
          <w:rFonts w:ascii="Times New Roman" w:eastAsia="Times New Roman" w:hAnsi="Times New Roman" w:cs="Times New Roman"/>
          <w:sz w:val="24"/>
          <w:szCs w:val="24"/>
        </w:rPr>
        <w:t xml:space="preserve">, as children and offspring are products of valid marriage with the continuity of lineage. For instance, Takaful Savers Kid under Prudential BSN Takaful and IKHLAS Ilhamku Inspirasi Masa Depan Anakku were offered by Takaful Ikhlas. Through the fulfilllment of </w:t>
      </w:r>
      <w:r>
        <w:rPr>
          <w:rFonts w:ascii="Times New Roman" w:eastAsia="Times New Roman" w:hAnsi="Times New Roman" w:cs="Times New Roman"/>
          <w:i/>
          <w:sz w:val="24"/>
          <w:szCs w:val="24"/>
        </w:rPr>
        <w:t>maqasid hifz an-nasl</w:t>
      </w:r>
      <w:r>
        <w:rPr>
          <w:rFonts w:ascii="Times New Roman" w:eastAsia="Times New Roman" w:hAnsi="Times New Roman" w:cs="Times New Roman"/>
          <w:sz w:val="24"/>
          <w:szCs w:val="24"/>
        </w:rPr>
        <w:t>, the takaful service will not only flourish the Islamic finance, but also fulfilll a greater value within the crux of Shariah (Ahmad &amp; Hasan, 2020). Therefore, it can be concluded that the protection of lineage and post</w:t>
      </w:r>
      <w:r>
        <w:rPr>
          <w:rFonts w:ascii="Times New Roman" w:eastAsia="Times New Roman" w:hAnsi="Times New Roman" w:cs="Times New Roman"/>
          <w:sz w:val="24"/>
          <w:szCs w:val="24"/>
        </w:rPr>
        <w:t>erity has been duly fulfilled in takaful practice.</w:t>
      </w:r>
    </w:p>
    <w:p w14:paraId="651C4C14" w14:textId="77777777" w:rsidR="00406710" w:rsidRDefault="00133797">
      <w:pPr>
        <w:spacing w:before="24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PROPERTY</w:t>
      </w:r>
    </w:p>
    <w:p w14:paraId="099F7F99"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final maqasid, which is the most relevant one within the ambit of takaful practice of maqasid hifz al-mal. This is because the main purpose of takaful itself is to provide financial protection against any possible future loss of the participants. This includes how much risk tois be duly managed, which shall comply with Shariah as iterated earlier by ensuring that the whole mechanism is free of </w:t>
      </w:r>
      <w:r>
        <w:rPr>
          <w:rFonts w:ascii="Times New Roman" w:eastAsia="Times New Roman" w:hAnsi="Times New Roman" w:cs="Times New Roman"/>
          <w:i/>
          <w:sz w:val="24"/>
          <w:szCs w:val="24"/>
        </w:rPr>
        <w:t>riba, gharar</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maysir</w:t>
      </w:r>
      <w:r>
        <w:rPr>
          <w:rFonts w:ascii="Times New Roman" w:eastAsia="Times New Roman" w:hAnsi="Times New Roman" w:cs="Times New Roman"/>
          <w:sz w:val="24"/>
          <w:szCs w:val="24"/>
        </w:rPr>
        <w:t>. This indirectly calls for discussion of the goals of Shariah within the ambit of wea</w:t>
      </w:r>
      <w:r>
        <w:rPr>
          <w:rFonts w:ascii="Times New Roman" w:eastAsia="Times New Roman" w:hAnsi="Times New Roman" w:cs="Times New Roman"/>
          <w:sz w:val="24"/>
          <w:szCs w:val="24"/>
        </w:rPr>
        <w:t xml:space="preserve">lth protection in the practice of takaful, which are </w:t>
      </w:r>
      <w:r>
        <w:rPr>
          <w:rFonts w:ascii="Times New Roman" w:eastAsia="Times New Roman" w:hAnsi="Times New Roman" w:cs="Times New Roman"/>
          <w:i/>
          <w:sz w:val="24"/>
          <w:szCs w:val="24"/>
        </w:rPr>
        <w:t>rawaj</w:t>
      </w:r>
      <w:r>
        <w:rPr>
          <w:rFonts w:ascii="Times New Roman" w:eastAsia="Times New Roman" w:hAnsi="Times New Roman" w:cs="Times New Roman"/>
          <w:sz w:val="24"/>
          <w:szCs w:val="24"/>
        </w:rPr>
        <w:t xml:space="preserve">, i.e., the wide circulation of properties, </w:t>
      </w:r>
      <w:r>
        <w:rPr>
          <w:rFonts w:ascii="Times New Roman" w:eastAsia="Times New Roman" w:hAnsi="Times New Roman" w:cs="Times New Roman"/>
          <w:i/>
          <w:sz w:val="24"/>
          <w:szCs w:val="24"/>
        </w:rPr>
        <w:t>wuduh</w:t>
      </w:r>
      <w:r>
        <w:rPr>
          <w:rFonts w:ascii="Times New Roman" w:eastAsia="Times New Roman" w:hAnsi="Times New Roman" w:cs="Times New Roman"/>
          <w:sz w:val="24"/>
          <w:szCs w:val="24"/>
        </w:rPr>
        <w:t xml:space="preserve">, i.e., transparency,; </w:t>
      </w:r>
      <w:r>
        <w:rPr>
          <w:rFonts w:ascii="Times New Roman" w:eastAsia="Times New Roman" w:hAnsi="Times New Roman" w:cs="Times New Roman"/>
          <w:i/>
          <w:sz w:val="24"/>
          <w:szCs w:val="24"/>
        </w:rPr>
        <w:t>hif</w:t>
      </w:r>
      <w:r>
        <w:rPr>
          <w:rFonts w:ascii="Times New Roman" w:eastAsia="Times New Roman" w:hAnsi="Times New Roman" w:cs="Times New Roman"/>
          <w:sz w:val="24"/>
          <w:szCs w:val="24"/>
        </w:rPr>
        <w:t xml:space="preserve">z, i.e., protection,; </w:t>
      </w:r>
      <w:r>
        <w:rPr>
          <w:rFonts w:ascii="Times New Roman" w:eastAsia="Times New Roman" w:hAnsi="Times New Roman" w:cs="Times New Roman"/>
          <w:i/>
          <w:sz w:val="24"/>
          <w:szCs w:val="24"/>
        </w:rPr>
        <w:t>thabat,</w:t>
      </w:r>
      <w:r>
        <w:rPr>
          <w:rFonts w:ascii="Times New Roman" w:eastAsia="Times New Roman" w:hAnsi="Times New Roman" w:cs="Times New Roman"/>
          <w:sz w:val="24"/>
          <w:szCs w:val="24"/>
        </w:rPr>
        <w:t xml:space="preserve"> i.e., certainty,; </w:t>
      </w:r>
      <w:r>
        <w:rPr>
          <w:rFonts w:ascii="Times New Roman" w:eastAsia="Times New Roman" w:hAnsi="Times New Roman" w:cs="Times New Roman"/>
          <w:i/>
          <w:sz w:val="24"/>
          <w:szCs w:val="24"/>
        </w:rPr>
        <w:t>adl,</w:t>
      </w:r>
      <w:r>
        <w:rPr>
          <w:rFonts w:ascii="Times New Roman" w:eastAsia="Times New Roman" w:hAnsi="Times New Roman" w:cs="Times New Roman"/>
          <w:sz w:val="24"/>
          <w:szCs w:val="24"/>
        </w:rPr>
        <w:t xml:space="preserve"> i,.e., justice; and </w:t>
      </w:r>
      <w:r>
        <w:rPr>
          <w:rFonts w:ascii="Times New Roman" w:eastAsia="Times New Roman" w:hAnsi="Times New Roman" w:cs="Times New Roman"/>
          <w:i/>
          <w:sz w:val="24"/>
          <w:szCs w:val="24"/>
        </w:rPr>
        <w:t>istismar</w:t>
      </w:r>
      <w:r>
        <w:rPr>
          <w:rFonts w:ascii="Times New Roman" w:eastAsia="Times New Roman" w:hAnsi="Times New Roman" w:cs="Times New Roman"/>
          <w:sz w:val="24"/>
          <w:szCs w:val="24"/>
        </w:rPr>
        <w:t>, i.e., investment.</w:t>
      </w:r>
    </w:p>
    <w:p w14:paraId="46EECC60"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These goals can be realised through takaful practice, as it provides effective means to fulfil them, specifically by regular saving through the payment of specific instalments in the shared takaful fund, which will then be invested by the takaful company in order to obtain Shariah -compliant profit, leading to an increase economic growth in addition to being available to cover benefits of the heirs and dependents in the event of future loss. As such, this truly reflects all the goals to be obtained within </w:t>
      </w:r>
      <w:r>
        <w:rPr>
          <w:rFonts w:ascii="Times New Roman" w:eastAsia="Times New Roman" w:hAnsi="Times New Roman" w:cs="Times New Roman"/>
          <w:sz w:val="24"/>
          <w:szCs w:val="24"/>
        </w:rPr>
        <w:t xml:space="preserve">the ambit of </w:t>
      </w:r>
      <w:r>
        <w:rPr>
          <w:rFonts w:ascii="Times New Roman" w:eastAsia="Times New Roman" w:hAnsi="Times New Roman" w:cs="Times New Roman"/>
          <w:i/>
          <w:sz w:val="24"/>
          <w:szCs w:val="24"/>
        </w:rPr>
        <w:t>hifz al-maal</w:t>
      </w:r>
      <w:r>
        <w:rPr>
          <w:rFonts w:ascii="Times New Roman" w:eastAsia="Times New Roman" w:hAnsi="Times New Roman" w:cs="Times New Roman"/>
          <w:sz w:val="24"/>
          <w:szCs w:val="24"/>
        </w:rPr>
        <w:t xml:space="preserve">, as there is a wide circulation of the wealth to the general </w:t>
      </w:r>
      <w:r>
        <w:rPr>
          <w:rFonts w:ascii="Times New Roman" w:eastAsia="Times New Roman" w:hAnsi="Times New Roman" w:cs="Times New Roman"/>
          <w:sz w:val="24"/>
          <w:szCs w:val="24"/>
        </w:rPr>
        <w:lastRenderedPageBreak/>
        <w:t xml:space="preserve">public via the shared fund, fulfilling the goal of both </w:t>
      </w:r>
      <w:r>
        <w:rPr>
          <w:rFonts w:ascii="Times New Roman" w:eastAsia="Times New Roman" w:hAnsi="Times New Roman" w:cs="Times New Roman"/>
          <w:i/>
          <w:sz w:val="24"/>
          <w:szCs w:val="24"/>
        </w:rPr>
        <w:t>rawaj</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adl,</w:t>
      </w:r>
      <w:r>
        <w:rPr>
          <w:rFonts w:ascii="Times New Roman" w:eastAsia="Times New Roman" w:hAnsi="Times New Roman" w:cs="Times New Roman"/>
          <w:sz w:val="24"/>
          <w:szCs w:val="24"/>
        </w:rPr>
        <w:t xml:space="preserve"> and that all parties are clear of the financial transactions involved through a due reporting and records of takaful, reflecting the </w:t>
      </w:r>
      <w:r>
        <w:rPr>
          <w:rFonts w:ascii="Times New Roman" w:eastAsia="Times New Roman" w:hAnsi="Times New Roman" w:cs="Times New Roman"/>
          <w:i/>
          <w:sz w:val="24"/>
          <w:szCs w:val="24"/>
        </w:rPr>
        <w:t>wuduh</w:t>
      </w:r>
      <w:r>
        <w:rPr>
          <w:rFonts w:ascii="Times New Roman" w:eastAsia="Times New Roman" w:hAnsi="Times New Roman" w:cs="Times New Roman"/>
          <w:sz w:val="24"/>
          <w:szCs w:val="24"/>
        </w:rPr>
        <w:t xml:space="preserve">. Additionally, the certainty as to the right of participants to the ownership of the amount paid to the takaful operator is duly protected, unlike the conventional takaful, conforming to the goal of </w:t>
      </w:r>
      <w:r>
        <w:rPr>
          <w:rFonts w:ascii="Times New Roman" w:eastAsia="Times New Roman" w:hAnsi="Times New Roman" w:cs="Times New Roman"/>
          <w:i/>
          <w:sz w:val="24"/>
          <w:szCs w:val="24"/>
        </w:rPr>
        <w:t>thabat</w:t>
      </w:r>
      <w:r>
        <w:rPr>
          <w:rFonts w:ascii="Times New Roman" w:eastAsia="Times New Roman" w:hAnsi="Times New Roman" w:cs="Times New Roman"/>
          <w:sz w:val="24"/>
          <w:szCs w:val="24"/>
        </w:rPr>
        <w:t>. Similarl</w:t>
      </w:r>
      <w:r>
        <w:rPr>
          <w:rFonts w:ascii="Times New Roman" w:eastAsia="Times New Roman" w:hAnsi="Times New Roman" w:cs="Times New Roman"/>
          <w:sz w:val="24"/>
          <w:szCs w:val="24"/>
        </w:rPr>
        <w:t xml:space="preserve">y, there is an </w:t>
      </w:r>
      <w:r>
        <w:rPr>
          <w:rFonts w:ascii="Times New Roman" w:eastAsia="Times New Roman" w:hAnsi="Times New Roman" w:cs="Times New Roman"/>
          <w:i/>
          <w:sz w:val="24"/>
          <w:szCs w:val="24"/>
        </w:rPr>
        <w:t>istismar</w:t>
      </w:r>
      <w:r>
        <w:rPr>
          <w:rFonts w:ascii="Times New Roman" w:eastAsia="Times New Roman" w:hAnsi="Times New Roman" w:cs="Times New Roman"/>
          <w:sz w:val="24"/>
          <w:szCs w:val="24"/>
        </w:rPr>
        <w:t xml:space="preserve"> being made by the takaful operator as part of the fund was invested in Shariah compliance investment, making the value of the fund grow by lawful means and thus fulfilling the maqasid of hifz al-mal (Akhtarzaite, 2010).</w:t>
      </w:r>
    </w:p>
    <w:p w14:paraId="522356C4" w14:textId="77777777" w:rsidR="00406710" w:rsidRDefault="00133797">
      <w:pPr>
        <w:spacing w:before="24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In addition, justice and fairness in the distribution of returns of the investment's returns should also worth to be considered as a manner of protection under the takaful practices through a due circulation of wealth, which is done fairly and transparently in the fulfilment of social needs and conditions of lawful transactions under Shariah. The idea of this augmentation of wealth is also through the increment of the participants’ wealth by retaining the ownership of them without being utilised by the taka</w:t>
      </w:r>
      <w:r>
        <w:rPr>
          <w:rFonts w:ascii="Times New Roman" w:eastAsia="Times New Roman" w:hAnsi="Times New Roman" w:cs="Times New Roman"/>
          <w:sz w:val="24"/>
          <w:szCs w:val="24"/>
        </w:rPr>
        <w:t xml:space="preserve">ful operator, and that the earnings are to be shared between the takaful operator and the participants at a pre-pre-agreed ratio. Any irregular transaction, on the other hand, will duly be used for charity (Usama, Rashid &amp; Atiquzzafar, 2021). As such, it is crystal clear that the whole mechanism is to fulfil the principle of Islamic law and is in line with maqasid </w:t>
      </w:r>
      <w:r>
        <w:rPr>
          <w:rFonts w:ascii="Times New Roman" w:eastAsia="Times New Roman" w:hAnsi="Times New Roman" w:cs="Times New Roman"/>
          <w:i/>
          <w:sz w:val="24"/>
          <w:szCs w:val="24"/>
        </w:rPr>
        <w:t>hifz al-mal.</w:t>
      </w:r>
    </w:p>
    <w:p w14:paraId="30C47984" w14:textId="77777777" w:rsidR="00406710" w:rsidRDefault="00133797">
      <w:pPr>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FULFILMENT OF SUSTAINABLE DEVELOPMENT GOALS IN THE PRACTICE OF TAKAFUL</w:t>
      </w:r>
    </w:p>
    <w:p w14:paraId="7C768E66"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duly analysed the accomplishment of maqasid al-Shariah within the crux of takaful practice, the discussion will now be directed to the fulfilment of the SDGs in takaful practice. In general, the idea of the SDGs can be duly materialised in the practice of takaful, especially upon the expansion of takaful protection and services provided by the operator (Nurain et al, 2021). It is often seen as the solution to various problems relating to equitable access to different aspects concerning ideal and sust</w:t>
      </w:r>
      <w:r>
        <w:rPr>
          <w:rFonts w:ascii="Times New Roman" w:eastAsia="Times New Roman" w:hAnsi="Times New Roman" w:cs="Times New Roman"/>
          <w:sz w:val="24"/>
          <w:szCs w:val="24"/>
        </w:rPr>
        <w:t>ainable development that are needed for human existence, and are aligned with the welfare needs both economically and socially (Dadi et al, 2023).</w:t>
      </w:r>
    </w:p>
    <w:p w14:paraId="6B41C9E6" w14:textId="77777777" w:rsidR="00406710" w:rsidRDefault="00133797">
      <w:pPr>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POVERTY, ZERO HUNGER AND FINANCIAL INCLUSIVITY</w:t>
      </w:r>
    </w:p>
    <w:p w14:paraId="55EB7DA8"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main aspect of the SDGs that are fulfilled in the practice of takaful is known as financial inclusivity, often categorised as micro-takaful microtakaful  (Ahmed et al, 2015). As such, this section will duly seeshow the fulfilment of the SDGs within the parameter of takaful practice. It will focus on the most relevant goals under the SDGs that are directly fulfilled in the practice of takaful.</w:t>
      </w:r>
    </w:p>
    <w:p w14:paraId="46406EAC"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essential goals that can be said to have been fulfilled via the practice of takaful is the first goal, i.e., no poverty. This is duly achievable through the idea of financial inclusivity under takaful via micro-takaful. In other words, takaful is to be made affordable at various levels of society, especially the poor, so as to eradicate it from the poor, consequently providing equal protection for them in the event of loss. This service links the side of philanthropic and commercial sides at</w:t>
      </w:r>
      <w:r>
        <w:rPr>
          <w:rFonts w:ascii="Times New Roman" w:eastAsia="Times New Roman" w:hAnsi="Times New Roman" w:cs="Times New Roman"/>
          <w:sz w:val="24"/>
          <w:szCs w:val="24"/>
        </w:rPr>
        <w:t xml:space="preserve"> the same time (Evren et al, 2022). The financial inclusivity within the ambit of micro-takaful can lead to the attainment of the second goal, i.e., zero hunger.</w:t>
      </w:r>
    </w:p>
    <w:p w14:paraId="30E291C1" w14:textId="77777777" w:rsidR="00406710" w:rsidRDefault="00133797">
      <w:pPr>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GOOD HEALTH AND WELL BEING</w:t>
      </w:r>
    </w:p>
    <w:p w14:paraId="7EFE67B6"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add onIn addition, the goal of good health and well-being can also be achieved through the practice of takaful, as the practice essentially emphasises social welfare through fair access to healthcare. This can be found through the medical card introduced by various takaful providers, such as Great Eastern Takaful, AIA, Zurich Malaysia, and Takaful Ikhlas. This is in line with the third goal of the SDGs, as the whole purpose of the medical card is to provide medical protection by helping the participants </w:t>
      </w:r>
      <w:r>
        <w:rPr>
          <w:rFonts w:ascii="Times New Roman" w:eastAsia="Times New Roman" w:hAnsi="Times New Roman" w:cs="Times New Roman"/>
          <w:sz w:val="24"/>
          <w:szCs w:val="24"/>
        </w:rPr>
        <w:t>to cover the healthcare costs at hospitals, especially when involved in illnesses that require surgery and extensive treatment.</w:t>
      </w:r>
    </w:p>
    <w:p w14:paraId="00DD9FB7" w14:textId="77777777" w:rsidR="00406710" w:rsidRDefault="0013379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p w14:paraId="5144E6DA"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for the fourth goal of quality education, this is also duly fulfilled in takaful practice due to the education takaful offered by many takaful providers. For example, is the Madani Plan under Etiqa Takaful which provided coverage to ease the education cost burden. A good education plan will surely give rise to a better quality of education, fulfilling the fourth goal of the SDGs. Besides thatIn addition, the goal of gender equality is also duly fulfilled in line with Goal 5 of the SDG. This inclu</w:t>
      </w:r>
      <w:r>
        <w:rPr>
          <w:rFonts w:ascii="Times New Roman" w:eastAsia="Times New Roman" w:hAnsi="Times New Roman" w:cs="Times New Roman"/>
          <w:sz w:val="24"/>
          <w:szCs w:val="24"/>
        </w:rPr>
        <w:t xml:space="preserve">des the A-Life Lady-i, which was introduced by the AIA whichand provides its women’ </w:t>
      </w:r>
      <w:r>
        <w:rPr>
          <w:rFonts w:ascii="Times New Roman" w:eastAsia="Times New Roman" w:hAnsi="Times New Roman" w:cs="Times New Roman"/>
          <w:sz w:val="24"/>
          <w:szCs w:val="24"/>
        </w:rPr>
        <w:lastRenderedPageBreak/>
        <w:t>participants with protection in the event of death and permanent disability up until the age of 80 years old.</w:t>
      </w:r>
    </w:p>
    <w:p w14:paraId="5B591BF3" w14:textId="77777777" w:rsidR="00406710" w:rsidRDefault="0013379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 EQUALITY</w:t>
      </w:r>
    </w:p>
    <w:p w14:paraId="04922E05"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 protection was provided by PruBSN Anggun, with coverage for women of different ages not limited to just criteria illness but also covering mental illness. This depicts the coverage that does not seem to be male-centric, as it seems to often be. This will consequently fulfil the tenth goal, which is to reduce inequalities. BesidesIn addition, the provision of takaful products for women to grow their business is also another indicator of this goal’s fulfilment (Nurain et al, 2021).</w:t>
      </w:r>
    </w:p>
    <w:p w14:paraId="76FC2924" w14:textId="77777777" w:rsidR="00406710" w:rsidRDefault="00133797">
      <w:pPr>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CLEAN WATER, SANITATION, DECENT WORK AND ECONOMIC GROWTH</w:t>
      </w:r>
    </w:p>
    <w:p w14:paraId="42C3342D"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sixth goal of clean water and sanitation is also duly fulfilled in takaful, as reflected in the Etiqa Clean Water Project, which has provided an uninterrupted clean water supply since 2017 to thousands of villagers in Malaysia. Similar efforts have been undertaken by the Great Eastern Takaful alongside clean energy as well, which indirectly reflects the fulfilment of the seventh goal under the SDGs. As for theThe eight goals of decent work and economic growth, this can be reflected through </w:t>
      </w:r>
      <w:r>
        <w:rPr>
          <w:rFonts w:ascii="Times New Roman" w:eastAsia="Times New Roman" w:hAnsi="Times New Roman" w:cs="Times New Roman"/>
          <w:sz w:val="24"/>
          <w:szCs w:val="24"/>
        </w:rPr>
        <w:t>the offering of takaful for microfinance and small business owners (Nurain et al, 2021). Not limited to thatMoreover, from another point of view, the growth of the takaful industry can generate employment opportunities within the industry besides protection of the addition to protecting participants’ income from unforeseen possible future loss. (Kolachi, 2023).</w:t>
      </w:r>
    </w:p>
    <w:p w14:paraId="55B583FA" w14:textId="77777777" w:rsidR="00406710" w:rsidRDefault="00133797">
      <w:pPr>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CITIES, COMMUNITIES AND CLIMATE CHANGE</w:t>
      </w:r>
    </w:p>
    <w:p w14:paraId="2F9501A9"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forCompared with other SDGs, the eleventh goal of sustainable cities and communities, it is the goal that has had the most positive impact towards economic growth in comparison to other SDGs (Abdul-Wahab &amp; Hasanuddeen, 2022). This can be achieved through the sustainability project done by some takaful providers, such as Etiqa, that constantly provide various basic infrastructures to the communities. To add onIn addition, the fulfilment fulfilment of GoalGoals 13, 14, and 15 is also reflected in line with</w:t>
      </w:r>
      <w:r>
        <w:rPr>
          <w:rFonts w:ascii="Times New Roman" w:eastAsia="Times New Roman" w:hAnsi="Times New Roman" w:cs="Times New Roman"/>
          <w:sz w:val="24"/>
          <w:szCs w:val="24"/>
        </w:rPr>
        <w:t xml:space="preserve"> the urge urgency for climate change concerns in Malaysia, which can be attained through the 45% cut of reduction in carbon emission;emissions, in which 10% </w:t>
      </w:r>
      <w:r>
        <w:rPr>
          <w:rFonts w:ascii="Times New Roman" w:eastAsia="Times New Roman" w:hAnsi="Times New Roman" w:cs="Times New Roman"/>
          <w:sz w:val="24"/>
          <w:szCs w:val="24"/>
        </w:rPr>
        <w:lastRenderedPageBreak/>
        <w:t>from of the cut is targeted from climate finance as well as technology transfer (Amirul et al, 2017). This step is in line with the Malaysian Takaful Association’s aspiration toward sustainability agenda within the takaful industry .</w:t>
      </w:r>
    </w:p>
    <w:p w14:paraId="026D8332" w14:textId="77777777" w:rsidR="00406710" w:rsidRDefault="00133797">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 allOverall, the fulfilment of the majority of the goals as scrutinised earlier will eventually lead to the final goal 17 achieved in the practice of takaful, as every entity will duly work together as partners to effectuate the goals. Therefore, at this juncture, it is safe to deduce that the principles laid down under the 17 goals of the SDGs are duly fulfilled within the parameter of takaful practice. Nonetheless, its correlation with maqasid al-Shariah will further be examined in the subsequent pa</w:t>
      </w:r>
      <w:r>
        <w:rPr>
          <w:rFonts w:ascii="Times New Roman" w:eastAsia="Times New Roman" w:hAnsi="Times New Roman" w:cs="Times New Roman"/>
          <w:sz w:val="24"/>
          <w:szCs w:val="24"/>
        </w:rPr>
        <w:t>rt of the discussion.</w:t>
      </w:r>
    </w:p>
    <w:p w14:paraId="3E4EBDA0" w14:textId="77777777" w:rsidR="00406710" w:rsidRDefault="00133797">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CD8043" w14:textId="77777777" w:rsidR="00406710" w:rsidRDefault="00133797">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THE RELATIONSHIP BETWEEN MAQASID AL-SHARIAH AND SDGS IN THE TAKAFUL BUSINESS</w:t>
      </w:r>
    </w:p>
    <w:p w14:paraId="7FBE72B6"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43B15E"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it is now worth further analysis analysing the relationship between maqasidMaqasid al-Shariah and the SDGs, as well as their correlation in the practice of takaful.</w:t>
      </w:r>
    </w:p>
    <w:p w14:paraId="67F849B9"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MAQASID AL SHARIAH AND SDGs COMPLEMENTED EACH OTHER</w:t>
      </w:r>
    </w:p>
    <w:p w14:paraId="3B313199"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made in the previous discussions, it is found that the 17 goals of the17 SDGs are part of maqasid al-Shariah. In other words, every goal aimed at the UN under the SDGs is reflective of the whole principle of maqasid al-Shariah, which existed a thousand years ago and way much earlier than the just recently introduced goals under the SDGs.Nonetheless, it is worth to note that these two principles can complement one another, provided that the maqasid al-Shariah shall always, at all times,</w:t>
      </w:r>
      <w:r>
        <w:rPr>
          <w:rFonts w:ascii="Times New Roman" w:eastAsia="Times New Roman" w:hAnsi="Times New Roman" w:cs="Times New Roman"/>
          <w:sz w:val="24"/>
          <w:szCs w:val="24"/>
        </w:rPr>
        <w:t xml:space="preserve"> be superior to the goals under the SDGs should there be any conflict between the two practices. This is because maqasid al-Shariah found its basis originally from the principles of Shariah and Islamic laws as the basis, whilst the SDGs originated from the WesternWest, which might neglect Shariah concerns on certain matters. For example, certain goals such as gender equality under Goal 8 of the SDGs are claimed to not be in line with maqasid al-Shariah. This is because it is impossible to ensure the </w:t>
      </w:r>
      <w:r>
        <w:rPr>
          <w:rFonts w:ascii="Times New Roman" w:eastAsia="Times New Roman" w:hAnsi="Times New Roman" w:cs="Times New Roman"/>
          <w:sz w:val="24"/>
          <w:szCs w:val="24"/>
        </w:rPr>
        <w:lastRenderedPageBreak/>
        <w:t>complia</w:t>
      </w:r>
      <w:r>
        <w:rPr>
          <w:rFonts w:ascii="Times New Roman" w:eastAsia="Times New Roman" w:hAnsi="Times New Roman" w:cs="Times New Roman"/>
          <w:sz w:val="24"/>
          <w:szCs w:val="24"/>
        </w:rPr>
        <w:t>nce of the goal with the Shariah goal if it were to be applied in every case that has already specified designated Islamic laws that differentiate between men and women. Therefore, in such instances, Shariah laws and the principles of maqasid al-Shariah shall prevail, abandoning the Westernised idea of the equality sought by the goal.</w:t>
      </w:r>
    </w:p>
    <w:p w14:paraId="694889EE"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MAQASID AL SHARIAH AND SDGs DELIVERS FAIRNESS, CREATES VALUE, AND BOOSTS SOCIAL ACCOUNTABILITY</w:t>
      </w:r>
    </w:p>
    <w:p w14:paraId="1EE05704"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Nonetheless, as long as the goal does not go against the boundary of Shariah, then it can be safely deduced to be in line with maqasid al-Shariah, provided that its maslahah is equally achieved under maqasid. This is reflected fromin the introduction of Value -Based Intermediation (VBI) for Takaful, as this effort made by BNM is in line with the principle of maqasid al-Shariah, as it delivers fairness, creates values as well as value and boosts the social accountability; yet however, at the same time, it a</w:t>
      </w:r>
      <w:r>
        <w:rPr>
          <w:rFonts w:ascii="Times New Roman" w:eastAsia="Times New Roman" w:hAnsi="Times New Roman" w:cs="Times New Roman"/>
          <w:sz w:val="24"/>
          <w:szCs w:val="24"/>
        </w:rPr>
        <w:t>lso meets the goal to be  fulfilled under the SDGs (Normarianie et al, 2022). This is true because it manages to reflect the principles of financial inclusivity and climate change.</w:t>
      </w:r>
    </w:p>
    <w:p w14:paraId="1F76E8FB"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brief, the scrutiny towards of the 17 goals under the SDGs led to the conclusion that they were all reflective of maqasid al-Shariah. Every goal ensures peace, justice, and due the protection of laws.the</w:t>
      </w:r>
    </w:p>
    <w:p w14:paraId="2FD4A553" w14:textId="77777777" w:rsidR="00406710" w:rsidRDefault="00133797">
      <w:pPr>
        <w:spacing w:before="24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MAQASID AL SHARIAH AND SDGs PROMOTES WELL BEING</w:t>
      </w:r>
    </w:p>
    <w:p w14:paraId="0BD72737"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for the first, second, and third goals under the SDGs about no poverty, zero hunger as well as, good health, and well good well-being are all reflecting the maqasid of </w:t>
      </w:r>
      <w:r>
        <w:rPr>
          <w:rFonts w:ascii="Times New Roman" w:eastAsia="Times New Roman" w:hAnsi="Times New Roman" w:cs="Times New Roman"/>
          <w:i/>
          <w:sz w:val="24"/>
          <w:szCs w:val="24"/>
        </w:rPr>
        <w:t>hifz an-nafs</w:t>
      </w:r>
      <w:r>
        <w:rPr>
          <w:rFonts w:ascii="Times New Roman" w:eastAsia="Times New Roman" w:hAnsi="Times New Roman" w:cs="Times New Roman"/>
          <w:sz w:val="24"/>
          <w:szCs w:val="24"/>
        </w:rPr>
        <w:t>. This is because ensuring that every human lives without having to suffer from poverty or hunger and good health are all indicative of their life being duly protected, conforming with the objectives of the Shariah (Saba, Khan &amp; Jawed, 2021). Having adequate wealth with proper food to eat daily will lead to a healthy life and well-being. This will protect the life of every human being should the goals be materialised as practised by the takaful providers via the offering of takaful products conc</w:t>
      </w:r>
      <w:r>
        <w:rPr>
          <w:rFonts w:ascii="Times New Roman" w:eastAsia="Times New Roman" w:hAnsi="Times New Roman" w:cs="Times New Roman"/>
          <w:sz w:val="24"/>
          <w:szCs w:val="24"/>
        </w:rPr>
        <w:t>erning financial inclusivity, specifically under the micro takaful.</w:t>
      </w:r>
    </w:p>
    <w:p w14:paraId="58081616"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other goals that can be said to be in line with </w:t>
      </w:r>
      <w:r>
        <w:rPr>
          <w:rFonts w:ascii="Times New Roman" w:eastAsia="Times New Roman" w:hAnsi="Times New Roman" w:cs="Times New Roman"/>
          <w:i/>
          <w:sz w:val="24"/>
          <w:szCs w:val="24"/>
        </w:rPr>
        <w:t>maqasid hifz an-nafs</w:t>
      </w:r>
      <w:r>
        <w:rPr>
          <w:rFonts w:ascii="Times New Roman" w:eastAsia="Times New Roman" w:hAnsi="Times New Roman" w:cs="Times New Roman"/>
          <w:sz w:val="24"/>
          <w:szCs w:val="24"/>
        </w:rPr>
        <w:t xml:space="preserve"> are the sixth goal regarding clean water and sanitation,; the seventh goal on </w:t>
      </w:r>
      <w:r>
        <w:rPr>
          <w:rFonts w:ascii="Times New Roman" w:eastAsia="Times New Roman" w:hAnsi="Times New Roman" w:cs="Times New Roman"/>
          <w:sz w:val="24"/>
          <w:szCs w:val="24"/>
        </w:rPr>
        <w:lastRenderedPageBreak/>
        <w:t>affordable and clean energy,; the ninth goal regarding industry, innovation, and infrastructure,; the eleventh goal on sustainable cities and communities,; the thirteenth, fourteenth and fifteenth goals relating to climate change action; as well as and the final goal concerning partnership for the goals. These goals are reflective of the Shariah’s objective to protect one’s life from disruption, consequently l</w:t>
      </w:r>
      <w:r>
        <w:rPr>
          <w:rFonts w:ascii="Times New Roman" w:eastAsia="Times New Roman" w:hAnsi="Times New Roman" w:cs="Times New Roman"/>
          <w:sz w:val="24"/>
          <w:szCs w:val="24"/>
        </w:rPr>
        <w:t>eading to a proper and balanced life from various angles, including development, ecosystem and  sources of essential needs for living things. It can be deduced that the current takaful industry is making an effort to fulfil these goals insofar as the coverage and protection is concerned are considered.</w:t>
      </w:r>
    </w:p>
    <w:p w14:paraId="4944312B"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MAQASID AL SHARIAH AND SDGs PROVIDES QUALITY EDUCATION  </w:t>
      </w:r>
    </w:p>
    <w:p w14:paraId="581F1D08"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w:t>
      </w:r>
      <w:r>
        <w:rPr>
          <w:rFonts w:ascii="Times New Roman" w:eastAsia="Times New Roman" w:hAnsi="Times New Roman" w:cs="Times New Roman"/>
          <w:i/>
          <w:sz w:val="24"/>
          <w:szCs w:val="24"/>
        </w:rPr>
        <w:t>maqasid of hifz al-aql</w:t>
      </w:r>
      <w:r>
        <w:rPr>
          <w:rFonts w:ascii="Times New Roman" w:eastAsia="Times New Roman" w:hAnsi="Times New Roman" w:cs="Times New Roman"/>
          <w:sz w:val="24"/>
          <w:szCs w:val="24"/>
        </w:rPr>
        <w:t xml:space="preserve"> can be seen from the Goal, which aims to provide quality education. This is because a quality education can guarantee a developing mind and one’s ability to comprehend and resonate knowledge, which will all definitely lead to the protection of intellect and thus fulfilling the </w:t>
      </w:r>
      <w:r>
        <w:rPr>
          <w:rFonts w:ascii="Times New Roman" w:eastAsia="Times New Roman" w:hAnsi="Times New Roman" w:cs="Times New Roman"/>
          <w:i/>
          <w:sz w:val="24"/>
          <w:szCs w:val="24"/>
        </w:rPr>
        <w:t>maqasid al-Shariah.</w:t>
      </w:r>
      <w:r>
        <w:rPr>
          <w:rFonts w:ascii="Times New Roman" w:eastAsia="Times New Roman" w:hAnsi="Times New Roman" w:cs="Times New Roman"/>
          <w:sz w:val="24"/>
          <w:szCs w:val="24"/>
        </w:rPr>
        <w:t xml:space="preserve"> This is evidence-based on the education plan offered by the takaful providers, as discussed earlier. Furthermore, the maqasid of </w:t>
      </w:r>
      <w:r>
        <w:rPr>
          <w:rFonts w:ascii="Times New Roman" w:eastAsia="Times New Roman" w:hAnsi="Times New Roman" w:cs="Times New Roman"/>
          <w:i/>
          <w:sz w:val="24"/>
          <w:szCs w:val="24"/>
        </w:rPr>
        <w:t>hifz an-nasl</w:t>
      </w:r>
      <w:r>
        <w:rPr>
          <w:rFonts w:ascii="Times New Roman" w:eastAsia="Times New Roman" w:hAnsi="Times New Roman" w:cs="Times New Roman"/>
          <w:sz w:val="24"/>
          <w:szCs w:val="24"/>
        </w:rPr>
        <w:t xml:space="preserve"> can be seen from the fifth goal about gender equa</w:t>
      </w:r>
      <w:r>
        <w:rPr>
          <w:rFonts w:ascii="Times New Roman" w:eastAsia="Times New Roman" w:hAnsi="Times New Roman" w:cs="Times New Roman"/>
          <w:sz w:val="24"/>
          <w:szCs w:val="24"/>
        </w:rPr>
        <w:t>lity, as this goal will truly depict the ability of takaful providers to protect and provide coverage for women of different ages, as duly elaborated previously. This will eventually fulfil the requirement for lineage and dignity to be protected, especially when it involves coverage concerning marriage, pregnancy and childbirth (Saba et.al ,  2021).</w:t>
      </w:r>
    </w:p>
    <w:p w14:paraId="3CA990A7"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MAQASID AL SHARIAH AND SDGs PROMOTES RESPONSIBLE ECONOMY</w:t>
      </w:r>
    </w:p>
    <w:p w14:paraId="501F1ADA"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InThe fifth maqasid al-Shariah is regarding the protection of wealth, this objective is reflected in several goals of the SDGs, specifically the seventh goal on affordable and clean energy, the eighth goal on decent work and economic growth, as well as and the twelfth goal on responsible consumption and production. All these goals depict the aim of the Shariah to protect the wealth through its accumulation, acquisition, as well as any transaction involved around it and transactions. These goals and maqasid </w:t>
      </w:r>
      <w:r>
        <w:rPr>
          <w:rFonts w:ascii="Times New Roman" w:eastAsia="Times New Roman" w:hAnsi="Times New Roman" w:cs="Times New Roman"/>
          <w:sz w:val="24"/>
          <w:szCs w:val="24"/>
        </w:rPr>
        <w:t>are definitely the ones that were reflected within the ambit of wealth and risk management insofar as the takaful practice s are concerned.</w:t>
      </w:r>
    </w:p>
    <w:p w14:paraId="54560246"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Therefore, it can be scrutinised that both maqasid al-Shariah and the SDGs are in line with one another, yet they cannot be said to be at the same level of superiority, as the principles of maqasid shall always prevail in the event of conflict. It is also inaccurate to deduce that both principles complement one another, because the principles under </w:t>
      </w:r>
      <w:r>
        <w:rPr>
          <w:rFonts w:ascii="Times New Roman" w:eastAsia="Times New Roman" w:hAnsi="Times New Roman" w:cs="Times New Roman"/>
          <w:i/>
          <w:sz w:val="24"/>
          <w:szCs w:val="24"/>
        </w:rPr>
        <w:t>maqasid al-Sharia</w:t>
      </w:r>
      <w:r>
        <w:rPr>
          <w:rFonts w:ascii="Times New Roman" w:eastAsia="Times New Roman" w:hAnsi="Times New Roman" w:cs="Times New Roman"/>
          <w:sz w:val="24"/>
          <w:szCs w:val="24"/>
        </w:rPr>
        <w:t xml:space="preserve">h are very wide and truly extensive as well as and holistic in comparison to the 17 goals under the SDGs. BesidesIn addition to the fact that </w:t>
      </w:r>
      <w:r>
        <w:rPr>
          <w:rFonts w:ascii="Times New Roman" w:eastAsia="Times New Roman" w:hAnsi="Times New Roman" w:cs="Times New Roman"/>
          <w:i/>
          <w:sz w:val="24"/>
          <w:szCs w:val="24"/>
        </w:rPr>
        <w:t>maqasid al-Shariah</w:t>
      </w:r>
      <w:r>
        <w:rPr>
          <w:rFonts w:ascii="Times New Roman" w:eastAsia="Times New Roman" w:hAnsi="Times New Roman" w:cs="Times New Roman"/>
          <w:sz w:val="24"/>
          <w:szCs w:val="24"/>
        </w:rPr>
        <w:t xml:space="preserve"> found its origin thousands of years ago, the foundation and source of these two concepts are very much different, giving rise to the need for some differentiation to still be made when needed.</w:t>
      </w:r>
    </w:p>
    <w:p w14:paraId="02A2128C" w14:textId="77777777" w:rsidR="00406710" w:rsidRDefault="0013379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 &amp; RECOMMENDATION</w:t>
      </w:r>
    </w:p>
    <w:p w14:paraId="1EAE338B" w14:textId="77777777" w:rsidR="00406710" w:rsidRDefault="0013379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it can be deduced now that both the objectives of Shariah and the SDGs goals can in fact coexist and be worked on together side by side to be materialised. On the issue of clash or conflict, it is worth reiterating that the principles under maqasid al-Shariah shallwill always prevail due to various reasons, as deliberated earlier. Despite the vitality of ensuring that the current practice is towards achieving the goals aimed by the UN, it shall be able to duly be in line with the whole purpose o</w:t>
      </w:r>
      <w:r>
        <w:rPr>
          <w:rFonts w:ascii="Times New Roman" w:eastAsia="Times New Roman" w:hAnsi="Times New Roman" w:cs="Times New Roman"/>
          <w:sz w:val="24"/>
          <w:szCs w:val="24"/>
        </w:rPr>
        <w:t>f the Shariah. This depicts the importance of maqasid al-Shariah as a crucial tool to be strongly confirmed by every takaful provider so as to ensure that every service provided to effect the 17 goals under the SDGs is in line with the objectives of Shariah at all times.</w:t>
      </w:r>
    </w:p>
    <w:p w14:paraId="1BFC1532" w14:textId="77777777" w:rsidR="00406710" w:rsidRDefault="0013379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it is also worth to be noted that every government and legislative entity that is involved in drafting laws or guidelines concerning the practice and services provided by the takaful operators ensures that every takaful product offered by the takaful operator is in due compliance with Shariah. This calls for a vital role of the Shariah Advisory Council under the BNM as well as the Shariah Committee for every takaful provider to put strict regulations for every product that is to be introduced i</w:t>
      </w:r>
      <w:r>
        <w:rPr>
          <w:rFonts w:ascii="Times New Roman" w:eastAsia="Times New Roman" w:hAnsi="Times New Roman" w:cs="Times New Roman"/>
          <w:sz w:val="24"/>
          <w:szCs w:val="24"/>
        </w:rPr>
        <w:t xml:space="preserve">n the name of fulfilling the 17 goals of the SDGs. While it is crucial to materialise the goals, it should be firmly reiterated that the products for the benefit of the ummah shall at all times conform to the Shariah at all times. </w:t>
      </w:r>
    </w:p>
    <w:p w14:paraId="30C5E466" w14:textId="77777777" w:rsidR="00406710" w:rsidRDefault="00133797">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2D7F09A"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AAOIFI.( 2007). General Presentation and Disclosure in the Financial Statements of Islamic Insurance Companies. </w:t>
      </w:r>
      <w:r>
        <w:rPr>
          <w:rFonts w:ascii="Times New Roman" w:eastAsia="Times New Roman" w:hAnsi="Times New Roman" w:cs="Times New Roman"/>
          <w:i/>
          <w:sz w:val="24"/>
          <w:szCs w:val="24"/>
        </w:rPr>
        <w:t>Financial Accounting Standard No 12</w:t>
      </w:r>
      <w:r>
        <w:rPr>
          <w:rFonts w:ascii="Times New Roman" w:eastAsia="Times New Roman" w:hAnsi="Times New Roman" w:cs="Times New Roman"/>
          <w:sz w:val="24"/>
          <w:szCs w:val="24"/>
        </w:rPr>
        <w:t>. Bahrain: Al-Manamah.</w:t>
      </w:r>
    </w:p>
    <w:p w14:paraId="21360BBB"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Abdul-Wahab Abdul-Hamid &amp; Hassanuddeen B. Abd. Aziz. (2022). SDGs, Islamic Banks and Economic Growth Nexus: A Case Study of Malaysia. </w:t>
      </w:r>
      <w:r>
        <w:rPr>
          <w:rFonts w:ascii="Times New Roman" w:eastAsia="Times New Roman" w:hAnsi="Times New Roman" w:cs="Times New Roman"/>
          <w:i/>
          <w:sz w:val="24"/>
          <w:szCs w:val="24"/>
        </w:rPr>
        <w:t>Why It Matters</w:t>
      </w:r>
      <w:r>
        <w:rPr>
          <w:rFonts w:ascii="Times New Roman" w:eastAsia="Times New Roman" w:hAnsi="Times New Roman" w:cs="Times New Roman"/>
          <w:sz w:val="24"/>
          <w:szCs w:val="24"/>
        </w:rPr>
        <w:t>: 1-17.</w:t>
      </w:r>
    </w:p>
    <w:p w14:paraId="316CB8DC"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Abu Umar Faruq Ahmad &amp; Rashedul Hasan. (2020). A Critical Review of Takaful Companies’ Contributions to Economic Developments in Fulfilllment of Maqasid al-Sharı̄ʿah: Evidence from Malaysia. In Abdelrahman Elzahi Saaid Ali, Khalifa Mohamed Ali &amp; Muhammad Khaleequzzaman (ed.). </w:t>
      </w:r>
      <w:r>
        <w:rPr>
          <w:rFonts w:ascii="Times New Roman" w:eastAsia="Times New Roman" w:hAnsi="Times New Roman" w:cs="Times New Roman"/>
          <w:i/>
          <w:sz w:val="24"/>
          <w:szCs w:val="24"/>
        </w:rPr>
        <w:t>Enhancing Financial Inclusion through Islamic Finance, Volume I</w:t>
      </w:r>
      <w:r>
        <w:rPr>
          <w:rFonts w:ascii="Times New Roman" w:eastAsia="Times New Roman" w:hAnsi="Times New Roman" w:cs="Times New Roman"/>
          <w:sz w:val="24"/>
          <w:szCs w:val="24"/>
        </w:rPr>
        <w:t>, pp. 91-106. Switzerland: Palgrave Studies in Islamic Banking, Finance, and Economics.</w:t>
      </w:r>
    </w:p>
    <w:p w14:paraId="32FCA50B"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Faizal Abdul Aziz &amp; Shaifulfazlee Mohamad. (2013). Fulfilllment of Maqasid al-Shariah via Takaful. </w:t>
      </w:r>
      <w:r>
        <w:rPr>
          <w:rFonts w:ascii="Times New Roman" w:eastAsia="Times New Roman" w:hAnsi="Times New Roman" w:cs="Times New Roman"/>
          <w:i/>
          <w:sz w:val="24"/>
          <w:szCs w:val="24"/>
        </w:rPr>
        <w:t>Munich Personal RePEc Archive</w:t>
      </w:r>
      <w:r>
        <w:rPr>
          <w:rFonts w:ascii="Times New Roman" w:eastAsia="Times New Roman" w:hAnsi="Times New Roman" w:cs="Times New Roman"/>
          <w:sz w:val="24"/>
          <w:szCs w:val="24"/>
        </w:rPr>
        <w:t>: 1-25.</w:t>
      </w:r>
    </w:p>
    <w:p w14:paraId="215457A9"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Zoolhelmi Aliasa, Maliah Sulaiman, Noraini Mohd Ariffin &amp; Intan Suryani Abu Bakar. (2023). Malaysian Takaful Reporting From a Maqasid Shariah Perspective. </w:t>
      </w:r>
      <w:r>
        <w:rPr>
          <w:rFonts w:ascii="Times New Roman" w:eastAsia="Times New Roman" w:hAnsi="Times New Roman" w:cs="Times New Roman"/>
          <w:i/>
          <w:sz w:val="24"/>
          <w:szCs w:val="24"/>
        </w:rPr>
        <w:t>Journal of Islamic Philanthropy &amp; Social Finance</w:t>
      </w:r>
      <w:r>
        <w:rPr>
          <w:rFonts w:ascii="Times New Roman" w:eastAsia="Times New Roman" w:hAnsi="Times New Roman" w:cs="Times New Roman"/>
          <w:sz w:val="24"/>
          <w:szCs w:val="24"/>
        </w:rPr>
        <w:t xml:space="preserve"> 5(1): 1-9.</w:t>
      </w:r>
    </w:p>
    <w:p w14:paraId="3BB3BEDE"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Akhtarzaite binti Abdulaziz. (2010). Al-Dhara’i and Maqasid al-Shariah: A case study of Islamic Insurance. </w:t>
      </w:r>
      <w:r>
        <w:rPr>
          <w:rFonts w:ascii="Times New Roman" w:eastAsia="Times New Roman" w:hAnsi="Times New Roman" w:cs="Times New Roman"/>
          <w:i/>
          <w:sz w:val="24"/>
          <w:szCs w:val="24"/>
        </w:rPr>
        <w:t>Intellectual Discourse</w:t>
      </w:r>
      <w:r>
        <w:rPr>
          <w:rFonts w:ascii="Times New Roman" w:eastAsia="Times New Roman" w:hAnsi="Times New Roman" w:cs="Times New Roman"/>
          <w:sz w:val="24"/>
          <w:szCs w:val="24"/>
        </w:rPr>
        <w:t xml:space="preserve"> 18(2): 261-281.</w:t>
      </w:r>
    </w:p>
    <w:p w14:paraId="79AE27A2"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Amirul Afif Muhamat, Mohamad Nizam Jaafar , Mohd Faizal Basri, Sharifah Faigah Syed Alwi &amp; Siti Aminah Mainal. (2017). Green Takaful as A Climate Finance Tool. </w:t>
      </w:r>
      <w:r>
        <w:rPr>
          <w:rFonts w:ascii="Times New Roman" w:eastAsia="Times New Roman" w:hAnsi="Times New Roman" w:cs="Times New Roman"/>
          <w:i/>
          <w:sz w:val="24"/>
          <w:szCs w:val="24"/>
        </w:rPr>
        <w:t>Advanced Science Letters</w:t>
      </w:r>
      <w:r>
        <w:rPr>
          <w:rFonts w:ascii="Times New Roman" w:eastAsia="Times New Roman" w:hAnsi="Times New Roman" w:cs="Times New Roman"/>
          <w:sz w:val="24"/>
          <w:szCs w:val="24"/>
        </w:rPr>
        <w:t xml:space="preserve"> 23(8): 7670-7674.</w:t>
      </w:r>
    </w:p>
    <w:p w14:paraId="29335BA7"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BNM. (2015). General Takaful: A Conceptual Framework. </w:t>
      </w:r>
      <w:r>
        <w:rPr>
          <w:rFonts w:ascii="Times New Roman" w:eastAsia="Times New Roman" w:hAnsi="Times New Roman" w:cs="Times New Roman"/>
          <w:i/>
          <w:sz w:val="24"/>
          <w:szCs w:val="24"/>
        </w:rPr>
        <w:t>Pull-out Article</w:t>
      </w:r>
      <w:r>
        <w:rPr>
          <w:rFonts w:ascii="Times New Roman" w:eastAsia="Times New Roman" w:hAnsi="Times New Roman" w:cs="Times New Roman"/>
          <w:sz w:val="24"/>
          <w:szCs w:val="24"/>
        </w:rPr>
        <w:t>.</w:t>
      </w:r>
    </w:p>
    <w:p w14:paraId="324FDB6D"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Burhanudin Harahap, Tastaftiyan Risfandy &amp; Inas Nurfadia Futri. (2023). Islamic Law, Islamic Finance, and Sustainable Development Goals: A Systematic Literature Review. </w:t>
      </w:r>
      <w:r>
        <w:rPr>
          <w:rFonts w:ascii="Times New Roman" w:eastAsia="Times New Roman" w:hAnsi="Times New Roman" w:cs="Times New Roman"/>
          <w:i/>
          <w:sz w:val="24"/>
          <w:szCs w:val="24"/>
        </w:rPr>
        <w:t xml:space="preserve">Sustainability </w:t>
      </w:r>
      <w:r>
        <w:rPr>
          <w:rFonts w:ascii="Times New Roman" w:eastAsia="Times New Roman" w:hAnsi="Times New Roman" w:cs="Times New Roman"/>
          <w:sz w:val="24"/>
          <w:szCs w:val="24"/>
        </w:rPr>
        <w:t>15(6626): 1-21.</w:t>
      </w:r>
    </w:p>
    <w:p w14:paraId="3CA1C28F"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Dadi Adriana, Hartoyo, Rizal Sjarief &amp; Elisa Anggraeni. (2023). Islamic Insurance and Sustainable Development Goals in Developing Countries: A Systematic Literature Review. </w:t>
      </w:r>
      <w:r>
        <w:rPr>
          <w:rFonts w:ascii="Times New Roman" w:eastAsia="Times New Roman" w:hAnsi="Times New Roman" w:cs="Times New Roman"/>
          <w:i/>
          <w:sz w:val="24"/>
          <w:szCs w:val="24"/>
        </w:rPr>
        <w:t>The International Journal of Social Sciences World</w:t>
      </w:r>
      <w:r>
        <w:rPr>
          <w:rFonts w:ascii="Times New Roman" w:eastAsia="Times New Roman" w:hAnsi="Times New Roman" w:cs="Times New Roman"/>
          <w:sz w:val="24"/>
          <w:szCs w:val="24"/>
        </w:rPr>
        <w:t xml:space="preserve"> 5(2): 206-215.</w:t>
      </w:r>
    </w:p>
    <w:p w14:paraId="24B1B940"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Evren Tok, Abdurahman J. Yesuf &amp; Abdulfatah Mohamed. (2022). Sustainable Development Goals and Islamic Social Finance: From Policy Divide to Policy Coherence and Convergence”. </w:t>
      </w:r>
      <w:r>
        <w:rPr>
          <w:rFonts w:ascii="Times New Roman" w:eastAsia="Times New Roman" w:hAnsi="Times New Roman" w:cs="Times New Roman"/>
          <w:i/>
          <w:sz w:val="24"/>
          <w:szCs w:val="24"/>
        </w:rPr>
        <w:t xml:space="preserve">Sustainability </w:t>
      </w:r>
      <w:r>
        <w:rPr>
          <w:rFonts w:ascii="Times New Roman" w:eastAsia="Times New Roman" w:hAnsi="Times New Roman" w:cs="Times New Roman"/>
          <w:sz w:val="24"/>
          <w:szCs w:val="24"/>
        </w:rPr>
        <w:t>14(6875): 1-23.</w:t>
      </w:r>
    </w:p>
    <w:p w14:paraId="511C82CC"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Islamic Financial Services Act 2013 (Act 759)</w:t>
      </w:r>
    </w:p>
    <w:p w14:paraId="4DD2AEF0"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Khairil Faizal Khairi, Nur Hidayah Laili &amp; Aimi Fadzirul Kamarubahrin. (2021). Takaful Scheme for Mental Health Disorders: A Systematic Literature Review. </w:t>
      </w:r>
      <w:r>
        <w:rPr>
          <w:rFonts w:ascii="Times New Roman" w:eastAsia="Times New Roman" w:hAnsi="Times New Roman" w:cs="Times New Roman"/>
          <w:i/>
          <w:sz w:val="24"/>
          <w:szCs w:val="24"/>
        </w:rPr>
        <w:t>Al-Uqud: Journal of Islamic Economics</w:t>
      </w:r>
      <w:r>
        <w:rPr>
          <w:rFonts w:ascii="Times New Roman" w:eastAsia="Times New Roman" w:hAnsi="Times New Roman" w:cs="Times New Roman"/>
          <w:sz w:val="24"/>
          <w:szCs w:val="24"/>
        </w:rPr>
        <w:t xml:space="preserve"> 5(1): 29-42.</w:t>
      </w:r>
    </w:p>
    <w:p w14:paraId="268E1D6F"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Maryam Dikko &amp; Abdullah Bn Hj AbdulGhani. (2015). Maqasid Al Sharia and Takaful Operations: Issues and Challenges in an Emerging Industry. </w:t>
      </w:r>
      <w:r>
        <w:rPr>
          <w:rFonts w:ascii="Times New Roman" w:eastAsia="Times New Roman" w:hAnsi="Times New Roman" w:cs="Times New Roman"/>
          <w:i/>
          <w:sz w:val="24"/>
          <w:szCs w:val="24"/>
        </w:rPr>
        <w:t>Journal of Law, Policy and Globalization</w:t>
      </w:r>
      <w:r>
        <w:rPr>
          <w:rFonts w:ascii="Times New Roman" w:eastAsia="Times New Roman" w:hAnsi="Times New Roman" w:cs="Times New Roman"/>
          <w:sz w:val="24"/>
          <w:szCs w:val="24"/>
        </w:rPr>
        <w:t xml:space="preserve"> 45: 30-33.</w:t>
      </w:r>
    </w:p>
    <w:p w14:paraId="350BE28C"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Nathan, L. (2020). Etiqa launches takaful plan with mental illness coverage. </w:t>
      </w:r>
      <w:r>
        <w:rPr>
          <w:rFonts w:ascii="Times New Roman" w:eastAsia="Times New Roman" w:hAnsi="Times New Roman" w:cs="Times New Roman"/>
          <w:i/>
          <w:sz w:val="24"/>
          <w:szCs w:val="24"/>
        </w:rPr>
        <w:t>The Malaysia Reserve</w:t>
      </w:r>
      <w:r>
        <w:rPr>
          <w:rFonts w:ascii="Times New Roman" w:eastAsia="Times New Roman" w:hAnsi="Times New Roman" w:cs="Times New Roman"/>
          <w:sz w:val="24"/>
          <w:szCs w:val="24"/>
        </w:rPr>
        <w:t>, 13 January 2020.</w:t>
      </w:r>
    </w:p>
    <w:p w14:paraId="23FEE9AE"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 Hanani Ahmad, Asmak Ab Rahman, &amp; Nuurshiraathal Firdaws Abd Rani.( 2017). Maqāṣid al-Sharī‘ah in Offering Takaful Product for Women: A Study Selected At Chosen Takaful Operator. </w:t>
      </w:r>
      <w:r>
        <w:rPr>
          <w:rFonts w:ascii="Times New Roman" w:eastAsia="Times New Roman" w:hAnsi="Times New Roman" w:cs="Times New Roman"/>
          <w:i/>
          <w:sz w:val="24"/>
          <w:szCs w:val="24"/>
        </w:rPr>
        <w:t xml:space="preserve">Shariah Journal </w:t>
      </w:r>
      <w:r>
        <w:rPr>
          <w:rFonts w:ascii="Times New Roman" w:eastAsia="Times New Roman" w:hAnsi="Times New Roman" w:cs="Times New Roman"/>
          <w:sz w:val="24"/>
          <w:szCs w:val="24"/>
        </w:rPr>
        <w:t>25(1): 23-50.</w:t>
      </w:r>
    </w:p>
    <w:p w14:paraId="0557835E"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Normarianie Razali, Rusni Hassan &amp; Nor Razinah Mohd Zain. (2022). Exploring the Regulatory Framework of Sustainable Finance in Malaysia: Driving Force for ESG Institutional Investors. </w:t>
      </w:r>
      <w:r>
        <w:rPr>
          <w:rFonts w:ascii="Times New Roman" w:eastAsia="Times New Roman" w:hAnsi="Times New Roman" w:cs="Times New Roman"/>
          <w:i/>
          <w:sz w:val="24"/>
          <w:szCs w:val="24"/>
        </w:rPr>
        <w:t>IIUM Law Journal</w:t>
      </w:r>
      <w:r>
        <w:rPr>
          <w:rFonts w:ascii="Times New Roman" w:eastAsia="Times New Roman" w:hAnsi="Times New Roman" w:cs="Times New Roman"/>
          <w:sz w:val="24"/>
          <w:szCs w:val="24"/>
        </w:rPr>
        <w:t xml:space="preserve"> 30(S2): 279-316.</w:t>
      </w:r>
    </w:p>
    <w:p w14:paraId="095767BF"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Rahayati Ahmad, Md. Nasir Ali, Roshima Said, Marina Abu Bakar, Farah Nadirah Abdul Manan &amp; Siti Hafsha Albasri. (2022). Introduction to Waqf –Takaful Compensation Model: Adopting the Maqasid Shariah Concept for Socio-Economic Development in Malaysia. </w:t>
      </w:r>
      <w:r>
        <w:rPr>
          <w:rFonts w:ascii="Times New Roman" w:eastAsia="Times New Roman" w:hAnsi="Times New Roman" w:cs="Times New Roman"/>
          <w:i/>
          <w:sz w:val="24"/>
          <w:szCs w:val="24"/>
        </w:rPr>
        <w:t>International Journal of Academic Research in Business and Social Sciences</w:t>
      </w:r>
      <w:r>
        <w:rPr>
          <w:rFonts w:ascii="Times New Roman" w:eastAsia="Times New Roman" w:hAnsi="Times New Roman" w:cs="Times New Roman"/>
          <w:sz w:val="24"/>
          <w:szCs w:val="24"/>
        </w:rPr>
        <w:t xml:space="preserve"> 12(8): 1108- 1122.</w:t>
      </w:r>
    </w:p>
    <w:p w14:paraId="7933BF82"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Romzie Rosman, Nur Harena Redzuan, Nor Zainiyah Norita Mokhtar, Engku Rabiah Adawiah Engku Ali &amp; Mustafa Omar Mohammed. (2022). Islamic Social Finance and Sustainable Development Goals: Issues and Challenges. Journal of Islamic Finance 11(2): 56-67.</w:t>
      </w:r>
    </w:p>
    <w:p w14:paraId="5146D61C"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Saba, I, Khan, A. &amp; Jawed, H.( 2021). Islamic Finance and SDGs: Connecting Dots. In Hassan, M. K., Saraç, M. &amp; Khan, A. (ed.). </w:t>
      </w:r>
      <w:r>
        <w:rPr>
          <w:rFonts w:ascii="Times New Roman" w:eastAsia="Times New Roman" w:hAnsi="Times New Roman" w:cs="Times New Roman"/>
          <w:i/>
          <w:sz w:val="24"/>
          <w:szCs w:val="24"/>
        </w:rPr>
        <w:t>Islamic Finance and Sustainable Development: A Sustainable Economic Framework for Muslim and Non-Muslim Countries</w:t>
      </w:r>
      <w:r>
        <w:rPr>
          <w:rFonts w:ascii="Times New Roman" w:eastAsia="Times New Roman" w:hAnsi="Times New Roman" w:cs="Times New Roman"/>
          <w:sz w:val="24"/>
          <w:szCs w:val="24"/>
        </w:rPr>
        <w:t>, pp. 55-76. Switzerland: Palgrave Macmillan.</w:t>
      </w:r>
    </w:p>
    <w:p w14:paraId="2590E1FD"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Sharifah Fairuz Syed Mohamad. (2020). Full Fledged vs Shared/ / Outsourced Takaful Operators: A Maqasid Index Approach. </w:t>
      </w:r>
      <w:r>
        <w:rPr>
          <w:rFonts w:ascii="Times New Roman" w:eastAsia="Times New Roman" w:hAnsi="Times New Roman" w:cs="Times New Roman"/>
          <w:i/>
          <w:sz w:val="24"/>
          <w:szCs w:val="24"/>
        </w:rPr>
        <w:t>The Journal of Muamalat and Islamic Finance Research</w:t>
      </w:r>
      <w:r>
        <w:rPr>
          <w:rFonts w:ascii="Times New Roman" w:eastAsia="Times New Roman" w:hAnsi="Times New Roman" w:cs="Times New Roman"/>
          <w:sz w:val="24"/>
          <w:szCs w:val="24"/>
        </w:rPr>
        <w:t xml:space="preserve"> 17(2): 17-31.</w:t>
      </w:r>
    </w:p>
    <w:p w14:paraId="423A7D61"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Siti Nurain Muhmad, Rusnah Muhamad &amp; Farizah Sulong.( 2021). Sustainable Development Goals and Islamic Finance: An Integrated Approach for Islamic Financial Institutions. </w:t>
      </w:r>
      <w:r>
        <w:rPr>
          <w:rFonts w:ascii="Times New Roman" w:eastAsia="Times New Roman" w:hAnsi="Times New Roman" w:cs="Times New Roman"/>
          <w:i/>
          <w:sz w:val="24"/>
          <w:szCs w:val="24"/>
        </w:rPr>
        <w:t xml:space="preserve">Indonesian Journal of Sustainability Accounting and Management </w:t>
      </w:r>
      <w:r>
        <w:rPr>
          <w:rFonts w:ascii="Times New Roman" w:eastAsia="Times New Roman" w:hAnsi="Times New Roman" w:cs="Times New Roman"/>
          <w:sz w:val="24"/>
          <w:szCs w:val="24"/>
        </w:rPr>
        <w:t>5(1): 123-136.</w:t>
      </w:r>
    </w:p>
    <w:p w14:paraId="58E8BD3E"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Syahida Abdullah.( 2012). Risk Management via Takaful from a Perspective of Maqasid of Shariah. </w:t>
      </w:r>
      <w:r>
        <w:rPr>
          <w:rFonts w:ascii="Times New Roman" w:eastAsia="Times New Roman" w:hAnsi="Times New Roman" w:cs="Times New Roman"/>
          <w:i/>
          <w:sz w:val="24"/>
          <w:szCs w:val="24"/>
        </w:rPr>
        <w:t>Procedia - Social and Behavioral Sciences</w:t>
      </w:r>
      <w:r>
        <w:rPr>
          <w:rFonts w:ascii="Times New Roman" w:eastAsia="Times New Roman" w:hAnsi="Times New Roman" w:cs="Times New Roman"/>
          <w:sz w:val="24"/>
          <w:szCs w:val="24"/>
        </w:rPr>
        <w:t xml:space="preserve"> 65: 535-541.</w:t>
      </w:r>
    </w:p>
    <w:p w14:paraId="73B0C68B"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Tanveer Hussain Kolachi. (2023). Sustainable Development Goals and the Role of the Life Takaful Industry in Pakistan. LinkedIn.</w:t>
      </w:r>
    </w:p>
    <w:p w14:paraId="5FBDA639"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Nations.( 2015). Take Action for the Sustainable Development Goals. </w:t>
      </w:r>
      <w:r>
        <w:rPr>
          <w:rFonts w:ascii="Times New Roman" w:eastAsia="Times New Roman" w:hAnsi="Times New Roman" w:cs="Times New Roman"/>
          <w:i/>
          <w:sz w:val="24"/>
          <w:szCs w:val="24"/>
        </w:rPr>
        <w:t>Sustainable Development Goals</w:t>
      </w:r>
      <w:r>
        <w:rPr>
          <w:rFonts w:ascii="Times New Roman" w:eastAsia="Times New Roman" w:hAnsi="Times New Roman" w:cs="Times New Roman"/>
          <w:sz w:val="24"/>
          <w:szCs w:val="24"/>
        </w:rPr>
        <w:t>.</w:t>
      </w:r>
    </w:p>
    <w:p w14:paraId="099ECFEC"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Usama Tahir, Abdul Rashid &amp; Atiquzzafar.( 2021). Evaluation of Contemporary Takaful Practices from the Perspective of Maqasid al-Shariah. </w:t>
      </w:r>
      <w:r>
        <w:rPr>
          <w:rFonts w:ascii="Times New Roman" w:eastAsia="Times New Roman" w:hAnsi="Times New Roman" w:cs="Times New Roman"/>
          <w:i/>
          <w:sz w:val="24"/>
          <w:szCs w:val="24"/>
        </w:rPr>
        <w:t>Journal of Islamic Business and Management</w:t>
      </w:r>
      <w:r>
        <w:rPr>
          <w:rFonts w:ascii="Times New Roman" w:eastAsia="Times New Roman" w:hAnsi="Times New Roman" w:cs="Times New Roman"/>
          <w:sz w:val="24"/>
          <w:szCs w:val="24"/>
        </w:rPr>
        <w:t xml:space="preserve"> 11(02): 296-311.</w:t>
      </w:r>
    </w:p>
    <w:p w14:paraId="2C9B43D6" w14:textId="77777777" w:rsidR="00406710" w:rsidRDefault="00133797">
      <w:pPr>
        <w:spacing w:line="36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Zia.( 2023). Achieving Maqasid al Shariah Through Takaful. </w:t>
      </w:r>
      <w:r>
        <w:rPr>
          <w:rFonts w:ascii="Times New Roman" w:eastAsia="Times New Roman" w:hAnsi="Times New Roman" w:cs="Times New Roman"/>
          <w:i/>
          <w:sz w:val="24"/>
          <w:szCs w:val="24"/>
        </w:rPr>
        <w:t>Retrieved December</w:t>
      </w:r>
      <w:r>
        <w:rPr>
          <w:rFonts w:ascii="Times New Roman" w:eastAsia="Times New Roman" w:hAnsi="Times New Roman" w:cs="Times New Roman"/>
          <w:sz w:val="24"/>
          <w:szCs w:val="24"/>
        </w:rPr>
        <w:t xml:space="preserve"> 1: 1-24.</w:t>
      </w:r>
    </w:p>
    <w:p w14:paraId="5B863DEF" w14:textId="77777777" w:rsidR="00406710" w:rsidRDefault="004067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06710">
      <w:footerReference w:type="default" r:id="rId7"/>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B0F39" w14:textId="77777777" w:rsidR="00133797" w:rsidRDefault="00133797">
      <w:pPr>
        <w:spacing w:after="0" w:line="240" w:lineRule="auto"/>
      </w:pPr>
      <w:r>
        <w:separator/>
      </w:r>
    </w:p>
  </w:endnote>
  <w:endnote w:type="continuationSeparator" w:id="0">
    <w:p w14:paraId="0FF5B4AB" w14:textId="77777777" w:rsidR="00133797" w:rsidRDefault="001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07A91" w14:textId="77777777" w:rsidR="00406710" w:rsidRDefault="00133797">
    <w:pPr>
      <w:pBdr>
        <w:top w:val="nil"/>
        <w:left w:val="nil"/>
        <w:bottom w:val="nil"/>
        <w:right w:val="nil"/>
        <w:between w:val="nil"/>
      </w:pBdr>
      <w:tabs>
        <w:tab w:val="center" w:pos="4153"/>
        <w:tab w:val="right" w:pos="8306"/>
      </w:tabs>
      <w:rPr>
        <w:color w:val="000000"/>
        <w:sz w:val="18"/>
        <w:szCs w:val="18"/>
      </w:rPr>
    </w:pPr>
    <w:r>
      <w:rPr>
        <w:color w:val="000000"/>
        <w:sz w:val="18"/>
        <w:szCs w:val="18"/>
      </w:rPr>
      <w:t>[Received: xx March 2024; Accepted: xx March 2024; Published: xx March 2024]</w:t>
    </w:r>
    <w:r>
      <w:rPr>
        <w:noProof/>
      </w:rPr>
      <mc:AlternateContent>
        <mc:Choice Requires="wps">
          <w:drawing>
            <wp:anchor distT="0" distB="0" distL="114300" distR="114300" simplePos="0" relativeHeight="251658240" behindDoc="0" locked="0" layoutInCell="1" hidden="0" allowOverlap="1" wp14:anchorId="3476DF16" wp14:editId="4F5931AC">
              <wp:simplePos x="0" y="0"/>
              <wp:positionH relativeFrom="column">
                <wp:posOffset>3835400</wp:posOffset>
              </wp:positionH>
              <wp:positionV relativeFrom="paragraph">
                <wp:posOffset>-63499</wp:posOffset>
              </wp:positionV>
              <wp:extent cx="1847850" cy="1847850"/>
              <wp:effectExtent l="0" t="0" r="0" b="0"/>
              <wp:wrapNone/>
              <wp:docPr id="2" name="Freeform: Shape 2"/>
              <wp:cNvGraphicFramePr/>
              <a:graphic xmlns:a="http://schemas.openxmlformats.org/drawingml/2006/main">
                <a:graphicData uri="http://schemas.microsoft.com/office/word/2010/wordprocessingShape">
                  <wps:wsp>
                    <wps:cNvSpPr/>
                    <wps:spPr>
                      <a:xfrm>
                        <a:off x="4426838" y="2860838"/>
                        <a:ext cx="1838325" cy="1838325"/>
                      </a:xfrm>
                      <a:custGeom>
                        <a:avLst/>
                        <a:gdLst/>
                        <a:ahLst/>
                        <a:cxnLst/>
                        <a:rect l="l" t="t" r="r" b="b"/>
                        <a:pathLst>
                          <a:path w="1828800" h="1828800" extrusionOk="0">
                            <a:moveTo>
                              <a:pt x="0" y="0"/>
                            </a:moveTo>
                            <a:lnTo>
                              <a:pt x="0" y="1828800"/>
                            </a:lnTo>
                            <a:lnTo>
                              <a:pt x="1828800" y="1828800"/>
                            </a:lnTo>
                            <a:lnTo>
                              <a:pt x="1828800" y="0"/>
                            </a:lnTo>
                            <a:close/>
                          </a:path>
                        </a:pathLst>
                      </a:custGeom>
                      <a:noFill/>
                      <a:ln>
                        <a:noFill/>
                      </a:ln>
                    </wps:spPr>
                    <wps:txbx>
                      <w:txbxContent>
                        <w:p w14:paraId="2BD375CB" w14:textId="77777777" w:rsidR="00406710" w:rsidRDefault="00133797">
                          <w:pPr>
                            <w:spacing w:after="0" w:line="240" w:lineRule="auto"/>
                            <w:textDirection w:val="btLr"/>
                          </w:pPr>
                          <w:r>
                            <w:rPr>
                              <w:rFonts w:ascii="Calibri" w:eastAsia="Calibri" w:hAnsi="Calibri" w:cs="Calibri"/>
                              <w:color w:val="000000"/>
                              <w:sz w:val="18"/>
                            </w:rPr>
                            <w:t xml:space="preserve"> PAGE \* MERGEFORMAT 2</w:t>
                          </w:r>
                        </w:p>
                      </w:txbxContent>
                    </wps:txbx>
                    <wps:bodyPr spcFirstLastPara="1" wrap="square" lIns="88900" tIns="38100" rIns="88900" bIns="38100" anchor="t" anchorCtr="0">
                      <a:noAutofit/>
                    </wps:bodyPr>
                  </wps:wsp>
                </a:graphicData>
              </a:graphic>
            </wp:anchor>
          </w:drawing>
        </mc:Choice>
        <mc:Fallback>
          <w:pict>
            <v:shape w14:anchorId="3476DF16" id="Freeform: Shape 2" o:spid="_x0000_s1026" style="position:absolute;margin-left:302pt;margin-top:-5pt;width:145.5pt;height:14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828800,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" adj="-11796480,,5400" path="m,l,1828800r1828800,l1828800,,,xe" filled="f" stroked="f">
              <v:stroke joinstyle="miter"/>
              <v:formulas/>
              <v:path arrowok="t" o:extrusionok="f" o:connecttype="custom" textboxrect="0,0,1828800,1828800"/>
              <v:textbox inset="7pt,3pt,7pt,3pt">
                <w:txbxContent>
                  <w:p w14:paraId="2BD375CB" w14:textId="77777777" w:rsidR="00406710" w:rsidRDefault="00133797">
                    <w:pPr>
                      <w:spacing w:after="0" w:line="240" w:lineRule="auto"/>
                      <w:textDirection w:val="btLr"/>
                    </w:pPr>
                    <w:r>
                      <w:rPr>
                        <w:rFonts w:ascii="Calibri" w:eastAsia="Calibri" w:hAnsi="Calibri" w:cs="Calibri"/>
                        <w:color w:val="000000"/>
                        <w:sz w:val="18"/>
                      </w:rPr>
                      <w:t xml:space="preserve"> PAGE \* MERGEFORMAT 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42FA4" w14:textId="77777777" w:rsidR="00133797" w:rsidRDefault="00133797">
      <w:pPr>
        <w:spacing w:after="0" w:line="240" w:lineRule="auto"/>
      </w:pPr>
      <w:r>
        <w:separator/>
      </w:r>
    </w:p>
  </w:footnote>
  <w:footnote w:type="continuationSeparator" w:id="0">
    <w:p w14:paraId="57E67477" w14:textId="77777777" w:rsidR="00133797" w:rsidRDefault="00133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0NzYxN7awNDcxNbBU0lEKTi0uzszPAykwrAUAG5wHOCwAAAA="/>
  </w:docVars>
  <w:rsids>
    <w:rsidRoot w:val="00406710"/>
    <w:rsid w:val="00133797"/>
    <w:rsid w:val="004067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0529"/>
  <w15:docId w15:val="{8B6B0E27-47D2-4D70-A362-5B9640B1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GB"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2"/>
    <w:rPr>
      <w:rFonts w:asciiTheme="minorHAnsi" w:eastAsiaTheme="minorEastAsia" w:hAnsiTheme="minorHAnsi" w:cstheme="minorBidi"/>
      <w:lang w:eastAsia="zh-CN"/>
    </w:rPr>
  </w:style>
  <w:style w:type="paragraph" w:styleId="Heading1">
    <w:name w:val="heading 1"/>
    <w:basedOn w:val="Normal"/>
    <w:link w:val="Heading1Char"/>
    <w:uiPriority w:val="9"/>
    <w:qFormat/>
    <w:rsid w:val="00A71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link w:val="Heading2Char"/>
    <w:uiPriority w:val="9"/>
    <w:semiHidden/>
    <w:unhideWhenUsed/>
    <w:qFormat/>
    <w:rsid w:val="00A7195F"/>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link w:val="Heading3Char"/>
    <w:uiPriority w:val="9"/>
    <w:semiHidden/>
    <w:unhideWhenUsed/>
    <w:qFormat/>
    <w:rsid w:val="00A7195F"/>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qFormat/>
    <w:rsid w:val="00E171D2"/>
    <w:pPr>
      <w:spacing w:line="240" w:lineRule="auto"/>
    </w:pPr>
  </w:style>
  <w:style w:type="paragraph" w:styleId="EndnoteText">
    <w:name w:val="endnote text"/>
    <w:basedOn w:val="Normal"/>
    <w:qFormat/>
    <w:rsid w:val="00E171D2"/>
    <w:pPr>
      <w:snapToGrid w:val="0"/>
    </w:pPr>
  </w:style>
  <w:style w:type="paragraph" w:styleId="Footer">
    <w:name w:val="footer"/>
    <w:basedOn w:val="Normal"/>
    <w:rsid w:val="00E171D2"/>
    <w:pPr>
      <w:tabs>
        <w:tab w:val="center" w:pos="4153"/>
        <w:tab w:val="right" w:pos="8306"/>
      </w:tabs>
      <w:snapToGrid w:val="0"/>
    </w:pPr>
    <w:rPr>
      <w:sz w:val="18"/>
      <w:szCs w:val="18"/>
    </w:rPr>
  </w:style>
  <w:style w:type="paragraph" w:styleId="Header">
    <w:name w:val="header"/>
    <w:basedOn w:val="Normal"/>
    <w:rsid w:val="00E171D2"/>
    <w:pPr>
      <w:tabs>
        <w:tab w:val="center" w:pos="4153"/>
        <w:tab w:val="right" w:pos="8306"/>
      </w:tabs>
      <w:snapToGrid w:val="0"/>
    </w:pPr>
    <w:rPr>
      <w:sz w:val="18"/>
      <w:szCs w:val="18"/>
    </w:rPr>
  </w:style>
  <w:style w:type="character" w:styleId="CommentReference">
    <w:name w:val="annotation reference"/>
    <w:basedOn w:val="DefaultParagraphFont"/>
    <w:rsid w:val="00E171D2"/>
    <w:rPr>
      <w:sz w:val="16"/>
      <w:szCs w:val="16"/>
    </w:rPr>
  </w:style>
  <w:style w:type="character" w:styleId="EndnoteReference">
    <w:name w:val="endnote reference"/>
    <w:basedOn w:val="DefaultParagraphFont"/>
    <w:qFormat/>
    <w:rsid w:val="00E171D2"/>
    <w:rPr>
      <w:vertAlign w:val="superscript"/>
    </w:rPr>
  </w:style>
  <w:style w:type="character" w:styleId="Hyperlink">
    <w:name w:val="Hyperlink"/>
    <w:basedOn w:val="DefaultParagraphFont"/>
    <w:qFormat/>
    <w:rsid w:val="00E171D2"/>
    <w:rPr>
      <w:color w:val="0000FF"/>
      <w:u w:val="single"/>
    </w:rPr>
  </w:style>
  <w:style w:type="character" w:styleId="Emphasis">
    <w:name w:val="Emphasis"/>
    <w:basedOn w:val="DefaultParagraphFont"/>
    <w:uiPriority w:val="20"/>
    <w:qFormat/>
    <w:rsid w:val="00100A3B"/>
    <w:rPr>
      <w:i/>
      <w:iCs/>
    </w:rPr>
  </w:style>
  <w:style w:type="character" w:customStyle="1" w:styleId="Heading1Char">
    <w:name w:val="Heading 1 Char"/>
    <w:basedOn w:val="DefaultParagraphFont"/>
    <w:link w:val="Heading1"/>
    <w:uiPriority w:val="9"/>
    <w:rsid w:val="00A7195F"/>
    <w:rPr>
      <w:rFonts w:eastAsia="Times New Roman"/>
      <w:b/>
      <w:bCs/>
      <w:kern w:val="36"/>
      <w:sz w:val="48"/>
      <w:szCs w:val="48"/>
      <w:lang w:val="en-US" w:eastAsia="en-US"/>
    </w:rPr>
  </w:style>
  <w:style w:type="character" w:customStyle="1" w:styleId="Heading2Char">
    <w:name w:val="Heading 2 Char"/>
    <w:basedOn w:val="DefaultParagraphFont"/>
    <w:link w:val="Heading2"/>
    <w:uiPriority w:val="9"/>
    <w:rsid w:val="00A7195F"/>
    <w:rPr>
      <w:rFonts w:eastAsia="Times New Roman"/>
      <w:b/>
      <w:bCs/>
      <w:sz w:val="36"/>
      <w:szCs w:val="36"/>
      <w:lang w:val="en-US" w:eastAsia="en-US"/>
    </w:rPr>
  </w:style>
  <w:style w:type="character" w:customStyle="1" w:styleId="Heading3Char">
    <w:name w:val="Heading 3 Char"/>
    <w:basedOn w:val="DefaultParagraphFont"/>
    <w:link w:val="Heading3"/>
    <w:uiPriority w:val="9"/>
    <w:rsid w:val="00A7195F"/>
    <w:rPr>
      <w:rFonts w:eastAsia="Times New Roman"/>
      <w:b/>
      <w:bCs/>
      <w:sz w:val="27"/>
      <w:szCs w:val="27"/>
      <w:lang w:val="en-US" w:eastAsia="en-US"/>
    </w:rPr>
  </w:style>
  <w:style w:type="paragraph" w:styleId="NormalWeb">
    <w:name w:val="Normal (Web)"/>
    <w:basedOn w:val="Normal"/>
    <w:uiPriority w:val="99"/>
    <w:unhideWhenUsed/>
    <w:rsid w:val="00A7195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irstparagraphstyle">
    <w:name w:val="firstparagraphstyle"/>
    <w:basedOn w:val="Normal"/>
    <w:rsid w:val="00A7195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7195F"/>
    <w:rPr>
      <w:b/>
      <w:bCs/>
    </w:rPr>
  </w:style>
  <w:style w:type="paragraph" w:styleId="FootnoteText">
    <w:name w:val="footnote text"/>
    <w:basedOn w:val="Normal"/>
    <w:link w:val="FootnoteTextChar"/>
    <w:semiHidden/>
    <w:unhideWhenUsed/>
    <w:rsid w:val="00921520"/>
    <w:pPr>
      <w:spacing w:after="0" w:line="240" w:lineRule="auto"/>
    </w:pPr>
  </w:style>
  <w:style w:type="character" w:customStyle="1" w:styleId="FootnoteTextChar">
    <w:name w:val="Footnote Text Char"/>
    <w:basedOn w:val="DefaultParagraphFont"/>
    <w:link w:val="FootnoteText"/>
    <w:semiHidden/>
    <w:rsid w:val="00921520"/>
    <w:rPr>
      <w:rFonts w:asciiTheme="minorHAnsi" w:eastAsiaTheme="minorEastAsia" w:hAnsiTheme="minorHAnsi" w:cstheme="minorBidi"/>
      <w:lang w:val="en-US" w:eastAsia="zh-CN"/>
    </w:rPr>
  </w:style>
  <w:style w:type="character" w:styleId="FootnoteReference">
    <w:name w:val="footnote reference"/>
    <w:basedOn w:val="DefaultParagraphFont"/>
    <w:semiHidden/>
    <w:unhideWhenUsed/>
    <w:rsid w:val="00921520"/>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7xT2SId4wb95VyTBoB+Vf6bbA==">CgMxLjA4AHIhMUctbklVRUZ4NHhJYjF2djJuSVN0NmlaUm1haTNFbXdm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6480</Words>
  <Characters>36942</Characters>
  <Application>Microsoft Office Word</Application>
  <DocSecurity>0</DocSecurity>
  <Lines>307</Lines>
  <Paragraphs>86</Paragraphs>
  <ScaleCrop>false</ScaleCrop>
  <Company/>
  <LinksUpToDate>false</LinksUpToDate>
  <CharactersWithSpaces>43336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sitinurfarahatiqah</dc:creator>
  <cp:lastModifiedBy>Ruzian Markom</cp:lastModifiedBy>
  <cp:revision>2</cp:revision>
  <dcterms:created xsi:type="dcterms:W3CDTF">2024-03-29T08:12:00Z</dcterms:created>
  <dcterms:modified xsi:type="dcterms:W3CDTF">2024-03-29T08:12:00Z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y fmtid="{D5CDD505-2E9C-101B-9397-08002B2CF9AE}" pid="3" name="GrammarlyDocumentId">
    <vt:lpwstr>b4d304f3-c44c-447c-8f57-a14f52bc0ce1</vt:lpwstr>
  </property>
</Properties>
</file>