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7A03" w:rsidRDefault="008034BE" w:rsidP="00E67A03">
      <w:pPr>
        <w:spacing w:after="0" w:line="240" w:lineRule="auto"/>
        <w:jc w:val="center"/>
        <w:rPr>
          <w:sz w:val="28"/>
          <w:szCs w:val="28"/>
        </w:rPr>
      </w:pPr>
      <w:r w:rsidRPr="008034BE">
        <w:rPr>
          <w:sz w:val="28"/>
          <w:szCs w:val="28"/>
        </w:rPr>
        <w:t>Extending the Theory of Planned Behavior to Predict the Intention to Telecardiology Adoption in Malaysia</w:t>
      </w:r>
    </w:p>
    <w:p w:rsidR="004300CA" w:rsidRDefault="004300CA" w:rsidP="00E67A03">
      <w:pPr>
        <w:spacing w:after="0" w:line="240" w:lineRule="auto"/>
        <w:jc w:val="center"/>
        <w:rPr>
          <w:sz w:val="28"/>
          <w:szCs w:val="28"/>
        </w:rPr>
      </w:pPr>
    </w:p>
    <w:p w:rsidR="004300CA" w:rsidRPr="00E67A03" w:rsidRDefault="004300CA" w:rsidP="004300CA">
      <w:pPr>
        <w:spacing w:after="0" w:line="240" w:lineRule="auto"/>
        <w:jc w:val="center"/>
        <w:rPr>
          <w:sz w:val="24"/>
          <w:szCs w:val="24"/>
        </w:rPr>
      </w:pPr>
      <w:r>
        <w:rPr>
          <w:sz w:val="24"/>
          <w:szCs w:val="24"/>
        </w:rPr>
        <w:t>YEO KEE JIAR</w:t>
      </w:r>
    </w:p>
    <w:p w:rsidR="004300CA" w:rsidRPr="00E67A03" w:rsidRDefault="004300CA" w:rsidP="004300CA">
      <w:pPr>
        <w:spacing w:after="0" w:line="240" w:lineRule="auto"/>
        <w:jc w:val="center"/>
        <w:rPr>
          <w:i/>
          <w:sz w:val="24"/>
          <w:szCs w:val="24"/>
        </w:rPr>
      </w:pPr>
      <w:r>
        <w:rPr>
          <w:i/>
          <w:sz w:val="24"/>
          <w:szCs w:val="24"/>
        </w:rPr>
        <w:t>Universiti Teknologi Malaysia</w:t>
      </w:r>
    </w:p>
    <w:p w:rsidR="004300CA" w:rsidRPr="00E67A03" w:rsidRDefault="004300CA" w:rsidP="004300CA">
      <w:pPr>
        <w:spacing w:after="0" w:line="240" w:lineRule="auto"/>
        <w:jc w:val="center"/>
        <w:rPr>
          <w:i/>
          <w:sz w:val="24"/>
          <w:szCs w:val="24"/>
        </w:rPr>
      </w:pPr>
      <w:r w:rsidRPr="00E67A03">
        <w:rPr>
          <w:sz w:val="24"/>
          <w:szCs w:val="24"/>
        </w:rPr>
        <w:t xml:space="preserve"> </w:t>
      </w:r>
      <w:hyperlink r:id="rId5" w:history="1">
        <w:r w:rsidRPr="00401E9D">
          <w:rPr>
            <w:rStyle w:val="Hyperlink"/>
            <w:i/>
            <w:sz w:val="24"/>
            <w:szCs w:val="24"/>
          </w:rPr>
          <w:t>kjyeo@utm.my</w:t>
        </w:r>
      </w:hyperlink>
      <w:r>
        <w:rPr>
          <w:i/>
          <w:sz w:val="24"/>
          <w:szCs w:val="24"/>
        </w:rPr>
        <w:t xml:space="preserve"> </w:t>
      </w:r>
    </w:p>
    <w:p w:rsidR="004300CA" w:rsidRPr="00E67A03" w:rsidRDefault="004300CA" w:rsidP="004300CA">
      <w:pPr>
        <w:spacing w:after="0" w:line="240" w:lineRule="auto"/>
        <w:rPr>
          <w:sz w:val="24"/>
          <w:szCs w:val="24"/>
        </w:rPr>
      </w:pPr>
    </w:p>
    <w:p w:rsidR="004300CA" w:rsidRPr="00E67A03" w:rsidRDefault="004300CA" w:rsidP="004300CA">
      <w:pPr>
        <w:spacing w:after="0" w:line="240" w:lineRule="auto"/>
        <w:jc w:val="center"/>
        <w:rPr>
          <w:sz w:val="24"/>
          <w:szCs w:val="24"/>
        </w:rPr>
      </w:pPr>
      <w:r>
        <w:rPr>
          <w:sz w:val="24"/>
          <w:szCs w:val="24"/>
        </w:rPr>
        <w:t>LEE SHIH HUI</w:t>
      </w:r>
    </w:p>
    <w:p w:rsidR="004300CA" w:rsidRPr="00E67A03" w:rsidRDefault="004300CA" w:rsidP="004300CA">
      <w:pPr>
        <w:spacing w:after="0" w:line="240" w:lineRule="auto"/>
        <w:jc w:val="center"/>
        <w:rPr>
          <w:i/>
          <w:sz w:val="24"/>
          <w:szCs w:val="24"/>
        </w:rPr>
      </w:pPr>
      <w:r>
        <w:rPr>
          <w:i/>
          <w:sz w:val="24"/>
          <w:szCs w:val="24"/>
        </w:rPr>
        <w:t>Universiti Teknologi Malaysia</w:t>
      </w:r>
    </w:p>
    <w:p w:rsidR="004300CA" w:rsidRDefault="00723B69" w:rsidP="004300CA">
      <w:pPr>
        <w:spacing w:after="0" w:line="240" w:lineRule="auto"/>
        <w:jc w:val="center"/>
        <w:rPr>
          <w:i/>
          <w:sz w:val="24"/>
          <w:szCs w:val="24"/>
        </w:rPr>
      </w:pPr>
      <w:hyperlink r:id="rId6" w:history="1">
        <w:r w:rsidR="004300CA" w:rsidRPr="00401E9D">
          <w:rPr>
            <w:rStyle w:val="Hyperlink"/>
            <w:i/>
            <w:sz w:val="24"/>
            <w:szCs w:val="24"/>
          </w:rPr>
          <w:t>shlee24@graduate.utm.my</w:t>
        </w:r>
      </w:hyperlink>
      <w:r w:rsidR="004300CA">
        <w:rPr>
          <w:i/>
          <w:sz w:val="24"/>
          <w:szCs w:val="24"/>
        </w:rPr>
        <w:t xml:space="preserve"> </w:t>
      </w:r>
    </w:p>
    <w:p w:rsidR="004300CA" w:rsidRDefault="004300CA" w:rsidP="004300CA">
      <w:pPr>
        <w:spacing w:after="0" w:line="240" w:lineRule="auto"/>
        <w:jc w:val="center"/>
        <w:rPr>
          <w:i/>
          <w:sz w:val="24"/>
          <w:szCs w:val="24"/>
        </w:rPr>
      </w:pPr>
    </w:p>
    <w:p w:rsidR="004300CA" w:rsidRPr="00E67A03" w:rsidRDefault="004300CA" w:rsidP="004300CA">
      <w:pPr>
        <w:spacing w:after="0" w:line="240" w:lineRule="auto"/>
        <w:jc w:val="center"/>
        <w:rPr>
          <w:sz w:val="24"/>
          <w:szCs w:val="24"/>
        </w:rPr>
      </w:pPr>
      <w:r w:rsidRPr="004300CA">
        <w:rPr>
          <w:sz w:val="24"/>
          <w:szCs w:val="24"/>
        </w:rPr>
        <w:t>RANIA HUSSIEN AHMED AL-ASHWAL</w:t>
      </w:r>
    </w:p>
    <w:p w:rsidR="004300CA" w:rsidRPr="00E67A03" w:rsidRDefault="004300CA" w:rsidP="004300CA">
      <w:pPr>
        <w:spacing w:after="0" w:line="240" w:lineRule="auto"/>
        <w:jc w:val="center"/>
        <w:rPr>
          <w:i/>
          <w:sz w:val="24"/>
          <w:szCs w:val="24"/>
        </w:rPr>
      </w:pPr>
      <w:r>
        <w:rPr>
          <w:i/>
          <w:sz w:val="24"/>
          <w:szCs w:val="24"/>
        </w:rPr>
        <w:t>Universiti Teknologi Malaysia</w:t>
      </w:r>
    </w:p>
    <w:p w:rsidR="004300CA" w:rsidRDefault="00723B69" w:rsidP="00E67A03">
      <w:pPr>
        <w:spacing w:after="0" w:line="240" w:lineRule="auto"/>
        <w:jc w:val="center"/>
        <w:rPr>
          <w:sz w:val="28"/>
          <w:szCs w:val="28"/>
        </w:rPr>
      </w:pPr>
      <w:hyperlink r:id="rId7" w:history="1">
        <w:r w:rsidR="004300CA" w:rsidRPr="00401E9D">
          <w:rPr>
            <w:rStyle w:val="Hyperlink"/>
            <w:i/>
            <w:sz w:val="24"/>
            <w:szCs w:val="24"/>
          </w:rPr>
          <w:t>rania@utm.my</w:t>
        </w:r>
      </w:hyperlink>
      <w:r w:rsidR="004300CA">
        <w:rPr>
          <w:i/>
          <w:sz w:val="24"/>
          <w:szCs w:val="24"/>
        </w:rPr>
        <w:t xml:space="preserve"> </w:t>
      </w:r>
    </w:p>
    <w:p w:rsidR="008034BE" w:rsidRDefault="008034BE" w:rsidP="00E67A03">
      <w:pPr>
        <w:spacing w:after="0" w:line="240" w:lineRule="auto"/>
        <w:jc w:val="center"/>
        <w:rPr>
          <w:sz w:val="28"/>
          <w:szCs w:val="28"/>
        </w:rPr>
      </w:pPr>
    </w:p>
    <w:p w:rsidR="00E67A03" w:rsidRPr="00E67A03" w:rsidRDefault="00E67A03" w:rsidP="00893464">
      <w:pPr>
        <w:spacing w:after="0" w:line="240" w:lineRule="auto"/>
        <w:rPr>
          <w:sz w:val="24"/>
          <w:szCs w:val="24"/>
        </w:rPr>
      </w:pPr>
    </w:p>
    <w:p w:rsidR="004300CA" w:rsidRDefault="004300CA" w:rsidP="00E67A03">
      <w:pPr>
        <w:spacing w:after="0" w:line="240" w:lineRule="auto"/>
        <w:jc w:val="center"/>
        <w:rPr>
          <w:sz w:val="24"/>
          <w:szCs w:val="24"/>
        </w:rPr>
      </w:pPr>
    </w:p>
    <w:p w:rsidR="00E67A03" w:rsidRPr="00E67A03" w:rsidRDefault="00E67A03" w:rsidP="00E67A03">
      <w:pPr>
        <w:spacing w:after="0" w:line="240" w:lineRule="auto"/>
        <w:jc w:val="center"/>
        <w:rPr>
          <w:sz w:val="24"/>
          <w:szCs w:val="24"/>
        </w:rPr>
      </w:pPr>
      <w:r w:rsidRPr="00E67A03">
        <w:rPr>
          <w:sz w:val="24"/>
          <w:szCs w:val="24"/>
        </w:rPr>
        <w:t xml:space="preserve"> </w:t>
      </w:r>
    </w:p>
    <w:p w:rsidR="00E67A03" w:rsidRDefault="00E67A03" w:rsidP="00E67A03">
      <w:pPr>
        <w:spacing w:after="0" w:line="240" w:lineRule="auto"/>
        <w:jc w:val="center"/>
        <w:rPr>
          <w:sz w:val="24"/>
          <w:szCs w:val="24"/>
        </w:rPr>
      </w:pPr>
      <w:r w:rsidRPr="00E67A03">
        <w:rPr>
          <w:sz w:val="24"/>
          <w:szCs w:val="24"/>
        </w:rPr>
        <w:t>ABSTRACT</w:t>
      </w:r>
    </w:p>
    <w:p w:rsidR="003F2B57" w:rsidRDefault="008E79DD" w:rsidP="00E67A03">
      <w:pPr>
        <w:spacing w:after="0" w:line="240" w:lineRule="auto"/>
        <w:jc w:val="both"/>
      </w:pPr>
      <w:r w:rsidRPr="008E79DD">
        <w:t xml:space="preserve">Telecardiology </w:t>
      </w:r>
      <w:r w:rsidR="00246766">
        <w:t xml:space="preserve">had </w:t>
      </w:r>
      <w:r>
        <w:t>emerged</w:t>
      </w:r>
      <w:r w:rsidRPr="008E79DD">
        <w:t xml:space="preserve"> as a promising tool in cardiology to improve the overall service</w:t>
      </w:r>
      <w:r w:rsidR="007C02EA">
        <w:t>s</w:t>
      </w:r>
      <w:r w:rsidRPr="008E79DD">
        <w:t xml:space="preserve"> and prevent loss due to </w:t>
      </w:r>
      <w:r>
        <w:t>cardiovascular diseases.</w:t>
      </w:r>
      <w:r w:rsidRPr="008E79DD">
        <w:t xml:space="preserve"> </w:t>
      </w:r>
      <w:r w:rsidR="006D4EFE" w:rsidRPr="006D4EFE">
        <w:t xml:space="preserve">User acceptance is an important determinant for ensuring successful telecardiology implementation. Acceptance of telemedicine are usually indicated by the rate of diffusion throughout the healthcare system as well as the behavioural intention to use among the targeted population. This study examined factors influencing users’ intention for telecardiology usage. An extended Theory of Planned Behaviour model was utilized to assess the manner in which an individual’s personality traits and beliefs regarding telecardiology influenced their usage intention. </w:t>
      </w:r>
      <w:r>
        <w:t xml:space="preserve">This cross-sectional study involved a convenience sample of </w:t>
      </w:r>
      <w:r w:rsidR="006D4EFE" w:rsidRPr="006D4EFE">
        <w:t>423 healthcare receivers and providers of selected hospitals and a cardiac surgery centre in Malaysia.</w:t>
      </w:r>
      <w:r>
        <w:t xml:space="preserve"> A questionnaire consisted of</w:t>
      </w:r>
      <w:r w:rsidR="00246766">
        <w:t xml:space="preserve"> 46 items were used in data collection. The questionnaire was adapted and developed based on Theory of Planned Behaviour, Technology Acceptance Model and Technology Readiness Index.</w:t>
      </w:r>
      <w:r>
        <w:t xml:space="preserve"> </w:t>
      </w:r>
      <w:r w:rsidR="006D4EFE" w:rsidRPr="006D4EFE">
        <w:t>Structural equation modeling utilization allowed data analysis. The results underlined attitude, perceived behavioural control and subjective norm as significant determinants of intention. Meanwhile, perceived usefulness and perceived ease of use were the antecedents for the attitude towards telecardiology use.</w:t>
      </w:r>
      <w:r w:rsidR="007C02EA">
        <w:t xml:space="preserve"> On the other hand, optimism is the only attribute that significantly influenced both perceived usefulness and perceived ease of use towards telecardiology use.</w:t>
      </w:r>
      <w:r w:rsidR="006D4EFE" w:rsidRPr="006D4EFE">
        <w:t xml:space="preserve"> The knowledge obtained from this study will allow policymakers and implementers to develop feasible strategies and effective interventions promoting telecardiology usage in Malaysia, combating against its underutilization that typically leads to loss of time, money and effort.</w:t>
      </w:r>
    </w:p>
    <w:p w:rsidR="006D4EFE" w:rsidRPr="00E67A03" w:rsidRDefault="006D4EFE" w:rsidP="00E67A03">
      <w:pPr>
        <w:spacing w:after="0" w:line="240" w:lineRule="auto"/>
        <w:jc w:val="both"/>
      </w:pPr>
    </w:p>
    <w:p w:rsidR="00E67A03" w:rsidRDefault="00E67A03" w:rsidP="00E67A03">
      <w:pPr>
        <w:spacing w:after="0" w:line="240" w:lineRule="auto"/>
        <w:rPr>
          <w:i/>
        </w:rPr>
      </w:pPr>
      <w:r w:rsidRPr="003F2B57">
        <w:rPr>
          <w:b/>
        </w:rPr>
        <w:t>Keywords:</w:t>
      </w:r>
      <w:r w:rsidRPr="00E67A03">
        <w:t xml:space="preserve"> </w:t>
      </w:r>
      <w:r w:rsidR="006D4EFE" w:rsidRPr="006D4EFE">
        <w:rPr>
          <w:i/>
        </w:rPr>
        <w:t>Telecardiology</w:t>
      </w:r>
      <w:r w:rsidR="006D4EFE">
        <w:rPr>
          <w:i/>
        </w:rPr>
        <w:t>;</w:t>
      </w:r>
      <w:r w:rsidR="006D4EFE" w:rsidRPr="006D4EFE">
        <w:rPr>
          <w:i/>
        </w:rPr>
        <w:t xml:space="preserve"> Telemedicine</w:t>
      </w:r>
      <w:r w:rsidR="006D4EFE">
        <w:rPr>
          <w:i/>
        </w:rPr>
        <w:t>;</w:t>
      </w:r>
      <w:r w:rsidR="006D4EFE" w:rsidRPr="006D4EFE">
        <w:rPr>
          <w:i/>
        </w:rPr>
        <w:t xml:space="preserve"> Technology Acceptance</w:t>
      </w:r>
      <w:r w:rsidR="006D4EFE">
        <w:rPr>
          <w:i/>
        </w:rPr>
        <w:t>;</w:t>
      </w:r>
      <w:r w:rsidR="006D4EFE" w:rsidRPr="006D4EFE">
        <w:rPr>
          <w:i/>
        </w:rPr>
        <w:t xml:space="preserve"> Theory of Planned Behaviour</w:t>
      </w:r>
      <w:r w:rsidR="006D4EFE">
        <w:rPr>
          <w:i/>
        </w:rPr>
        <w:t>;</w:t>
      </w:r>
      <w:r w:rsidR="006D4EFE" w:rsidRPr="006D4EFE">
        <w:rPr>
          <w:i/>
        </w:rPr>
        <w:t xml:space="preserve"> Technology Acceptance Model  </w:t>
      </w:r>
    </w:p>
    <w:p w:rsidR="003F2B57" w:rsidRDefault="003F2B57" w:rsidP="00E67A03">
      <w:pPr>
        <w:spacing w:after="0" w:line="240" w:lineRule="auto"/>
        <w:rPr>
          <w:sz w:val="24"/>
          <w:szCs w:val="24"/>
        </w:rPr>
      </w:pPr>
    </w:p>
    <w:p w:rsidR="00C44800" w:rsidRPr="003F2B57" w:rsidRDefault="00C44800" w:rsidP="00E67A03">
      <w:pPr>
        <w:spacing w:after="0" w:line="240" w:lineRule="auto"/>
        <w:rPr>
          <w:sz w:val="24"/>
          <w:szCs w:val="24"/>
        </w:rPr>
      </w:pPr>
    </w:p>
    <w:p w:rsidR="00E67A03" w:rsidRDefault="00E67A03" w:rsidP="00E67A03">
      <w:pPr>
        <w:spacing w:after="0" w:line="240" w:lineRule="auto"/>
        <w:jc w:val="center"/>
        <w:rPr>
          <w:sz w:val="24"/>
          <w:szCs w:val="24"/>
        </w:rPr>
      </w:pPr>
      <w:r w:rsidRPr="00E67A03">
        <w:rPr>
          <w:sz w:val="24"/>
          <w:szCs w:val="24"/>
        </w:rPr>
        <w:t>INTRODUCTION</w:t>
      </w:r>
    </w:p>
    <w:p w:rsidR="00723B69" w:rsidRDefault="00723B69" w:rsidP="007C02EA">
      <w:pPr>
        <w:spacing w:after="0" w:line="240" w:lineRule="auto"/>
        <w:jc w:val="both"/>
        <w:rPr>
          <w:sz w:val="24"/>
          <w:szCs w:val="24"/>
        </w:rPr>
      </w:pPr>
      <w:r w:rsidRPr="00723B69">
        <w:rPr>
          <w:sz w:val="24"/>
          <w:szCs w:val="24"/>
        </w:rPr>
        <w:t xml:space="preserve">Cardiovascular disease (CVD) is ranked as the top cause of mortality in Malaysia by contributing a total of 29,363 or 23.10% of deaths in front of other conditions, such as stroke, influenza, and lung disease. The previous Health Minister Datuk Seri Dr. S. Subramanian has indicated that there are currently 300 cardiologists in the country, with merely 38 of them </w:t>
      </w:r>
      <w:r w:rsidRPr="00723B69">
        <w:rPr>
          <w:sz w:val="24"/>
          <w:szCs w:val="24"/>
        </w:rPr>
        <w:lastRenderedPageBreak/>
        <w:t>working in government hospitals. The remaining majority serves in the Ministry of Defence, universities, and private hospitals (Bernama</w:t>
      </w:r>
      <w:r w:rsidR="00780B97">
        <w:rPr>
          <w:sz w:val="24"/>
          <w:szCs w:val="24"/>
        </w:rPr>
        <w:t>,</w:t>
      </w:r>
      <w:r w:rsidRPr="00723B69">
        <w:rPr>
          <w:sz w:val="24"/>
          <w:szCs w:val="24"/>
        </w:rPr>
        <w:t xml:space="preserve"> 2017). Prior study has indicated that such low amount of cardiologists may lead to a higher mortality rate for patients diagnosed with acute myocardial infarction or heart failure (Kulkarni et al.</w:t>
      </w:r>
      <w:r w:rsidR="00642E77">
        <w:rPr>
          <w:sz w:val="24"/>
          <w:szCs w:val="24"/>
        </w:rPr>
        <w:t>,</w:t>
      </w:r>
      <w:r w:rsidRPr="00723B69">
        <w:rPr>
          <w:sz w:val="24"/>
          <w:szCs w:val="24"/>
        </w:rPr>
        <w:t xml:space="preserve"> 2013). Moreover, the cardiologists and cardiac service center locations are distributed unevenly across different regions in Malaysia, causing those populating in rural areas to face greater challenges in obtaining cardiac services (Wan Ahmad</w:t>
      </w:r>
      <w:r w:rsidR="00780B97">
        <w:rPr>
          <w:sz w:val="24"/>
          <w:szCs w:val="24"/>
        </w:rPr>
        <w:t>,</w:t>
      </w:r>
      <w:r w:rsidRPr="00723B69">
        <w:rPr>
          <w:sz w:val="24"/>
          <w:szCs w:val="24"/>
        </w:rPr>
        <w:t xml:space="preserve"> 2017). Therefore, regions that lack cardiologists and cardiac centers may need to develop new approaches to fulfill their unmet needs for cardiac service and care of CVD patients. </w:t>
      </w:r>
    </w:p>
    <w:p w:rsidR="006D4EFE" w:rsidRPr="006D4EFE" w:rsidRDefault="006D4EFE" w:rsidP="005177FD">
      <w:pPr>
        <w:spacing w:after="0" w:line="240" w:lineRule="auto"/>
        <w:ind w:firstLine="708"/>
        <w:jc w:val="both"/>
        <w:rPr>
          <w:sz w:val="24"/>
          <w:szCs w:val="24"/>
        </w:rPr>
      </w:pPr>
      <w:r w:rsidRPr="006D4EFE">
        <w:rPr>
          <w:sz w:val="24"/>
          <w:szCs w:val="24"/>
        </w:rPr>
        <w:t xml:space="preserve">The importance and value of technology in healthcare service delivery is well-acknowledged by the policy makers. Thus, </w:t>
      </w:r>
      <w:r w:rsidR="004D6E64">
        <w:rPr>
          <w:sz w:val="24"/>
          <w:szCs w:val="24"/>
        </w:rPr>
        <w:t>t</w:t>
      </w:r>
      <w:r w:rsidR="005177FD" w:rsidRPr="005177FD">
        <w:rPr>
          <w:sz w:val="24"/>
          <w:szCs w:val="24"/>
        </w:rPr>
        <w:t>elemedicine has been adopted in many developed and developing countries alongside the rapid growth of health informatics. It plays an important role in facilitating communication between professionals and in improving the body of knowledge in health science education. As technological development in the healthcare industry occurs rapidly, a continuous educational programme for health sciences is required to bridge the teaching and training of medical students and the public alike.</w:t>
      </w:r>
      <w:r w:rsidR="005177FD">
        <w:rPr>
          <w:sz w:val="24"/>
          <w:szCs w:val="24"/>
        </w:rPr>
        <w:t xml:space="preserve"> </w:t>
      </w:r>
      <w:r w:rsidRPr="006D4EFE">
        <w:rPr>
          <w:sz w:val="24"/>
          <w:szCs w:val="24"/>
        </w:rPr>
        <w:t xml:space="preserve">Telecardiology is type of service that falls under the umbrella of telemedicine </w:t>
      </w:r>
      <w:r w:rsidR="005177FD">
        <w:rPr>
          <w:sz w:val="24"/>
          <w:szCs w:val="24"/>
        </w:rPr>
        <w:t xml:space="preserve">and </w:t>
      </w:r>
      <w:r w:rsidRPr="006D4EFE">
        <w:rPr>
          <w:sz w:val="24"/>
          <w:szCs w:val="24"/>
        </w:rPr>
        <w:t xml:space="preserve">is incorporated as a promising tool in cardiology to improve the overall service and prevent loss due to CVD (García et al., 2002). </w:t>
      </w:r>
      <w:r w:rsidR="005177FD" w:rsidRPr="005177FD">
        <w:rPr>
          <w:sz w:val="24"/>
          <w:szCs w:val="24"/>
        </w:rPr>
        <w:t>The delivery of cardiovascular services is undertaken using information and communication technology (ICT) from a distance. Besides, electrocardiography (ECG) signal and echocardiography images are commonly applied in telecardiology over different modes of telecommunication and delivered from home or clinics to cardiology specialty centers (Yew et al.</w:t>
      </w:r>
      <w:r w:rsidR="00642E77">
        <w:rPr>
          <w:sz w:val="24"/>
          <w:szCs w:val="24"/>
        </w:rPr>
        <w:t>,</w:t>
      </w:r>
      <w:r w:rsidR="005177FD" w:rsidRPr="005177FD">
        <w:rPr>
          <w:sz w:val="24"/>
          <w:szCs w:val="24"/>
        </w:rPr>
        <w:t xml:space="preserve"> 2014).  </w:t>
      </w:r>
      <w:r w:rsidR="005177FD" w:rsidRPr="006D4EFE">
        <w:rPr>
          <w:sz w:val="24"/>
          <w:szCs w:val="24"/>
        </w:rPr>
        <w:t xml:space="preserve">Telecardiology </w:t>
      </w:r>
      <w:r w:rsidR="005177FD">
        <w:rPr>
          <w:sz w:val="24"/>
          <w:szCs w:val="24"/>
        </w:rPr>
        <w:t>offer</w:t>
      </w:r>
      <w:r w:rsidR="005177FD" w:rsidRPr="006D4EFE">
        <w:rPr>
          <w:sz w:val="24"/>
          <w:szCs w:val="24"/>
        </w:rPr>
        <w:t>s a variety of cardiovascular services, for instance serving as general information or database system, monitoring and recording patients’ cardiac measurements and transmission of electrocardiogram during transportation of patients (Giovas et al., 1998) by using information and communication technology (ICT) from a distance (García et al., 2002).</w:t>
      </w:r>
      <w:r w:rsidR="005177FD" w:rsidRPr="005177FD">
        <w:rPr>
          <w:sz w:val="24"/>
          <w:szCs w:val="24"/>
        </w:rPr>
        <w:t>According to literature, the adoption of telecardiology may potentially reduce the number of unnecessary hospital referrals and admissions (Molinari et al.</w:t>
      </w:r>
      <w:r w:rsidR="00642E77">
        <w:rPr>
          <w:sz w:val="24"/>
          <w:szCs w:val="24"/>
        </w:rPr>
        <w:t>,</w:t>
      </w:r>
      <w:r w:rsidR="005177FD" w:rsidRPr="005177FD">
        <w:rPr>
          <w:sz w:val="24"/>
          <w:szCs w:val="24"/>
        </w:rPr>
        <w:t xml:space="preserve"> 2002), missed diagnoses, and door-to-balloon time (Backman, Bendel, and Rakhit</w:t>
      </w:r>
      <w:r w:rsidR="00642E77">
        <w:rPr>
          <w:sz w:val="24"/>
          <w:szCs w:val="24"/>
        </w:rPr>
        <w:t>,</w:t>
      </w:r>
      <w:r w:rsidR="005177FD" w:rsidRPr="005177FD">
        <w:rPr>
          <w:sz w:val="24"/>
          <w:szCs w:val="24"/>
        </w:rPr>
        <w:t xml:space="preserve"> 2010), as well as improving the access to cardiac services, particularly in rural areas (Khader et al.</w:t>
      </w:r>
      <w:r w:rsidR="00642E77">
        <w:rPr>
          <w:sz w:val="24"/>
          <w:szCs w:val="24"/>
        </w:rPr>
        <w:t>,</w:t>
      </w:r>
      <w:r w:rsidR="005177FD" w:rsidRPr="005177FD">
        <w:rPr>
          <w:sz w:val="24"/>
          <w:szCs w:val="24"/>
        </w:rPr>
        <w:t xml:space="preserve"> 2014).</w:t>
      </w:r>
      <w:r w:rsidR="005177FD">
        <w:rPr>
          <w:sz w:val="24"/>
          <w:szCs w:val="24"/>
        </w:rPr>
        <w:t xml:space="preserve"> </w:t>
      </w:r>
      <w:r w:rsidRPr="006D4EFE">
        <w:rPr>
          <w:sz w:val="24"/>
          <w:szCs w:val="24"/>
        </w:rPr>
        <w:t>The Malaysia Ministry of Health had re-introduced a new telecardiology system in early 2010 after the first telemedicine project was abandoned in 1997 due to implementation and adoption challenges (Yew et al., 2014). Nevertheless, the lack of official reports is apparent regarding the feasibility of the current project and telecardiology acceptance in Malaysia’s post-project implementation.</w:t>
      </w:r>
    </w:p>
    <w:p w:rsidR="00E67A03" w:rsidRDefault="006D4EFE" w:rsidP="006D4EFE">
      <w:pPr>
        <w:spacing w:after="0" w:line="240" w:lineRule="auto"/>
        <w:ind w:firstLine="708"/>
        <w:jc w:val="both"/>
        <w:rPr>
          <w:sz w:val="24"/>
          <w:szCs w:val="24"/>
        </w:rPr>
      </w:pPr>
      <w:r w:rsidRPr="006D4EFE">
        <w:rPr>
          <w:sz w:val="24"/>
          <w:szCs w:val="24"/>
        </w:rPr>
        <w:t xml:space="preserve">Although some previous studies reported the user’s factors that contributed to the success of telemedicine acceptance in Malaysia (Zailani, Gilani, Nikbin, &amp; Iranmanesh, 2014), but there is a lack of empirical study which specifically emphasize on the factors contributed to acceptance of telecardiology. Users’ acceptance and their attitudes are the important determinants to promote the embracement of telemedicine (Broens et al., 2007). User acceptance is one of the most significant determinants in technology adoption (Davis, 1989). The reluctance displayed by users in accepting technology will lead to the phenomenon of ICT underutilization across the health sector. Failure to integrate telemedicine into the health and business landscapes has also resulted in many abandoned systems after their adoption (Yellowlees, 1997) which can result in substantial losses in time, money and effort. Thus, the implementers should initiate necessary steps to modify user’s attitudes upon the establishment of their current knowledge and stance. The purpose of this study is to explore </w:t>
      </w:r>
      <w:r w:rsidRPr="006D4EFE">
        <w:rPr>
          <w:sz w:val="24"/>
          <w:szCs w:val="24"/>
        </w:rPr>
        <w:lastRenderedPageBreak/>
        <w:t>the readiness and acceptance of telecardiology among the public population and healthcare practitioners in Malaysia. This will assist in enhancing the capacity for resources utilization in the near future and predict any issues during the implementation phase, as well as their rectification by using the recommended criteria identified in this study.</w:t>
      </w:r>
    </w:p>
    <w:p w:rsidR="006D4EFE" w:rsidRPr="00E67A03" w:rsidRDefault="006D4EFE" w:rsidP="00DB717B">
      <w:pPr>
        <w:spacing w:after="0" w:line="240" w:lineRule="auto"/>
        <w:jc w:val="center"/>
        <w:rPr>
          <w:sz w:val="24"/>
          <w:szCs w:val="24"/>
        </w:rPr>
      </w:pPr>
    </w:p>
    <w:p w:rsidR="00E67A03" w:rsidRDefault="006D4EFE" w:rsidP="00DB717B">
      <w:pPr>
        <w:spacing w:after="0" w:line="240" w:lineRule="auto"/>
        <w:jc w:val="center"/>
        <w:rPr>
          <w:sz w:val="24"/>
          <w:szCs w:val="24"/>
        </w:rPr>
      </w:pPr>
      <w:r>
        <w:rPr>
          <w:sz w:val="24"/>
          <w:szCs w:val="24"/>
        </w:rPr>
        <w:t>HYPOTHESIS DEVELOPMENT</w:t>
      </w:r>
    </w:p>
    <w:p w:rsidR="006D4EFE" w:rsidRDefault="006D4EFE" w:rsidP="006D4EFE">
      <w:pPr>
        <w:spacing w:after="0" w:line="240" w:lineRule="auto"/>
        <w:jc w:val="both"/>
        <w:rPr>
          <w:sz w:val="24"/>
          <w:szCs w:val="24"/>
        </w:rPr>
      </w:pPr>
      <w:r w:rsidRPr="006D4EFE">
        <w:rPr>
          <w:sz w:val="24"/>
          <w:szCs w:val="24"/>
        </w:rPr>
        <w:t>This study evaluated the telecardiology among healthcare providers and receivers through a model which integrates Technology Readiness Index (TRI), Technology Acceptance Model (TAM) and Theory of Planned Behaviour (TPB).</w:t>
      </w:r>
      <w:r w:rsidR="005177FD">
        <w:rPr>
          <w:sz w:val="24"/>
          <w:szCs w:val="24"/>
        </w:rPr>
        <w:t xml:space="preserve"> </w:t>
      </w:r>
      <w:r w:rsidR="005177FD" w:rsidRPr="005177FD">
        <w:rPr>
          <w:sz w:val="24"/>
          <w:szCs w:val="24"/>
        </w:rPr>
        <w:t>Some studies have indicated TAM and TRI to be complementary to the TPB model as they are capable of evaluating beliefs about technology in view of telecardiology adoption. Meanwhile, TPB generally reports on the behavioral factors that influence the intention to embrace health-related behavior.</w:t>
      </w:r>
    </w:p>
    <w:p w:rsidR="006D4EFE" w:rsidRDefault="006D4EFE" w:rsidP="00DB717B">
      <w:pPr>
        <w:spacing w:after="0" w:line="240" w:lineRule="auto"/>
        <w:jc w:val="center"/>
        <w:rPr>
          <w:sz w:val="24"/>
          <w:szCs w:val="24"/>
        </w:rPr>
      </w:pPr>
    </w:p>
    <w:p w:rsidR="002D5C05" w:rsidRDefault="006D4EFE" w:rsidP="006D4EFE">
      <w:pPr>
        <w:spacing w:after="0" w:line="240" w:lineRule="auto"/>
        <w:rPr>
          <w:i/>
          <w:sz w:val="24"/>
          <w:szCs w:val="24"/>
        </w:rPr>
      </w:pPr>
      <w:r w:rsidRPr="006D4EFE">
        <w:rPr>
          <w:i/>
          <w:sz w:val="24"/>
          <w:szCs w:val="24"/>
        </w:rPr>
        <w:t xml:space="preserve">Technology Readiness Index  </w:t>
      </w:r>
    </w:p>
    <w:p w:rsidR="005177FD" w:rsidRPr="005177FD" w:rsidRDefault="005177FD" w:rsidP="005177FD">
      <w:pPr>
        <w:spacing w:after="0" w:line="240" w:lineRule="auto"/>
        <w:jc w:val="both"/>
        <w:rPr>
          <w:sz w:val="24"/>
          <w:szCs w:val="24"/>
        </w:rPr>
      </w:pPr>
      <w:r w:rsidRPr="005177FD">
        <w:rPr>
          <w:sz w:val="24"/>
          <w:szCs w:val="24"/>
        </w:rPr>
        <w:t xml:space="preserve">Parasuraman (2000) has proposed the TRI model to measure the readiness of an individual to apply technology via the combination of personal positive and negative beliefs towards the technology. The model has been widely used in different contexts to study technology adoption behavior, particularly in the domain of e-services (Parasuraman </w:t>
      </w:r>
      <w:r w:rsidR="00642E77">
        <w:rPr>
          <w:sz w:val="24"/>
          <w:szCs w:val="24"/>
        </w:rPr>
        <w:t xml:space="preserve">&amp; </w:t>
      </w:r>
      <w:r w:rsidRPr="005177FD">
        <w:rPr>
          <w:sz w:val="24"/>
          <w:szCs w:val="24"/>
        </w:rPr>
        <w:t>Colby</w:t>
      </w:r>
      <w:r w:rsidR="00642E77">
        <w:rPr>
          <w:sz w:val="24"/>
          <w:szCs w:val="24"/>
        </w:rPr>
        <w:t>,</w:t>
      </w:r>
      <w:r w:rsidRPr="005177FD">
        <w:rPr>
          <w:sz w:val="24"/>
          <w:szCs w:val="24"/>
        </w:rPr>
        <w:t xml:space="preserve"> 2015). Past studies have conclusively identified various antecedents that can affect the acceptance of technology, but there are a limited number of studies that report on the effects of personal traits in technology acceptance. Although these personal traits typically do not directly impact on technology acceptance, they often display a significant indirect relationship with users’ perceptions. Therefore, they may potentially and eventually contribute to technology acceptance or usage intentions and behaviors (Koivisto et al.</w:t>
      </w:r>
      <w:r w:rsidR="000749BC">
        <w:rPr>
          <w:sz w:val="24"/>
          <w:szCs w:val="24"/>
        </w:rPr>
        <w:t>,</w:t>
      </w:r>
      <w:r w:rsidRPr="005177FD">
        <w:rPr>
          <w:sz w:val="24"/>
          <w:szCs w:val="24"/>
        </w:rPr>
        <w:t xml:space="preserve"> 2016). </w:t>
      </w:r>
    </w:p>
    <w:p w:rsidR="005177FD" w:rsidRPr="005177FD" w:rsidRDefault="005177FD" w:rsidP="005177FD">
      <w:pPr>
        <w:spacing w:after="0" w:line="240" w:lineRule="auto"/>
        <w:ind w:firstLine="708"/>
        <w:jc w:val="both"/>
        <w:rPr>
          <w:sz w:val="24"/>
          <w:szCs w:val="24"/>
        </w:rPr>
      </w:pPr>
      <w:r w:rsidRPr="005177FD">
        <w:rPr>
          <w:sz w:val="24"/>
          <w:szCs w:val="24"/>
        </w:rPr>
        <w:t>Prior studies have integrated TRI with other technology adoption models to explain the roles played by personality traits towards technology acceptance, such as Technology Acceptance Model (TAM), Unified Theory Of Acceptance, Use of Technology (UTAUT), and the Expectation-Confirmation Model (Hallikainen</w:t>
      </w:r>
      <w:r w:rsidR="000749BC">
        <w:rPr>
          <w:sz w:val="24"/>
          <w:szCs w:val="24"/>
        </w:rPr>
        <w:t xml:space="preserve"> &amp;</w:t>
      </w:r>
      <w:r w:rsidRPr="005177FD">
        <w:rPr>
          <w:sz w:val="24"/>
          <w:szCs w:val="24"/>
        </w:rPr>
        <w:t xml:space="preserve"> Laukkanen</w:t>
      </w:r>
      <w:r w:rsidR="000749BC">
        <w:rPr>
          <w:sz w:val="24"/>
          <w:szCs w:val="24"/>
        </w:rPr>
        <w:t>,</w:t>
      </w:r>
      <w:r w:rsidRPr="005177FD">
        <w:rPr>
          <w:sz w:val="24"/>
          <w:szCs w:val="24"/>
        </w:rPr>
        <w:t xml:space="preserve"> 2016). TRI, in particular, categorizes the readiness-for-use constructs into the drivers and facilitators of technology adoption, underlining the four dimensions of optimism, innovativeness, discomfort, and insecurity. Optimism is one of the drivers that leads to the adoption of new technology, illustrating one’s positive belief for technology in enhancing the control, flexibility, and efficiency in their lives. Meanwhile, innovativeness refers to one’s motivation to experiment with new technology and champion technology adoption, whereas discomfort and insecurity are two dimensions that address factors inhibiting technology readiness. Discomfort can be defined as the perception of lack of control over the technology and the feeling of being oppressed by it, while the insecurity dimension reflects one’s distrust of technology and skepticism of its ability to function properly (Parasuraman and Colby</w:t>
      </w:r>
      <w:r w:rsidR="000749BC">
        <w:rPr>
          <w:sz w:val="24"/>
          <w:szCs w:val="24"/>
        </w:rPr>
        <w:t>,</w:t>
      </w:r>
      <w:r w:rsidRPr="005177FD">
        <w:rPr>
          <w:sz w:val="24"/>
          <w:szCs w:val="24"/>
        </w:rPr>
        <w:t xml:space="preserve"> 201</w:t>
      </w:r>
      <w:r w:rsidR="000749BC">
        <w:rPr>
          <w:sz w:val="24"/>
          <w:szCs w:val="24"/>
        </w:rPr>
        <w:t>5</w:t>
      </w:r>
      <w:r w:rsidRPr="005177FD">
        <w:rPr>
          <w:sz w:val="24"/>
          <w:szCs w:val="24"/>
        </w:rPr>
        <w:t xml:space="preserve">). </w:t>
      </w:r>
    </w:p>
    <w:p w:rsidR="006D4EFE" w:rsidRDefault="005177FD" w:rsidP="005177FD">
      <w:pPr>
        <w:spacing w:after="0" w:line="240" w:lineRule="auto"/>
        <w:ind w:firstLine="708"/>
        <w:jc w:val="both"/>
        <w:rPr>
          <w:sz w:val="24"/>
          <w:szCs w:val="24"/>
        </w:rPr>
      </w:pPr>
      <w:r w:rsidRPr="005177FD">
        <w:rPr>
          <w:sz w:val="24"/>
          <w:szCs w:val="24"/>
        </w:rPr>
        <w:t>Then, Lin and his colleagues (2007) have successfully integrated the TRI into TAM to examine the effects of technology readiness constructs on perceived usefulness and perceived ease of use in the adoption of the e-service system. The results have suggested that technology readiness is significantly associated with perceived usefulness and behavioral intention. Their subsequent work also further confirms the mediating effect of perceived usefulness on the relationship between technology readiness and continuance intention for mobile services (Chen, Liu</w:t>
      </w:r>
      <w:r w:rsidR="000749BC">
        <w:rPr>
          <w:sz w:val="24"/>
          <w:szCs w:val="24"/>
        </w:rPr>
        <w:t xml:space="preserve"> &amp; </w:t>
      </w:r>
      <w:r w:rsidRPr="005177FD">
        <w:rPr>
          <w:sz w:val="24"/>
          <w:szCs w:val="24"/>
        </w:rPr>
        <w:t>Lin</w:t>
      </w:r>
      <w:r w:rsidR="000749BC">
        <w:rPr>
          <w:sz w:val="24"/>
          <w:szCs w:val="24"/>
        </w:rPr>
        <w:t>,</w:t>
      </w:r>
      <w:r w:rsidRPr="005177FD">
        <w:rPr>
          <w:sz w:val="24"/>
          <w:szCs w:val="24"/>
        </w:rPr>
        <w:t xml:space="preserve"> 2013). Rather than examining the aggregated effects of technology readiness, the individual effects of every TRI constructs on perceived usefulness and perceived ease of use have proposed that the dimensions of optimism and innovativeness </w:t>
      </w:r>
      <w:r w:rsidRPr="005177FD">
        <w:rPr>
          <w:sz w:val="24"/>
          <w:szCs w:val="24"/>
        </w:rPr>
        <w:lastRenderedPageBreak/>
        <w:t xml:space="preserve">resulted in positive effects on the two variables. In contrast, discomfort and insecurity influence the TAM constructs negatively (Godoe </w:t>
      </w:r>
      <w:r w:rsidR="000749BC">
        <w:rPr>
          <w:sz w:val="24"/>
          <w:szCs w:val="24"/>
        </w:rPr>
        <w:t>&amp;</w:t>
      </w:r>
      <w:r w:rsidRPr="005177FD">
        <w:rPr>
          <w:sz w:val="24"/>
          <w:szCs w:val="24"/>
        </w:rPr>
        <w:t xml:space="preserve"> Johansen</w:t>
      </w:r>
      <w:r w:rsidR="000749BC">
        <w:rPr>
          <w:sz w:val="24"/>
          <w:szCs w:val="24"/>
        </w:rPr>
        <w:t xml:space="preserve">, </w:t>
      </w:r>
      <w:r w:rsidRPr="005177FD">
        <w:rPr>
          <w:sz w:val="24"/>
          <w:szCs w:val="24"/>
        </w:rPr>
        <w:t xml:space="preserve">2012). Besides, a particular research (Lin </w:t>
      </w:r>
      <w:r w:rsidR="006468FF">
        <w:rPr>
          <w:sz w:val="24"/>
          <w:szCs w:val="24"/>
        </w:rPr>
        <w:t>&amp;</w:t>
      </w:r>
      <w:r w:rsidRPr="005177FD">
        <w:rPr>
          <w:sz w:val="24"/>
          <w:szCs w:val="24"/>
        </w:rPr>
        <w:t xml:space="preserve"> Chang</w:t>
      </w:r>
      <w:r w:rsidR="006468FF">
        <w:rPr>
          <w:sz w:val="24"/>
          <w:szCs w:val="24"/>
        </w:rPr>
        <w:t>,</w:t>
      </w:r>
      <w:r w:rsidRPr="005177FD">
        <w:rPr>
          <w:sz w:val="24"/>
          <w:szCs w:val="24"/>
        </w:rPr>
        <w:t xml:space="preserve"> 2011) has indicated that technology readiness enhances the variables of perceived usefulness and perceived ease of use among customers in self-service technologies. TRI integration into TAM is linked with promoting the explanatory power of perceived usefulness, perceived ease of use and intention of technology adoption (Koivisto et al. 2016). Based on the literature, hypotheses for this work were formulated to examine the relationship between technology readiness constructs with perceived usefulness, perceived ease of use, and usage intention, respectively.</w:t>
      </w:r>
    </w:p>
    <w:p w:rsidR="005177FD" w:rsidRDefault="005177FD" w:rsidP="006D4EFE">
      <w:pPr>
        <w:spacing w:after="0" w:line="240" w:lineRule="auto"/>
        <w:jc w:val="both"/>
        <w:rPr>
          <w:sz w:val="24"/>
          <w:szCs w:val="24"/>
        </w:rPr>
      </w:pPr>
    </w:p>
    <w:p w:rsidR="006D4EFE" w:rsidRPr="006D4EFE" w:rsidRDefault="006D4EFE" w:rsidP="006D4EFE">
      <w:pPr>
        <w:spacing w:after="0" w:line="240" w:lineRule="auto"/>
        <w:jc w:val="both"/>
        <w:rPr>
          <w:sz w:val="24"/>
          <w:szCs w:val="24"/>
        </w:rPr>
      </w:pPr>
      <w:r w:rsidRPr="006D4EFE">
        <w:rPr>
          <w:sz w:val="24"/>
          <w:szCs w:val="24"/>
        </w:rPr>
        <w:t>H</w:t>
      </w:r>
      <w:r w:rsidRPr="00CC2F81">
        <w:rPr>
          <w:sz w:val="24"/>
          <w:szCs w:val="24"/>
          <w:vertAlign w:val="subscript"/>
        </w:rPr>
        <w:t>1</w:t>
      </w:r>
      <w:r w:rsidRPr="006D4EFE">
        <w:rPr>
          <w:sz w:val="24"/>
          <w:szCs w:val="24"/>
        </w:rPr>
        <w:t xml:space="preserve">: Optimism has a significant effect on the </w:t>
      </w:r>
      <w:r w:rsidR="00826983">
        <w:rPr>
          <w:sz w:val="24"/>
          <w:szCs w:val="24"/>
        </w:rPr>
        <w:t>perceived usefulness</w:t>
      </w:r>
      <w:r w:rsidRPr="006D4EFE">
        <w:rPr>
          <w:sz w:val="24"/>
          <w:szCs w:val="24"/>
        </w:rPr>
        <w:t xml:space="preserve"> of telecardiology. </w:t>
      </w:r>
    </w:p>
    <w:p w:rsidR="006D4EFE" w:rsidRPr="006D4EFE" w:rsidRDefault="006D4EFE" w:rsidP="006D4EFE">
      <w:pPr>
        <w:spacing w:after="0" w:line="240" w:lineRule="auto"/>
        <w:jc w:val="both"/>
        <w:rPr>
          <w:sz w:val="24"/>
          <w:szCs w:val="24"/>
        </w:rPr>
      </w:pPr>
      <w:r w:rsidRPr="006D4EFE">
        <w:rPr>
          <w:sz w:val="24"/>
          <w:szCs w:val="24"/>
        </w:rPr>
        <w:t>H</w:t>
      </w:r>
      <w:r w:rsidRPr="00CC2F81">
        <w:rPr>
          <w:sz w:val="24"/>
          <w:szCs w:val="24"/>
          <w:vertAlign w:val="subscript"/>
        </w:rPr>
        <w:t>2</w:t>
      </w:r>
      <w:r w:rsidRPr="006D4EFE">
        <w:rPr>
          <w:sz w:val="24"/>
          <w:szCs w:val="24"/>
        </w:rPr>
        <w:t xml:space="preserve">: Optimism has a significant effect on the </w:t>
      </w:r>
      <w:r w:rsidR="00826983">
        <w:rPr>
          <w:sz w:val="24"/>
          <w:szCs w:val="24"/>
        </w:rPr>
        <w:t>perceived ease of use</w:t>
      </w:r>
      <w:r w:rsidRPr="006D4EFE">
        <w:rPr>
          <w:sz w:val="24"/>
          <w:szCs w:val="24"/>
        </w:rPr>
        <w:t xml:space="preserve"> of telecardiology. </w:t>
      </w:r>
    </w:p>
    <w:p w:rsidR="006D4EFE" w:rsidRPr="006D4EFE" w:rsidRDefault="006D4EFE" w:rsidP="006D4EFE">
      <w:pPr>
        <w:spacing w:after="0" w:line="240" w:lineRule="auto"/>
        <w:jc w:val="both"/>
        <w:rPr>
          <w:sz w:val="24"/>
          <w:szCs w:val="24"/>
        </w:rPr>
      </w:pPr>
      <w:r w:rsidRPr="006D4EFE">
        <w:rPr>
          <w:sz w:val="24"/>
          <w:szCs w:val="24"/>
        </w:rPr>
        <w:t>H</w:t>
      </w:r>
      <w:r w:rsidRPr="00CC2F81">
        <w:rPr>
          <w:sz w:val="24"/>
          <w:szCs w:val="24"/>
          <w:vertAlign w:val="subscript"/>
        </w:rPr>
        <w:t>3</w:t>
      </w:r>
      <w:r w:rsidRPr="006D4EFE">
        <w:rPr>
          <w:sz w:val="24"/>
          <w:szCs w:val="24"/>
        </w:rPr>
        <w:t xml:space="preserve">: Innovativeness has a significant effect on the </w:t>
      </w:r>
      <w:r w:rsidR="00826983">
        <w:rPr>
          <w:sz w:val="24"/>
          <w:szCs w:val="24"/>
        </w:rPr>
        <w:t>perceived usefulness</w:t>
      </w:r>
      <w:r w:rsidRPr="006D4EFE">
        <w:rPr>
          <w:sz w:val="24"/>
          <w:szCs w:val="24"/>
        </w:rPr>
        <w:t xml:space="preserve"> of telecardiology. </w:t>
      </w:r>
    </w:p>
    <w:p w:rsidR="006D4EFE" w:rsidRPr="006D4EFE" w:rsidRDefault="006D4EFE" w:rsidP="006D4EFE">
      <w:pPr>
        <w:spacing w:after="0" w:line="240" w:lineRule="auto"/>
        <w:jc w:val="both"/>
        <w:rPr>
          <w:sz w:val="24"/>
          <w:szCs w:val="24"/>
        </w:rPr>
      </w:pPr>
      <w:r w:rsidRPr="006D4EFE">
        <w:rPr>
          <w:sz w:val="24"/>
          <w:szCs w:val="24"/>
        </w:rPr>
        <w:t>H</w:t>
      </w:r>
      <w:r w:rsidRPr="00CC2F81">
        <w:rPr>
          <w:sz w:val="24"/>
          <w:szCs w:val="24"/>
          <w:vertAlign w:val="subscript"/>
        </w:rPr>
        <w:t>4</w:t>
      </w:r>
      <w:r w:rsidRPr="006D4EFE">
        <w:rPr>
          <w:sz w:val="24"/>
          <w:szCs w:val="24"/>
        </w:rPr>
        <w:t xml:space="preserve">: Innovativeness has a significant effect on the </w:t>
      </w:r>
      <w:r w:rsidR="00826983">
        <w:rPr>
          <w:sz w:val="24"/>
          <w:szCs w:val="24"/>
        </w:rPr>
        <w:t>perceived ease of use</w:t>
      </w:r>
      <w:r w:rsidR="00826983" w:rsidRPr="006D4EFE">
        <w:rPr>
          <w:sz w:val="24"/>
          <w:szCs w:val="24"/>
        </w:rPr>
        <w:t xml:space="preserve"> </w:t>
      </w:r>
      <w:r w:rsidRPr="006D4EFE">
        <w:rPr>
          <w:sz w:val="24"/>
          <w:szCs w:val="24"/>
        </w:rPr>
        <w:t xml:space="preserve">of telecardiology. </w:t>
      </w:r>
    </w:p>
    <w:p w:rsidR="006D4EFE" w:rsidRPr="006D4EFE" w:rsidRDefault="006D4EFE" w:rsidP="006D4EFE">
      <w:pPr>
        <w:spacing w:after="0" w:line="240" w:lineRule="auto"/>
        <w:jc w:val="both"/>
        <w:rPr>
          <w:sz w:val="24"/>
          <w:szCs w:val="24"/>
        </w:rPr>
      </w:pPr>
      <w:r w:rsidRPr="006D4EFE">
        <w:rPr>
          <w:sz w:val="24"/>
          <w:szCs w:val="24"/>
        </w:rPr>
        <w:t>H</w:t>
      </w:r>
      <w:r w:rsidRPr="00CC2F81">
        <w:rPr>
          <w:sz w:val="24"/>
          <w:szCs w:val="24"/>
          <w:vertAlign w:val="subscript"/>
        </w:rPr>
        <w:t>5</w:t>
      </w:r>
      <w:r w:rsidRPr="006D4EFE">
        <w:rPr>
          <w:sz w:val="24"/>
          <w:szCs w:val="24"/>
        </w:rPr>
        <w:t xml:space="preserve">: Discomfort has a significant effect on the </w:t>
      </w:r>
      <w:r w:rsidR="00826983">
        <w:rPr>
          <w:sz w:val="24"/>
          <w:szCs w:val="24"/>
        </w:rPr>
        <w:t>perceived usefulness</w:t>
      </w:r>
      <w:r w:rsidRPr="006D4EFE">
        <w:rPr>
          <w:sz w:val="24"/>
          <w:szCs w:val="24"/>
        </w:rPr>
        <w:t xml:space="preserve"> of telecardiology. </w:t>
      </w:r>
    </w:p>
    <w:p w:rsidR="006D4EFE" w:rsidRPr="006D4EFE" w:rsidRDefault="006D4EFE" w:rsidP="006D4EFE">
      <w:pPr>
        <w:spacing w:after="0" w:line="240" w:lineRule="auto"/>
        <w:jc w:val="both"/>
        <w:rPr>
          <w:sz w:val="24"/>
          <w:szCs w:val="24"/>
        </w:rPr>
      </w:pPr>
      <w:r w:rsidRPr="006D4EFE">
        <w:rPr>
          <w:sz w:val="24"/>
          <w:szCs w:val="24"/>
        </w:rPr>
        <w:t>H</w:t>
      </w:r>
      <w:r w:rsidRPr="00CC2F81">
        <w:rPr>
          <w:sz w:val="24"/>
          <w:szCs w:val="24"/>
          <w:vertAlign w:val="subscript"/>
        </w:rPr>
        <w:t>6</w:t>
      </w:r>
      <w:r w:rsidRPr="006D4EFE">
        <w:rPr>
          <w:sz w:val="24"/>
          <w:szCs w:val="24"/>
        </w:rPr>
        <w:t xml:space="preserve">: Discomfort has a significant effect on the </w:t>
      </w:r>
      <w:r w:rsidR="00826983">
        <w:rPr>
          <w:sz w:val="24"/>
          <w:szCs w:val="24"/>
        </w:rPr>
        <w:t>perceived ease of use</w:t>
      </w:r>
      <w:r w:rsidR="00826983" w:rsidRPr="006D4EFE">
        <w:rPr>
          <w:sz w:val="24"/>
          <w:szCs w:val="24"/>
        </w:rPr>
        <w:t xml:space="preserve"> </w:t>
      </w:r>
      <w:r w:rsidRPr="006D4EFE">
        <w:rPr>
          <w:sz w:val="24"/>
          <w:szCs w:val="24"/>
        </w:rPr>
        <w:t xml:space="preserve">of telecardiology. </w:t>
      </w:r>
    </w:p>
    <w:p w:rsidR="006D4EFE" w:rsidRPr="006D4EFE" w:rsidRDefault="006D4EFE" w:rsidP="006D4EFE">
      <w:pPr>
        <w:spacing w:after="0" w:line="240" w:lineRule="auto"/>
        <w:jc w:val="both"/>
        <w:rPr>
          <w:sz w:val="24"/>
          <w:szCs w:val="24"/>
        </w:rPr>
      </w:pPr>
      <w:r w:rsidRPr="006D4EFE">
        <w:rPr>
          <w:sz w:val="24"/>
          <w:szCs w:val="24"/>
        </w:rPr>
        <w:t>H</w:t>
      </w:r>
      <w:r w:rsidRPr="00CC2F81">
        <w:rPr>
          <w:sz w:val="24"/>
          <w:szCs w:val="24"/>
          <w:vertAlign w:val="subscript"/>
        </w:rPr>
        <w:t>7</w:t>
      </w:r>
      <w:r w:rsidRPr="006D4EFE">
        <w:rPr>
          <w:sz w:val="24"/>
          <w:szCs w:val="24"/>
        </w:rPr>
        <w:t xml:space="preserve">: Insecurity has a significant effect on the </w:t>
      </w:r>
      <w:r w:rsidR="00826983">
        <w:rPr>
          <w:sz w:val="24"/>
          <w:szCs w:val="24"/>
        </w:rPr>
        <w:t>perceived usefulness</w:t>
      </w:r>
      <w:r w:rsidRPr="006D4EFE">
        <w:rPr>
          <w:sz w:val="24"/>
          <w:szCs w:val="24"/>
        </w:rPr>
        <w:t xml:space="preserve"> of telecardiology. </w:t>
      </w:r>
    </w:p>
    <w:p w:rsidR="006D4EFE" w:rsidRDefault="006D4EFE" w:rsidP="006D4EFE">
      <w:pPr>
        <w:spacing w:after="0" w:line="240" w:lineRule="auto"/>
        <w:jc w:val="both"/>
        <w:rPr>
          <w:sz w:val="24"/>
          <w:szCs w:val="24"/>
        </w:rPr>
      </w:pPr>
      <w:r w:rsidRPr="006D4EFE">
        <w:rPr>
          <w:sz w:val="24"/>
          <w:szCs w:val="24"/>
        </w:rPr>
        <w:t>H</w:t>
      </w:r>
      <w:r w:rsidRPr="00CC2F81">
        <w:rPr>
          <w:sz w:val="24"/>
          <w:szCs w:val="24"/>
          <w:vertAlign w:val="subscript"/>
        </w:rPr>
        <w:t>8</w:t>
      </w:r>
      <w:r w:rsidRPr="006D4EFE">
        <w:rPr>
          <w:sz w:val="24"/>
          <w:szCs w:val="24"/>
        </w:rPr>
        <w:t xml:space="preserve">: Insecurity has a significant effect on the </w:t>
      </w:r>
      <w:r w:rsidR="00826983">
        <w:rPr>
          <w:sz w:val="24"/>
          <w:szCs w:val="24"/>
        </w:rPr>
        <w:t>perceived ease of use</w:t>
      </w:r>
      <w:r w:rsidRPr="006D4EFE">
        <w:rPr>
          <w:sz w:val="24"/>
          <w:szCs w:val="24"/>
        </w:rPr>
        <w:t xml:space="preserve"> of telecardiology.</w:t>
      </w:r>
    </w:p>
    <w:p w:rsidR="006D4EFE" w:rsidRDefault="006D4EFE" w:rsidP="006D4EFE">
      <w:pPr>
        <w:spacing w:after="0" w:line="240" w:lineRule="auto"/>
        <w:jc w:val="both"/>
        <w:rPr>
          <w:sz w:val="24"/>
          <w:szCs w:val="24"/>
        </w:rPr>
      </w:pPr>
    </w:p>
    <w:p w:rsidR="006D4EFE" w:rsidRPr="006D4EFE" w:rsidRDefault="006D4EFE" w:rsidP="006D4EFE">
      <w:pPr>
        <w:spacing w:after="0" w:line="240" w:lineRule="auto"/>
        <w:rPr>
          <w:i/>
          <w:sz w:val="24"/>
          <w:szCs w:val="24"/>
        </w:rPr>
      </w:pPr>
      <w:r w:rsidRPr="006D4EFE">
        <w:rPr>
          <w:i/>
          <w:sz w:val="24"/>
          <w:szCs w:val="24"/>
        </w:rPr>
        <w:t>Technology Acceptance Model</w:t>
      </w:r>
    </w:p>
    <w:p w:rsidR="005177FD" w:rsidRPr="005177FD" w:rsidRDefault="005177FD" w:rsidP="005177FD">
      <w:pPr>
        <w:spacing w:after="0" w:line="240" w:lineRule="auto"/>
        <w:jc w:val="both"/>
        <w:rPr>
          <w:sz w:val="24"/>
          <w:szCs w:val="24"/>
        </w:rPr>
      </w:pPr>
      <w:r w:rsidRPr="005177FD">
        <w:rPr>
          <w:sz w:val="24"/>
          <w:szCs w:val="24"/>
        </w:rPr>
        <w:t xml:space="preserve">The Technology Acceptance Model (TAM) was developed by Davis (1989) to explain computer usage behavior and the general determinants of computer acceptance. Due to the increasing number of studies that test TAM in the scope of healthcare technology acceptance, the model is subsequently portrayed as a suitable theory in explaining users’ behavior in accepting healthcare innovation (Holden </w:t>
      </w:r>
      <w:r w:rsidR="006468FF">
        <w:rPr>
          <w:sz w:val="24"/>
          <w:szCs w:val="24"/>
        </w:rPr>
        <w:t>&amp;</w:t>
      </w:r>
      <w:r w:rsidRPr="005177FD">
        <w:rPr>
          <w:sz w:val="24"/>
          <w:szCs w:val="24"/>
        </w:rPr>
        <w:t xml:space="preserve"> Karsh</w:t>
      </w:r>
      <w:r w:rsidR="006468FF">
        <w:rPr>
          <w:sz w:val="24"/>
          <w:szCs w:val="24"/>
        </w:rPr>
        <w:t>,</w:t>
      </w:r>
      <w:r w:rsidRPr="005177FD">
        <w:rPr>
          <w:sz w:val="24"/>
          <w:szCs w:val="24"/>
        </w:rPr>
        <w:t xml:space="preserve"> 2010).  </w:t>
      </w:r>
    </w:p>
    <w:p w:rsidR="005177FD" w:rsidRDefault="005177FD" w:rsidP="005177FD">
      <w:pPr>
        <w:spacing w:after="0" w:line="240" w:lineRule="auto"/>
        <w:ind w:firstLine="708"/>
        <w:jc w:val="both"/>
        <w:rPr>
          <w:sz w:val="24"/>
          <w:szCs w:val="24"/>
        </w:rPr>
      </w:pPr>
      <w:r w:rsidRPr="005177FD">
        <w:rPr>
          <w:sz w:val="24"/>
          <w:szCs w:val="24"/>
        </w:rPr>
        <w:t>The TAM models the relationships between users’ beliefs about technology use, attitudes toward using technology and intentions to use technology accordingly. It has underlined two beliefs regarding technology use, which are perceived usefulness and perceived ease of use. Davis (1989) defined perceived usefulness as the extent to which a person believes that using technology would enhance their performance and productivity. Meanwhile, perceived ease of use refers to the degree to which a user perceives that using technology will be unburdened by any physical and mental effort. Perceived ease of use significantly influences the user’s perceived usefulness, whereas both determinants contribute to users’ attitudes towards technology</w:t>
      </w:r>
      <w:r w:rsidR="00A702F4">
        <w:rPr>
          <w:sz w:val="24"/>
          <w:szCs w:val="24"/>
        </w:rPr>
        <w:t xml:space="preserve"> </w:t>
      </w:r>
      <w:r w:rsidR="00A702F4" w:rsidRPr="005177FD">
        <w:rPr>
          <w:sz w:val="24"/>
          <w:szCs w:val="24"/>
        </w:rPr>
        <w:t>(Davis</w:t>
      </w:r>
      <w:r w:rsidR="00A702F4">
        <w:rPr>
          <w:sz w:val="24"/>
          <w:szCs w:val="24"/>
        </w:rPr>
        <w:t>,</w:t>
      </w:r>
      <w:r w:rsidR="00A702F4" w:rsidRPr="005177FD">
        <w:rPr>
          <w:sz w:val="24"/>
          <w:szCs w:val="24"/>
        </w:rPr>
        <w:t xml:space="preserve"> 1989)</w:t>
      </w:r>
      <w:r w:rsidRPr="005177FD">
        <w:rPr>
          <w:sz w:val="24"/>
          <w:szCs w:val="24"/>
        </w:rPr>
        <w:t xml:space="preserve">. A favorable attitude towards technology usage will most likely result in a positive intention for technology adoption. </w:t>
      </w:r>
    </w:p>
    <w:p w:rsidR="006D4EFE" w:rsidRDefault="005177FD" w:rsidP="005177FD">
      <w:pPr>
        <w:spacing w:after="0" w:line="240" w:lineRule="auto"/>
        <w:ind w:firstLine="708"/>
        <w:jc w:val="both"/>
        <w:rPr>
          <w:sz w:val="24"/>
          <w:szCs w:val="24"/>
        </w:rPr>
      </w:pPr>
      <w:r w:rsidRPr="005177FD">
        <w:rPr>
          <w:sz w:val="24"/>
          <w:szCs w:val="24"/>
        </w:rPr>
        <w:t xml:space="preserve">In many circumstances, behavioral intention is the only measured outcome as intention is the most contiguous antecedent to technology acceptance, and sometimes the actual use of technology is difficult to be measured (Chau </w:t>
      </w:r>
      <w:r w:rsidR="00A702F4">
        <w:rPr>
          <w:sz w:val="24"/>
          <w:szCs w:val="24"/>
        </w:rPr>
        <w:t>&amp;</w:t>
      </w:r>
      <w:r w:rsidRPr="005177FD">
        <w:rPr>
          <w:sz w:val="24"/>
          <w:szCs w:val="24"/>
        </w:rPr>
        <w:t xml:space="preserve"> Hu</w:t>
      </w:r>
      <w:r w:rsidR="00A702F4">
        <w:rPr>
          <w:sz w:val="24"/>
          <w:szCs w:val="24"/>
        </w:rPr>
        <w:t>,</w:t>
      </w:r>
      <w:r w:rsidRPr="005177FD">
        <w:rPr>
          <w:sz w:val="24"/>
          <w:szCs w:val="24"/>
        </w:rPr>
        <w:t xml:space="preserve"> 2002). Regardless, the theory indicates attitude as a subjective evaluation of the behavior, in which users with a more positive attitude are more likely to develop the intention for a behavior (Ajzen</w:t>
      </w:r>
      <w:r w:rsidR="00A702F4">
        <w:rPr>
          <w:sz w:val="24"/>
          <w:szCs w:val="24"/>
        </w:rPr>
        <w:t>,</w:t>
      </w:r>
      <w:r w:rsidRPr="005177FD">
        <w:rPr>
          <w:sz w:val="24"/>
          <w:szCs w:val="24"/>
        </w:rPr>
        <w:t xml:space="preserve"> 1991). Based on the review made by Holden and Karsh (2010) on TAM application in the healthcare industry, the findings have strongly suggested the significant influence of attitude on the intention to use. Wu and his colleagues (2007) have also pointed out that a healthcare professional’s intention to use technology can be predicted using perceived usefulness and perceived ease of use.</w:t>
      </w:r>
    </w:p>
    <w:p w:rsidR="005177FD" w:rsidRDefault="005177FD" w:rsidP="006D4EFE">
      <w:pPr>
        <w:spacing w:after="0" w:line="240" w:lineRule="auto"/>
        <w:jc w:val="both"/>
        <w:rPr>
          <w:sz w:val="24"/>
          <w:szCs w:val="24"/>
        </w:rPr>
      </w:pPr>
    </w:p>
    <w:p w:rsidR="006D4EFE" w:rsidRPr="006D4EFE" w:rsidRDefault="006D4EFE" w:rsidP="006D4EFE">
      <w:pPr>
        <w:spacing w:after="0" w:line="240" w:lineRule="auto"/>
        <w:jc w:val="both"/>
        <w:rPr>
          <w:sz w:val="24"/>
          <w:szCs w:val="24"/>
        </w:rPr>
      </w:pPr>
      <w:r w:rsidRPr="006D4EFE">
        <w:rPr>
          <w:sz w:val="24"/>
          <w:szCs w:val="24"/>
        </w:rPr>
        <w:t>H</w:t>
      </w:r>
      <w:r w:rsidRPr="00CC2F81">
        <w:rPr>
          <w:sz w:val="24"/>
          <w:szCs w:val="24"/>
          <w:vertAlign w:val="subscript"/>
        </w:rPr>
        <w:t>9</w:t>
      </w:r>
      <w:r w:rsidRPr="006D4EFE">
        <w:rPr>
          <w:sz w:val="24"/>
          <w:szCs w:val="24"/>
        </w:rPr>
        <w:t xml:space="preserve">: </w:t>
      </w:r>
      <w:r w:rsidR="00826983">
        <w:rPr>
          <w:sz w:val="24"/>
          <w:szCs w:val="24"/>
        </w:rPr>
        <w:t>P</w:t>
      </w:r>
      <w:r w:rsidR="00826983">
        <w:rPr>
          <w:sz w:val="24"/>
          <w:szCs w:val="24"/>
        </w:rPr>
        <w:t>erceived ease of use</w:t>
      </w:r>
      <w:r w:rsidRPr="006D4EFE">
        <w:rPr>
          <w:sz w:val="24"/>
          <w:szCs w:val="24"/>
        </w:rPr>
        <w:t xml:space="preserve"> has a significant effect on the </w:t>
      </w:r>
      <w:r w:rsidR="00826983">
        <w:rPr>
          <w:sz w:val="24"/>
          <w:szCs w:val="24"/>
        </w:rPr>
        <w:t>perceived usefulness</w:t>
      </w:r>
      <w:r w:rsidRPr="006D4EFE">
        <w:rPr>
          <w:sz w:val="24"/>
          <w:szCs w:val="24"/>
        </w:rPr>
        <w:t xml:space="preserve"> of telecardiology.</w:t>
      </w:r>
    </w:p>
    <w:p w:rsidR="006D4EFE" w:rsidRPr="006D4EFE" w:rsidRDefault="006D4EFE" w:rsidP="006D4EFE">
      <w:pPr>
        <w:spacing w:after="0" w:line="240" w:lineRule="auto"/>
        <w:jc w:val="both"/>
        <w:rPr>
          <w:sz w:val="24"/>
          <w:szCs w:val="24"/>
        </w:rPr>
      </w:pPr>
      <w:r w:rsidRPr="006D4EFE">
        <w:rPr>
          <w:sz w:val="24"/>
          <w:szCs w:val="24"/>
        </w:rPr>
        <w:lastRenderedPageBreak/>
        <w:t>H</w:t>
      </w:r>
      <w:r w:rsidRPr="00CC2F81">
        <w:rPr>
          <w:sz w:val="24"/>
          <w:szCs w:val="24"/>
          <w:vertAlign w:val="subscript"/>
        </w:rPr>
        <w:t>10</w:t>
      </w:r>
      <w:r w:rsidRPr="006D4EFE">
        <w:rPr>
          <w:sz w:val="24"/>
          <w:szCs w:val="24"/>
        </w:rPr>
        <w:t xml:space="preserve">: </w:t>
      </w:r>
      <w:r w:rsidR="00826983">
        <w:rPr>
          <w:sz w:val="24"/>
          <w:szCs w:val="24"/>
        </w:rPr>
        <w:t>P</w:t>
      </w:r>
      <w:r w:rsidR="00826983">
        <w:rPr>
          <w:sz w:val="24"/>
          <w:szCs w:val="24"/>
        </w:rPr>
        <w:t>erceived ease of use</w:t>
      </w:r>
      <w:r w:rsidRPr="006D4EFE">
        <w:rPr>
          <w:sz w:val="24"/>
          <w:szCs w:val="24"/>
        </w:rPr>
        <w:t xml:space="preserve"> has a significant effect on the attitude of telecardiology</w:t>
      </w:r>
      <w:r w:rsidR="005177FD">
        <w:rPr>
          <w:sz w:val="24"/>
          <w:szCs w:val="24"/>
        </w:rPr>
        <w:t xml:space="preserve"> use</w:t>
      </w:r>
      <w:r w:rsidRPr="006D4EFE">
        <w:rPr>
          <w:sz w:val="24"/>
          <w:szCs w:val="24"/>
        </w:rPr>
        <w:t xml:space="preserve">. </w:t>
      </w:r>
    </w:p>
    <w:p w:rsidR="006D4EFE" w:rsidRPr="006D4EFE" w:rsidRDefault="006D4EFE" w:rsidP="006D4EFE">
      <w:pPr>
        <w:spacing w:after="0" w:line="240" w:lineRule="auto"/>
        <w:jc w:val="both"/>
        <w:rPr>
          <w:sz w:val="24"/>
          <w:szCs w:val="24"/>
        </w:rPr>
      </w:pPr>
      <w:r w:rsidRPr="006D4EFE">
        <w:rPr>
          <w:sz w:val="24"/>
          <w:szCs w:val="24"/>
        </w:rPr>
        <w:t>H</w:t>
      </w:r>
      <w:r w:rsidRPr="00CC2F81">
        <w:rPr>
          <w:sz w:val="24"/>
          <w:szCs w:val="24"/>
          <w:vertAlign w:val="subscript"/>
        </w:rPr>
        <w:t>11</w:t>
      </w:r>
      <w:r w:rsidRPr="006D4EFE">
        <w:rPr>
          <w:sz w:val="24"/>
          <w:szCs w:val="24"/>
        </w:rPr>
        <w:t xml:space="preserve">: </w:t>
      </w:r>
      <w:r w:rsidR="00F43528">
        <w:rPr>
          <w:sz w:val="24"/>
          <w:szCs w:val="24"/>
        </w:rPr>
        <w:t>P</w:t>
      </w:r>
      <w:r w:rsidR="00F43528">
        <w:rPr>
          <w:sz w:val="24"/>
          <w:szCs w:val="24"/>
        </w:rPr>
        <w:t>erceived usefulness</w:t>
      </w:r>
      <w:r w:rsidRPr="006D4EFE">
        <w:rPr>
          <w:sz w:val="24"/>
          <w:szCs w:val="24"/>
        </w:rPr>
        <w:t xml:space="preserve"> has a significant effect on the attitude of </w:t>
      </w:r>
      <w:r w:rsidR="005177FD" w:rsidRPr="006D4EFE">
        <w:rPr>
          <w:sz w:val="24"/>
          <w:szCs w:val="24"/>
        </w:rPr>
        <w:t>telecardiology</w:t>
      </w:r>
      <w:r w:rsidR="005177FD">
        <w:rPr>
          <w:sz w:val="24"/>
          <w:szCs w:val="24"/>
        </w:rPr>
        <w:t xml:space="preserve"> use</w:t>
      </w:r>
      <w:r w:rsidRPr="006D4EFE">
        <w:rPr>
          <w:sz w:val="24"/>
          <w:szCs w:val="24"/>
        </w:rPr>
        <w:t xml:space="preserve">. </w:t>
      </w:r>
    </w:p>
    <w:p w:rsidR="006D4EFE" w:rsidRPr="006D4EFE" w:rsidRDefault="006D4EFE" w:rsidP="006D4EFE">
      <w:pPr>
        <w:spacing w:after="0" w:line="240" w:lineRule="auto"/>
        <w:jc w:val="both"/>
        <w:rPr>
          <w:sz w:val="24"/>
          <w:szCs w:val="24"/>
        </w:rPr>
      </w:pPr>
      <w:r w:rsidRPr="006D4EFE">
        <w:rPr>
          <w:sz w:val="24"/>
          <w:szCs w:val="24"/>
        </w:rPr>
        <w:t>H</w:t>
      </w:r>
      <w:r w:rsidRPr="00CC2F81">
        <w:rPr>
          <w:sz w:val="24"/>
          <w:szCs w:val="24"/>
          <w:vertAlign w:val="subscript"/>
        </w:rPr>
        <w:t>12</w:t>
      </w:r>
      <w:r w:rsidRPr="006D4EFE">
        <w:rPr>
          <w:sz w:val="24"/>
          <w:szCs w:val="24"/>
        </w:rPr>
        <w:t xml:space="preserve">: </w:t>
      </w:r>
      <w:r w:rsidR="00F43528">
        <w:rPr>
          <w:sz w:val="24"/>
          <w:szCs w:val="24"/>
        </w:rPr>
        <w:t>P</w:t>
      </w:r>
      <w:r w:rsidR="00F43528">
        <w:rPr>
          <w:sz w:val="24"/>
          <w:szCs w:val="24"/>
        </w:rPr>
        <w:t>erceived usefulness</w:t>
      </w:r>
      <w:r w:rsidR="00F43528" w:rsidRPr="006D4EFE">
        <w:rPr>
          <w:sz w:val="24"/>
          <w:szCs w:val="24"/>
        </w:rPr>
        <w:t xml:space="preserve"> </w:t>
      </w:r>
      <w:r w:rsidRPr="006D4EFE">
        <w:rPr>
          <w:sz w:val="24"/>
          <w:szCs w:val="24"/>
        </w:rPr>
        <w:t xml:space="preserve">has a significant effect on the intention of </w:t>
      </w:r>
      <w:r w:rsidR="005177FD" w:rsidRPr="006D4EFE">
        <w:rPr>
          <w:sz w:val="24"/>
          <w:szCs w:val="24"/>
        </w:rPr>
        <w:t>telecardiology</w:t>
      </w:r>
      <w:r w:rsidR="005177FD">
        <w:rPr>
          <w:sz w:val="24"/>
          <w:szCs w:val="24"/>
        </w:rPr>
        <w:t xml:space="preserve"> use</w:t>
      </w:r>
      <w:r w:rsidRPr="006D4EFE">
        <w:rPr>
          <w:sz w:val="24"/>
          <w:szCs w:val="24"/>
        </w:rPr>
        <w:t xml:space="preserve">. </w:t>
      </w:r>
    </w:p>
    <w:p w:rsidR="006D4EFE" w:rsidRPr="006D4EFE" w:rsidRDefault="006D4EFE" w:rsidP="006D4EFE">
      <w:pPr>
        <w:spacing w:after="0" w:line="240" w:lineRule="auto"/>
        <w:jc w:val="both"/>
        <w:rPr>
          <w:sz w:val="24"/>
          <w:szCs w:val="24"/>
        </w:rPr>
      </w:pPr>
      <w:r w:rsidRPr="006D4EFE">
        <w:rPr>
          <w:sz w:val="24"/>
          <w:szCs w:val="24"/>
        </w:rPr>
        <w:t>H</w:t>
      </w:r>
      <w:r w:rsidRPr="00CC2F81">
        <w:rPr>
          <w:sz w:val="24"/>
          <w:szCs w:val="24"/>
          <w:vertAlign w:val="subscript"/>
        </w:rPr>
        <w:t>13</w:t>
      </w:r>
      <w:r w:rsidRPr="006D4EFE">
        <w:rPr>
          <w:sz w:val="24"/>
          <w:szCs w:val="24"/>
        </w:rPr>
        <w:t xml:space="preserve">: </w:t>
      </w:r>
      <w:r w:rsidR="00826983">
        <w:rPr>
          <w:sz w:val="24"/>
          <w:szCs w:val="24"/>
        </w:rPr>
        <w:t>P</w:t>
      </w:r>
      <w:r w:rsidR="00826983">
        <w:rPr>
          <w:sz w:val="24"/>
          <w:szCs w:val="24"/>
        </w:rPr>
        <w:t>erceived ease of use</w:t>
      </w:r>
      <w:r w:rsidRPr="006D4EFE">
        <w:rPr>
          <w:sz w:val="24"/>
          <w:szCs w:val="24"/>
        </w:rPr>
        <w:t xml:space="preserve"> has a significant effect on the intention of </w:t>
      </w:r>
      <w:r w:rsidR="005177FD" w:rsidRPr="006D4EFE">
        <w:rPr>
          <w:sz w:val="24"/>
          <w:szCs w:val="24"/>
        </w:rPr>
        <w:t>telecardiology</w:t>
      </w:r>
      <w:r w:rsidR="005177FD">
        <w:rPr>
          <w:sz w:val="24"/>
          <w:szCs w:val="24"/>
        </w:rPr>
        <w:t xml:space="preserve"> use</w:t>
      </w:r>
      <w:r w:rsidRPr="006D4EFE">
        <w:rPr>
          <w:sz w:val="24"/>
          <w:szCs w:val="24"/>
        </w:rPr>
        <w:t>.</w:t>
      </w:r>
    </w:p>
    <w:p w:rsidR="006D4EFE" w:rsidRPr="006D4EFE" w:rsidRDefault="006D4EFE" w:rsidP="006D4EFE">
      <w:pPr>
        <w:spacing w:after="0" w:line="240" w:lineRule="auto"/>
        <w:jc w:val="both"/>
        <w:rPr>
          <w:sz w:val="24"/>
          <w:szCs w:val="24"/>
        </w:rPr>
      </w:pPr>
      <w:r w:rsidRPr="006D4EFE">
        <w:rPr>
          <w:sz w:val="24"/>
          <w:szCs w:val="24"/>
        </w:rPr>
        <w:t>H</w:t>
      </w:r>
      <w:r w:rsidRPr="00CC2F81">
        <w:rPr>
          <w:sz w:val="24"/>
          <w:szCs w:val="24"/>
          <w:vertAlign w:val="subscript"/>
        </w:rPr>
        <w:t>14</w:t>
      </w:r>
      <w:r w:rsidRPr="006D4EFE">
        <w:rPr>
          <w:sz w:val="24"/>
          <w:szCs w:val="24"/>
        </w:rPr>
        <w:t xml:space="preserve">: Attitude has a significant effect on the intention of </w:t>
      </w:r>
      <w:r w:rsidR="005177FD" w:rsidRPr="006D4EFE">
        <w:rPr>
          <w:sz w:val="24"/>
          <w:szCs w:val="24"/>
        </w:rPr>
        <w:t>telecardiology</w:t>
      </w:r>
      <w:r w:rsidR="005177FD">
        <w:rPr>
          <w:sz w:val="24"/>
          <w:szCs w:val="24"/>
        </w:rPr>
        <w:t xml:space="preserve"> use</w:t>
      </w:r>
      <w:r w:rsidRPr="006D4EFE">
        <w:rPr>
          <w:sz w:val="24"/>
          <w:szCs w:val="24"/>
        </w:rPr>
        <w:t xml:space="preserve">. </w:t>
      </w:r>
    </w:p>
    <w:p w:rsidR="00E67A03" w:rsidRDefault="00E67A03" w:rsidP="00DB717B">
      <w:pPr>
        <w:spacing w:after="0" w:line="240" w:lineRule="auto"/>
        <w:rPr>
          <w:sz w:val="24"/>
          <w:szCs w:val="24"/>
        </w:rPr>
      </w:pPr>
    </w:p>
    <w:p w:rsidR="006D4EFE" w:rsidRDefault="006D4EFE" w:rsidP="00DB717B">
      <w:pPr>
        <w:spacing w:after="0" w:line="240" w:lineRule="auto"/>
        <w:rPr>
          <w:i/>
          <w:sz w:val="24"/>
          <w:szCs w:val="24"/>
        </w:rPr>
      </w:pPr>
      <w:r w:rsidRPr="006D4EFE">
        <w:rPr>
          <w:i/>
          <w:sz w:val="24"/>
          <w:szCs w:val="24"/>
        </w:rPr>
        <w:t>Theory of Planned Behaviour</w:t>
      </w:r>
    </w:p>
    <w:p w:rsidR="00066958" w:rsidRDefault="005177FD" w:rsidP="006D4EFE">
      <w:pPr>
        <w:spacing w:after="0" w:line="240" w:lineRule="auto"/>
        <w:ind w:firstLine="708"/>
        <w:jc w:val="both"/>
        <w:rPr>
          <w:sz w:val="24"/>
          <w:szCs w:val="24"/>
        </w:rPr>
      </w:pPr>
      <w:r w:rsidRPr="005177FD">
        <w:rPr>
          <w:sz w:val="24"/>
          <w:szCs w:val="24"/>
        </w:rPr>
        <w:t>The Theory of Planned Behaviour (TPB) is a social psychological model that has been successfully applied to predict a wide range of health-related behaviors and intentions (Ajzen</w:t>
      </w:r>
      <w:r w:rsidR="00A702F4">
        <w:rPr>
          <w:sz w:val="24"/>
          <w:szCs w:val="24"/>
        </w:rPr>
        <w:t>,</w:t>
      </w:r>
      <w:r w:rsidRPr="005177FD">
        <w:rPr>
          <w:sz w:val="24"/>
          <w:szCs w:val="24"/>
        </w:rPr>
        <w:t xml:space="preserve"> 1991). Based on the theory, an individual’s behavior can be predicted by the behavioral intention, in which intention refers to the indicator of the extent to which people are willing to try and the amount of effort they are willing to invest to perform an action. It postulates that there are three determinants contributing to the formation of intention, namely attitude towards the behavior, subjective norm, and perceived behavioral control. </w:t>
      </w:r>
    </w:p>
    <w:p w:rsidR="006D4EFE" w:rsidRPr="006D4EFE" w:rsidRDefault="005177FD" w:rsidP="006D4EFE">
      <w:pPr>
        <w:spacing w:after="0" w:line="240" w:lineRule="auto"/>
        <w:ind w:firstLine="708"/>
        <w:jc w:val="both"/>
        <w:rPr>
          <w:sz w:val="24"/>
          <w:szCs w:val="24"/>
        </w:rPr>
      </w:pPr>
      <w:r w:rsidRPr="005177FD">
        <w:rPr>
          <w:sz w:val="24"/>
          <w:szCs w:val="24"/>
        </w:rPr>
        <w:t>Attitude is the degree to which an individual has a favorable or unfavorable evaluation of the behavior, while subjective norm refers to the beliefs for certain people that are important for an individual to approve or disapprove of the behavior. Lastly, perceived behavioral control is defined as an individual’s perception of the ability to perform the behavior. Past studies have investigated the factors that determine people’s intention in telehealth system adoption, which showed that all three determinants exerted significant positive effects on behavioral intention (Chang et al.</w:t>
      </w:r>
      <w:r w:rsidR="00A702F4">
        <w:rPr>
          <w:sz w:val="24"/>
          <w:szCs w:val="24"/>
        </w:rPr>
        <w:t>,</w:t>
      </w:r>
      <w:r w:rsidRPr="005177FD">
        <w:rPr>
          <w:sz w:val="24"/>
          <w:szCs w:val="24"/>
        </w:rPr>
        <w:t xml:space="preserve"> 2015). Furthermore, perceived behavioral control is identified as a significant construct in TPB, which reflects one’s belief regarding the degree of ease or difficulty in performing the behavior; it is assumed to be related to external and internal factors accordingly. Based on limited literature, subjective norm is proposed to influence perceived behavioral control significantly (D</w:t>
      </w:r>
      <w:r w:rsidR="00A702F4">
        <w:rPr>
          <w:sz w:val="24"/>
          <w:szCs w:val="24"/>
        </w:rPr>
        <w:t>inc</w:t>
      </w:r>
      <w:r w:rsidRPr="005177FD">
        <w:rPr>
          <w:sz w:val="24"/>
          <w:szCs w:val="24"/>
        </w:rPr>
        <w:t xml:space="preserve"> </w:t>
      </w:r>
      <w:r w:rsidR="00A702F4">
        <w:rPr>
          <w:sz w:val="24"/>
          <w:szCs w:val="24"/>
        </w:rPr>
        <w:t>&amp;</w:t>
      </w:r>
      <w:r w:rsidRPr="005177FD">
        <w:rPr>
          <w:sz w:val="24"/>
          <w:szCs w:val="24"/>
        </w:rPr>
        <w:t xml:space="preserve"> B</w:t>
      </w:r>
      <w:r w:rsidR="00A702F4">
        <w:rPr>
          <w:sz w:val="24"/>
          <w:szCs w:val="24"/>
        </w:rPr>
        <w:t>udic,</w:t>
      </w:r>
      <w:r w:rsidRPr="005177FD">
        <w:rPr>
          <w:sz w:val="24"/>
          <w:szCs w:val="24"/>
        </w:rPr>
        <w:t xml:space="preserve"> 2016). In other words, social pressure can pose a significant effect on an individual’s belief about their abilities to perform a behavior.</w:t>
      </w:r>
      <w:r w:rsidR="006D4EFE" w:rsidRPr="006D4EFE">
        <w:rPr>
          <w:sz w:val="24"/>
          <w:szCs w:val="24"/>
        </w:rPr>
        <w:t xml:space="preserve">Current study hypothesized that the intention of telecardiology usage is determined by their attitude, subjective norm as well as perceived behavioural control. </w:t>
      </w:r>
    </w:p>
    <w:p w:rsidR="006D4EFE" w:rsidRPr="006D4EFE" w:rsidRDefault="006D4EFE" w:rsidP="006D4EFE">
      <w:pPr>
        <w:spacing w:after="0" w:line="240" w:lineRule="auto"/>
        <w:jc w:val="both"/>
        <w:rPr>
          <w:sz w:val="24"/>
          <w:szCs w:val="24"/>
        </w:rPr>
      </w:pPr>
    </w:p>
    <w:p w:rsidR="006D4EFE" w:rsidRDefault="006D4EFE" w:rsidP="006D4EFE">
      <w:pPr>
        <w:spacing w:after="0" w:line="240" w:lineRule="auto"/>
        <w:jc w:val="both"/>
        <w:rPr>
          <w:sz w:val="24"/>
          <w:szCs w:val="24"/>
        </w:rPr>
      </w:pPr>
      <w:r w:rsidRPr="006D4EFE">
        <w:rPr>
          <w:sz w:val="24"/>
          <w:szCs w:val="24"/>
        </w:rPr>
        <w:t>H</w:t>
      </w:r>
      <w:r w:rsidRPr="00CC2F81">
        <w:rPr>
          <w:sz w:val="24"/>
          <w:szCs w:val="24"/>
          <w:vertAlign w:val="subscript"/>
        </w:rPr>
        <w:t>15</w:t>
      </w:r>
      <w:r w:rsidRPr="006D4EFE">
        <w:rPr>
          <w:sz w:val="24"/>
          <w:szCs w:val="24"/>
        </w:rPr>
        <w:t xml:space="preserve">:Subjective norm has a significant positive effect on the intention of </w:t>
      </w:r>
      <w:r w:rsidR="005177FD" w:rsidRPr="006D4EFE">
        <w:rPr>
          <w:sz w:val="24"/>
          <w:szCs w:val="24"/>
        </w:rPr>
        <w:t>telecardiology</w:t>
      </w:r>
      <w:r w:rsidR="005177FD">
        <w:rPr>
          <w:sz w:val="24"/>
          <w:szCs w:val="24"/>
        </w:rPr>
        <w:t xml:space="preserve"> use</w:t>
      </w:r>
      <w:r w:rsidRPr="006D4EFE">
        <w:rPr>
          <w:sz w:val="24"/>
          <w:szCs w:val="24"/>
        </w:rPr>
        <w:t>.</w:t>
      </w:r>
    </w:p>
    <w:p w:rsidR="006D4EFE" w:rsidRPr="006D4EFE" w:rsidRDefault="006D4EFE" w:rsidP="006D4EFE">
      <w:pPr>
        <w:spacing w:after="0" w:line="240" w:lineRule="auto"/>
        <w:jc w:val="both"/>
        <w:rPr>
          <w:sz w:val="24"/>
          <w:szCs w:val="24"/>
        </w:rPr>
      </w:pPr>
      <w:r>
        <w:rPr>
          <w:sz w:val="24"/>
          <w:szCs w:val="24"/>
        </w:rPr>
        <w:t>H</w:t>
      </w:r>
      <w:r w:rsidRPr="00CC2F81">
        <w:rPr>
          <w:sz w:val="24"/>
          <w:szCs w:val="24"/>
          <w:vertAlign w:val="subscript"/>
        </w:rPr>
        <w:t>16</w:t>
      </w:r>
      <w:r w:rsidR="00452717">
        <w:rPr>
          <w:sz w:val="24"/>
          <w:szCs w:val="24"/>
        </w:rPr>
        <w:t>:</w:t>
      </w:r>
      <w:bookmarkStart w:id="0" w:name="_Hlk70435477"/>
      <w:r w:rsidRPr="006D4EFE">
        <w:rPr>
          <w:sz w:val="24"/>
          <w:szCs w:val="24"/>
        </w:rPr>
        <w:t>P</w:t>
      </w:r>
      <w:r w:rsidR="00826983">
        <w:rPr>
          <w:sz w:val="24"/>
          <w:szCs w:val="24"/>
        </w:rPr>
        <w:t>erceived behavioural control</w:t>
      </w:r>
      <w:r w:rsidRPr="006D4EFE">
        <w:rPr>
          <w:sz w:val="24"/>
          <w:szCs w:val="24"/>
        </w:rPr>
        <w:t xml:space="preserve"> </w:t>
      </w:r>
      <w:bookmarkEnd w:id="0"/>
      <w:r w:rsidRPr="006D4EFE">
        <w:rPr>
          <w:sz w:val="24"/>
          <w:szCs w:val="24"/>
        </w:rPr>
        <w:t xml:space="preserve">has a significant positive effect on the intention of </w:t>
      </w:r>
      <w:r w:rsidR="005177FD" w:rsidRPr="006D4EFE">
        <w:rPr>
          <w:sz w:val="24"/>
          <w:szCs w:val="24"/>
        </w:rPr>
        <w:t>telecardiology</w:t>
      </w:r>
      <w:r w:rsidR="005177FD">
        <w:rPr>
          <w:sz w:val="24"/>
          <w:szCs w:val="24"/>
        </w:rPr>
        <w:t xml:space="preserve"> use</w:t>
      </w:r>
      <w:r w:rsidRPr="006D4EFE">
        <w:rPr>
          <w:sz w:val="24"/>
          <w:szCs w:val="24"/>
        </w:rPr>
        <w:t>.</w:t>
      </w:r>
    </w:p>
    <w:p w:rsidR="006D4EFE" w:rsidRDefault="006D4EFE" w:rsidP="006D4EFE">
      <w:pPr>
        <w:spacing w:after="0" w:line="240" w:lineRule="auto"/>
        <w:jc w:val="both"/>
        <w:rPr>
          <w:sz w:val="24"/>
          <w:szCs w:val="24"/>
        </w:rPr>
      </w:pPr>
      <w:r w:rsidRPr="006D4EFE">
        <w:rPr>
          <w:sz w:val="24"/>
          <w:szCs w:val="24"/>
        </w:rPr>
        <w:t>H</w:t>
      </w:r>
      <w:r w:rsidRPr="00CC2F81">
        <w:rPr>
          <w:sz w:val="24"/>
          <w:szCs w:val="24"/>
          <w:vertAlign w:val="subscript"/>
        </w:rPr>
        <w:t>17</w:t>
      </w:r>
      <w:r w:rsidRPr="006D4EFE">
        <w:rPr>
          <w:sz w:val="24"/>
          <w:szCs w:val="24"/>
        </w:rPr>
        <w:t xml:space="preserve">:Subjective norm has a significant positive effect on the </w:t>
      </w:r>
      <w:r w:rsidR="00826983">
        <w:rPr>
          <w:sz w:val="24"/>
          <w:szCs w:val="24"/>
        </w:rPr>
        <w:t>p</w:t>
      </w:r>
      <w:r w:rsidR="00826983">
        <w:rPr>
          <w:sz w:val="24"/>
          <w:szCs w:val="24"/>
        </w:rPr>
        <w:t>erceived behavioural control</w:t>
      </w:r>
      <w:r w:rsidRPr="006D4EFE">
        <w:rPr>
          <w:sz w:val="24"/>
          <w:szCs w:val="24"/>
        </w:rPr>
        <w:t xml:space="preserve"> in adoption of telecardiology.</w:t>
      </w:r>
    </w:p>
    <w:p w:rsidR="00452717" w:rsidRDefault="00452717" w:rsidP="006D4EFE">
      <w:pPr>
        <w:spacing w:after="0" w:line="240" w:lineRule="auto"/>
        <w:jc w:val="both"/>
        <w:rPr>
          <w:sz w:val="24"/>
          <w:szCs w:val="24"/>
        </w:rPr>
      </w:pPr>
    </w:p>
    <w:p w:rsidR="00452717" w:rsidRDefault="00452717" w:rsidP="00452717">
      <w:pPr>
        <w:spacing w:after="0" w:line="240" w:lineRule="auto"/>
        <w:jc w:val="center"/>
        <w:rPr>
          <w:sz w:val="24"/>
          <w:szCs w:val="24"/>
        </w:rPr>
      </w:pPr>
      <w:r>
        <w:rPr>
          <w:noProof/>
          <w:sz w:val="24"/>
          <w:szCs w:val="24"/>
        </w:rPr>
        <w:drawing>
          <wp:inline distT="0" distB="0" distL="0" distR="0">
            <wp:extent cx="4419600" cy="1694375"/>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JMS_FIGURE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43697" cy="1703613"/>
                    </a:xfrm>
                    <a:prstGeom prst="rect">
                      <a:avLst/>
                    </a:prstGeom>
                  </pic:spPr>
                </pic:pic>
              </a:graphicData>
            </a:graphic>
          </wp:inline>
        </w:drawing>
      </w:r>
    </w:p>
    <w:p w:rsidR="00452717" w:rsidRPr="00452717" w:rsidRDefault="00452717" w:rsidP="00452717">
      <w:pPr>
        <w:spacing w:after="0" w:line="240" w:lineRule="auto"/>
        <w:jc w:val="center"/>
        <w:rPr>
          <w:sz w:val="20"/>
          <w:szCs w:val="24"/>
        </w:rPr>
      </w:pPr>
      <w:r w:rsidRPr="00452717">
        <w:rPr>
          <w:sz w:val="20"/>
          <w:szCs w:val="24"/>
        </w:rPr>
        <w:t>Figure 1. Proposed research model for telecardiology adoption in Malaysia</w:t>
      </w:r>
    </w:p>
    <w:p w:rsidR="006D4EFE" w:rsidRPr="00E67A03" w:rsidRDefault="006D4EFE" w:rsidP="00DB717B">
      <w:pPr>
        <w:spacing w:after="0" w:line="240" w:lineRule="auto"/>
        <w:rPr>
          <w:sz w:val="24"/>
          <w:szCs w:val="24"/>
        </w:rPr>
      </w:pPr>
    </w:p>
    <w:p w:rsidR="00E67A03" w:rsidRDefault="00E67A03" w:rsidP="00DB717B">
      <w:pPr>
        <w:spacing w:after="0" w:line="240" w:lineRule="auto"/>
        <w:jc w:val="center"/>
        <w:rPr>
          <w:sz w:val="24"/>
          <w:szCs w:val="24"/>
        </w:rPr>
      </w:pPr>
      <w:r w:rsidRPr="00E67A03">
        <w:rPr>
          <w:sz w:val="24"/>
          <w:szCs w:val="24"/>
        </w:rPr>
        <w:lastRenderedPageBreak/>
        <w:t>METHODOLOGY</w:t>
      </w:r>
    </w:p>
    <w:p w:rsidR="00452717" w:rsidRDefault="00452717" w:rsidP="00452717">
      <w:pPr>
        <w:spacing w:after="0" w:line="240" w:lineRule="auto"/>
        <w:jc w:val="both"/>
        <w:rPr>
          <w:sz w:val="24"/>
          <w:szCs w:val="24"/>
        </w:rPr>
      </w:pPr>
      <w:r w:rsidRPr="00452717">
        <w:rPr>
          <w:sz w:val="24"/>
          <w:szCs w:val="24"/>
        </w:rPr>
        <w:t>In understanding the perspectives of healthcare providers and receivers towards the use of telecardiology, the data were collected using the survey method. A cross-sectional study design was employed to examine the determinants that influenced the Malaysian population intention towards telecardiology application.</w:t>
      </w:r>
      <w:r w:rsidR="00066958">
        <w:rPr>
          <w:sz w:val="24"/>
          <w:szCs w:val="24"/>
        </w:rPr>
        <w:t xml:space="preserve"> </w:t>
      </w:r>
      <w:r w:rsidR="00066958" w:rsidRPr="00066958">
        <w:rPr>
          <w:sz w:val="24"/>
          <w:szCs w:val="24"/>
        </w:rPr>
        <w:t>Such design was advantageous as it allowed data collection to be undertaken within a shorter time frame and was appropriate to examine the current attitudes, beliefs, opinions or practices. It could also be applied in state-wide or national studies for the purpose of gaining a deeper understanding regarding the issue across a larger geographical area (Creswell</w:t>
      </w:r>
      <w:r w:rsidR="00A702F4">
        <w:rPr>
          <w:sz w:val="24"/>
          <w:szCs w:val="24"/>
        </w:rPr>
        <w:t>,</w:t>
      </w:r>
      <w:r w:rsidR="00066958" w:rsidRPr="00066958">
        <w:rPr>
          <w:sz w:val="24"/>
          <w:szCs w:val="24"/>
        </w:rPr>
        <w:t xml:space="preserve"> 2014).</w:t>
      </w:r>
    </w:p>
    <w:p w:rsidR="00452717" w:rsidRDefault="00452717" w:rsidP="00452717">
      <w:pPr>
        <w:spacing w:after="0" w:line="240" w:lineRule="auto"/>
        <w:jc w:val="both"/>
        <w:rPr>
          <w:sz w:val="24"/>
          <w:szCs w:val="24"/>
        </w:rPr>
      </w:pPr>
    </w:p>
    <w:p w:rsidR="00452717" w:rsidRPr="00452717" w:rsidRDefault="00452717" w:rsidP="00452717">
      <w:pPr>
        <w:spacing w:after="0" w:line="240" w:lineRule="auto"/>
        <w:jc w:val="both"/>
        <w:rPr>
          <w:i/>
          <w:sz w:val="24"/>
          <w:szCs w:val="24"/>
        </w:rPr>
      </w:pPr>
      <w:r w:rsidRPr="00452717">
        <w:rPr>
          <w:i/>
          <w:sz w:val="24"/>
          <w:szCs w:val="24"/>
        </w:rPr>
        <w:t>Ethical Statement</w:t>
      </w:r>
    </w:p>
    <w:p w:rsidR="00452717" w:rsidRDefault="00452717" w:rsidP="00452717">
      <w:pPr>
        <w:spacing w:after="0" w:line="240" w:lineRule="auto"/>
        <w:jc w:val="both"/>
        <w:rPr>
          <w:sz w:val="24"/>
          <w:szCs w:val="24"/>
        </w:rPr>
      </w:pPr>
      <w:r w:rsidRPr="00452717">
        <w:rPr>
          <w:sz w:val="24"/>
          <w:szCs w:val="24"/>
        </w:rPr>
        <w:t>This study is registered under National Medical Research Register (NMRR) as required by the National Institute of Health (NIH) guideline on the conduct of research. The approval (reference number: NMRR-16-1857-32503) to conduct study focuses on the acceptance of telecardiology was granted by the NIH, Ministry of Health (MOH), Malaysia. The data were collected from four public hospitals with heart surgery centres and the National Heart Institute in Malaysia.</w:t>
      </w:r>
      <w:r w:rsidR="00066958">
        <w:rPr>
          <w:sz w:val="24"/>
          <w:szCs w:val="24"/>
        </w:rPr>
        <w:t xml:space="preserve"> </w:t>
      </w:r>
      <w:r w:rsidR="00066958" w:rsidRPr="00066958">
        <w:rPr>
          <w:sz w:val="24"/>
          <w:szCs w:val="24"/>
        </w:rPr>
        <w:t>In obtaining the consent, information regarding the purpose of the study and the desired population was explained carefully to the managerial personnel and the clinical research centers. The ethical approvals were obtained from the directors of the hospitals and clinical research center before the distribution of the questionnaire was initiated. All relevant ethical safeguards inclusive of ethical consideration and subject protection were appropriately achieved. Prior to their participation, the participants were briefed regarding the purpose of the research and their rights of participation, while also informed about the anonymity of their involvement consent and responses.</w:t>
      </w:r>
    </w:p>
    <w:p w:rsidR="00066958" w:rsidRDefault="00066958" w:rsidP="00452717">
      <w:pPr>
        <w:spacing w:after="0" w:line="240" w:lineRule="auto"/>
        <w:jc w:val="both"/>
        <w:rPr>
          <w:i/>
          <w:sz w:val="24"/>
          <w:szCs w:val="24"/>
        </w:rPr>
      </w:pPr>
    </w:p>
    <w:p w:rsidR="00452717" w:rsidRPr="00452717" w:rsidRDefault="00452717" w:rsidP="00452717">
      <w:pPr>
        <w:spacing w:after="0" w:line="240" w:lineRule="auto"/>
        <w:jc w:val="both"/>
        <w:rPr>
          <w:i/>
          <w:sz w:val="24"/>
          <w:szCs w:val="24"/>
        </w:rPr>
      </w:pPr>
      <w:r w:rsidRPr="00452717">
        <w:rPr>
          <w:i/>
          <w:sz w:val="24"/>
          <w:szCs w:val="24"/>
        </w:rPr>
        <w:t xml:space="preserve">Research Instrument  </w:t>
      </w:r>
    </w:p>
    <w:p w:rsidR="00066958" w:rsidRDefault="00066958" w:rsidP="00452717">
      <w:pPr>
        <w:spacing w:after="0" w:line="240" w:lineRule="auto"/>
        <w:jc w:val="both"/>
        <w:rPr>
          <w:sz w:val="24"/>
          <w:szCs w:val="24"/>
        </w:rPr>
      </w:pPr>
      <w:r w:rsidRPr="00066958">
        <w:rPr>
          <w:sz w:val="24"/>
          <w:szCs w:val="24"/>
        </w:rPr>
        <w:t>Data for this study were collected using a survey, which consisted of a carefully designed questionnaire adopted to assess the healthcare providers’ and receivers’ intention in telecardiology adoption and the antecedents that contributed to such intention. The questionnaire was comprised of four parts: the first part assessed the personality traits that could influence telecardiology acceptance, in which the items were adapted from TRI (Parasuraman</w:t>
      </w:r>
      <w:r w:rsidR="00A702F4">
        <w:rPr>
          <w:sz w:val="24"/>
          <w:szCs w:val="24"/>
        </w:rPr>
        <w:t>,</w:t>
      </w:r>
      <w:r w:rsidRPr="00066958">
        <w:rPr>
          <w:sz w:val="24"/>
          <w:szCs w:val="24"/>
        </w:rPr>
        <w:t xml:space="preserve"> 2000). The second part of the questionnaire was adapted from the TAM (Davis</w:t>
      </w:r>
      <w:r w:rsidR="00A702F4">
        <w:rPr>
          <w:sz w:val="24"/>
          <w:szCs w:val="24"/>
        </w:rPr>
        <w:t>,</w:t>
      </w:r>
      <w:r w:rsidRPr="00066958">
        <w:rPr>
          <w:sz w:val="24"/>
          <w:szCs w:val="24"/>
        </w:rPr>
        <w:t xml:space="preserve"> 1989) and aimed to examine the respondents’ beliefs on telecardiology application. Then, the third part consisted of items adapted from the TPB (Ajzen</w:t>
      </w:r>
      <w:r w:rsidR="00A702F4">
        <w:rPr>
          <w:sz w:val="24"/>
          <w:szCs w:val="24"/>
        </w:rPr>
        <w:t>,</w:t>
      </w:r>
      <w:r w:rsidRPr="00066958">
        <w:rPr>
          <w:sz w:val="24"/>
          <w:szCs w:val="24"/>
        </w:rPr>
        <w:t xml:space="preserve"> 1991) that studied the constructs of intention, attitude, subjective norm, and behavioral control. The items in the questionnaire were reviewed and validated by an experienced educational psychologist. The last part of this questionnaire covered the demographic profile of respondents. The questionnaire used in this study was trilingual; the items were also translated into Mandarin and Bahasa Malaysia as Malaysia is a multi-racial and multi-lingual country.</w:t>
      </w:r>
    </w:p>
    <w:p w:rsidR="00452717" w:rsidRPr="00452717" w:rsidRDefault="00066958" w:rsidP="00066958">
      <w:pPr>
        <w:spacing w:after="0" w:line="240" w:lineRule="auto"/>
        <w:ind w:firstLine="708"/>
        <w:jc w:val="both"/>
        <w:rPr>
          <w:sz w:val="24"/>
          <w:szCs w:val="24"/>
        </w:rPr>
      </w:pPr>
      <w:r w:rsidRPr="00066958">
        <w:rPr>
          <w:sz w:val="24"/>
          <w:szCs w:val="24"/>
        </w:rPr>
        <w:t>Prior to the formal distribution of the questionnaire, the items of different constructs were tested to ensure that they were clearly described and could be easily understood by the respondents. Exploratory factor analysis (EFA) and reliability test were subsequently conducted to remove any items having low reliability and non-validity</w:t>
      </w:r>
      <w:r w:rsidR="00452717" w:rsidRPr="00452717">
        <w:rPr>
          <w:sz w:val="24"/>
          <w:szCs w:val="24"/>
        </w:rPr>
        <w:t xml:space="preserve"> (Yeo, Al-Ashwal, Handayani, &amp; Lee, 2019). </w:t>
      </w:r>
      <w:r w:rsidRPr="00066958">
        <w:rPr>
          <w:sz w:val="24"/>
          <w:szCs w:val="24"/>
        </w:rPr>
        <w:t>A Cronbach’s alpha score above .75 generally represents a scale of high reliability, while a score of .5 to .75 is considered to be of a moderately reliable scale (Hinton</w:t>
      </w:r>
      <w:r w:rsidR="00A702F4">
        <w:rPr>
          <w:sz w:val="24"/>
          <w:szCs w:val="24"/>
        </w:rPr>
        <w:t>,</w:t>
      </w:r>
      <w:r w:rsidRPr="00066958">
        <w:rPr>
          <w:sz w:val="24"/>
          <w:szCs w:val="24"/>
        </w:rPr>
        <w:t xml:space="preserve"> McMurray</w:t>
      </w:r>
      <w:r w:rsidR="00A702F4">
        <w:rPr>
          <w:sz w:val="24"/>
          <w:szCs w:val="24"/>
        </w:rPr>
        <w:t xml:space="preserve"> &amp; Brownlow,</w:t>
      </w:r>
      <w:r w:rsidRPr="00066958">
        <w:rPr>
          <w:sz w:val="24"/>
          <w:szCs w:val="24"/>
        </w:rPr>
        <w:t xml:space="preserve"> 2014)</w:t>
      </w:r>
      <w:r>
        <w:rPr>
          <w:sz w:val="24"/>
          <w:szCs w:val="24"/>
        </w:rPr>
        <w:t xml:space="preserve">. </w:t>
      </w:r>
      <w:r w:rsidR="00452717" w:rsidRPr="00452717">
        <w:rPr>
          <w:sz w:val="24"/>
          <w:szCs w:val="24"/>
        </w:rPr>
        <w:t xml:space="preserve">The internal consistency reliability based on </w:t>
      </w:r>
      <w:r w:rsidR="00452717" w:rsidRPr="00452717">
        <w:rPr>
          <w:sz w:val="24"/>
          <w:szCs w:val="24"/>
        </w:rPr>
        <w:lastRenderedPageBreak/>
        <w:t>Cronbach’s alpha for all constructs in the questionnaire ranged from .644 to .979 and was considered as acceptable to good.</w:t>
      </w:r>
    </w:p>
    <w:p w:rsidR="00452717" w:rsidRPr="00452717" w:rsidRDefault="00452717" w:rsidP="00452717">
      <w:pPr>
        <w:spacing w:after="0" w:line="240" w:lineRule="auto"/>
        <w:jc w:val="both"/>
        <w:rPr>
          <w:i/>
          <w:sz w:val="24"/>
          <w:szCs w:val="24"/>
        </w:rPr>
      </w:pPr>
      <w:r w:rsidRPr="00452717">
        <w:rPr>
          <w:i/>
          <w:sz w:val="24"/>
          <w:szCs w:val="24"/>
        </w:rPr>
        <w:t xml:space="preserve">Participants </w:t>
      </w:r>
    </w:p>
    <w:p w:rsidR="00452717" w:rsidRDefault="00452717" w:rsidP="00452717">
      <w:pPr>
        <w:spacing w:after="0" w:line="240" w:lineRule="auto"/>
        <w:jc w:val="both"/>
        <w:rPr>
          <w:sz w:val="24"/>
          <w:szCs w:val="24"/>
        </w:rPr>
      </w:pPr>
      <w:r w:rsidRPr="00452717">
        <w:rPr>
          <w:sz w:val="24"/>
          <w:szCs w:val="24"/>
        </w:rPr>
        <w:t xml:space="preserve">The sample population are recruited through convenience sampling method which consisted of potential users of telecardiology made up of healthcare providers and receivers. The healthcare receivers consisted of the public population and CVD patients who used the technology in their daily lives, whereas the healthcare providers who responded were the cardiologists, general physicians, nurses and support staffs in the selected participating locations. The process of sample selection was illustrated in figure 2. Respondents were given options to respond to a paper-based or web-based survey. The data collected from survey were carefully handled and keep in secured database which ensures anonymity and confidentiality of the participants.   </w:t>
      </w:r>
    </w:p>
    <w:p w:rsidR="00452717" w:rsidRDefault="00452717" w:rsidP="00452717">
      <w:pPr>
        <w:spacing w:after="0" w:line="240" w:lineRule="auto"/>
        <w:jc w:val="both"/>
        <w:rPr>
          <w:sz w:val="24"/>
          <w:szCs w:val="24"/>
        </w:rPr>
      </w:pPr>
    </w:p>
    <w:p w:rsidR="00452717" w:rsidRDefault="00452717" w:rsidP="00452717">
      <w:pPr>
        <w:spacing w:after="0" w:line="240" w:lineRule="auto"/>
        <w:jc w:val="center"/>
        <w:rPr>
          <w:sz w:val="24"/>
          <w:szCs w:val="24"/>
        </w:rPr>
      </w:pPr>
      <w:r>
        <w:rPr>
          <w:noProof/>
          <w:sz w:val="24"/>
          <w:szCs w:val="24"/>
        </w:rPr>
        <w:drawing>
          <wp:inline distT="0" distB="0" distL="0" distR="0">
            <wp:extent cx="4046220" cy="4150396"/>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JMS_FIGURE2.tif"/>
                    <pic:cNvPicPr/>
                  </pic:nvPicPr>
                  <pic:blipFill rotWithShape="1">
                    <a:blip r:embed="rId9">
                      <a:extLst>
                        <a:ext uri="{28A0092B-C50C-407E-A947-70E740481C1C}">
                          <a14:useLocalDpi xmlns:a14="http://schemas.microsoft.com/office/drawing/2010/main" val="0"/>
                        </a:ext>
                      </a:extLst>
                    </a:blip>
                    <a:srcRect l="30932" t="2504" r="23376" b="14175"/>
                    <a:stretch/>
                  </pic:blipFill>
                  <pic:spPr bwMode="auto">
                    <a:xfrm>
                      <a:off x="0" y="0"/>
                      <a:ext cx="4082215" cy="4187317"/>
                    </a:xfrm>
                    <a:prstGeom prst="rect">
                      <a:avLst/>
                    </a:prstGeom>
                    <a:ln>
                      <a:noFill/>
                    </a:ln>
                    <a:extLst>
                      <a:ext uri="{53640926-AAD7-44D8-BBD7-CCE9431645EC}">
                        <a14:shadowObscured xmlns:a14="http://schemas.microsoft.com/office/drawing/2010/main"/>
                      </a:ext>
                    </a:extLst>
                  </pic:spPr>
                </pic:pic>
              </a:graphicData>
            </a:graphic>
          </wp:inline>
        </w:drawing>
      </w:r>
    </w:p>
    <w:p w:rsidR="00452717" w:rsidRPr="00452717" w:rsidRDefault="00452717" w:rsidP="00452717">
      <w:pPr>
        <w:spacing w:after="0" w:line="240" w:lineRule="auto"/>
        <w:jc w:val="center"/>
        <w:rPr>
          <w:sz w:val="20"/>
          <w:szCs w:val="24"/>
        </w:rPr>
      </w:pPr>
      <w:r w:rsidRPr="00452717">
        <w:rPr>
          <w:sz w:val="20"/>
          <w:szCs w:val="24"/>
        </w:rPr>
        <w:t>Figure 2. Study flow diagram of participant recruitment procedure</w:t>
      </w:r>
    </w:p>
    <w:p w:rsidR="00E67A03" w:rsidRPr="00E67A03" w:rsidRDefault="00E67A03" w:rsidP="00DB717B">
      <w:pPr>
        <w:spacing w:after="0" w:line="240" w:lineRule="auto"/>
        <w:jc w:val="center"/>
        <w:rPr>
          <w:sz w:val="24"/>
          <w:szCs w:val="24"/>
        </w:rPr>
      </w:pPr>
    </w:p>
    <w:p w:rsidR="00066958" w:rsidRDefault="00066958" w:rsidP="00066958">
      <w:pPr>
        <w:spacing w:after="0" w:line="240" w:lineRule="auto"/>
        <w:rPr>
          <w:i/>
          <w:sz w:val="24"/>
          <w:szCs w:val="24"/>
        </w:rPr>
      </w:pPr>
      <w:r>
        <w:rPr>
          <w:i/>
          <w:sz w:val="24"/>
          <w:szCs w:val="24"/>
        </w:rPr>
        <w:t xml:space="preserve">Statistical Analysis </w:t>
      </w:r>
    </w:p>
    <w:p w:rsidR="00066958" w:rsidRDefault="00066958" w:rsidP="00066958">
      <w:pPr>
        <w:spacing w:after="0" w:line="240" w:lineRule="auto"/>
        <w:jc w:val="both"/>
        <w:rPr>
          <w:sz w:val="24"/>
          <w:szCs w:val="24"/>
        </w:rPr>
      </w:pPr>
      <w:r w:rsidRPr="00066958">
        <w:rPr>
          <w:sz w:val="24"/>
          <w:szCs w:val="24"/>
        </w:rPr>
        <w:t xml:space="preserve">The data collected were analyzed using the IBM SPSS Statistics and AMOS software, in which the data preparation and preliminary analysis phase were completed by using SPSS. Meanwhile, AMOS was used for a two-step approach for Structural Equation Modelling (SEM), whereby SEM was employed as the analysis method due to multiple reasons. SEM utilization was justified by: (a) its ability to examine a series of dependent relationships simultaneously, especially the direct and indirect effects among the constructs; (b) its analysis regarding the relationships between the latent and observed variables; (c) its demonstration of random errors in observed variables; and (d) its examination of latent variables using multiple indicators and testing hypotheses at the construct level (Hoyle 2011; Teo and Zhou 2014). </w:t>
      </w:r>
      <w:r w:rsidRPr="00066958">
        <w:rPr>
          <w:sz w:val="24"/>
          <w:szCs w:val="24"/>
        </w:rPr>
        <w:lastRenderedPageBreak/>
        <w:t>During the first step of SEM, a Confirmatory Factor Analysis (CFA) was conducted to develop a measurement model, which provided information regarding the extent to which the measured variables were representative of a smaller number of the constructs (Hair et al.</w:t>
      </w:r>
      <w:r w:rsidR="00826983">
        <w:rPr>
          <w:sz w:val="24"/>
          <w:szCs w:val="24"/>
        </w:rPr>
        <w:t>,</w:t>
      </w:r>
      <w:r w:rsidRPr="00066958">
        <w:rPr>
          <w:sz w:val="24"/>
          <w:szCs w:val="24"/>
        </w:rPr>
        <w:t xml:space="preserve"> 2010). In the second step of SEM, the proposed structural model was tested to specify the relationships between the exogenous and endogenous latent variables.  </w:t>
      </w:r>
    </w:p>
    <w:p w:rsidR="00066958" w:rsidRDefault="00066958" w:rsidP="00DB717B">
      <w:pPr>
        <w:spacing w:after="0" w:line="240" w:lineRule="auto"/>
        <w:jc w:val="center"/>
        <w:rPr>
          <w:sz w:val="24"/>
          <w:szCs w:val="24"/>
        </w:rPr>
      </w:pPr>
    </w:p>
    <w:p w:rsidR="00E67A03" w:rsidRDefault="00E67A03" w:rsidP="008E79DD">
      <w:pPr>
        <w:spacing w:after="0" w:line="240" w:lineRule="auto"/>
        <w:jc w:val="center"/>
        <w:rPr>
          <w:sz w:val="24"/>
          <w:szCs w:val="24"/>
        </w:rPr>
      </w:pPr>
      <w:r w:rsidRPr="00E67A03">
        <w:rPr>
          <w:sz w:val="24"/>
          <w:szCs w:val="24"/>
        </w:rPr>
        <w:t>RESULTS</w:t>
      </w:r>
    </w:p>
    <w:p w:rsidR="00452717" w:rsidRDefault="00452717" w:rsidP="00452717">
      <w:pPr>
        <w:spacing w:after="0" w:line="240" w:lineRule="auto"/>
        <w:jc w:val="both"/>
        <w:rPr>
          <w:sz w:val="24"/>
          <w:szCs w:val="24"/>
        </w:rPr>
      </w:pPr>
      <w:r w:rsidRPr="00452717">
        <w:rPr>
          <w:sz w:val="24"/>
          <w:szCs w:val="24"/>
        </w:rPr>
        <w:t>A total of 850 questionnaires were distributed, and 423 valid questionnaires were returned, yielding a response rate of 49.8%. Most of the respondents were female (60.76%), whereas the remaining 166 respondents were male (39.24%). More than 70% (N = 308, N = 336) of the participants were less than 35 years old and had graduated from colleges or universities.</w:t>
      </w:r>
    </w:p>
    <w:p w:rsidR="00452717" w:rsidRDefault="00452717" w:rsidP="00452717">
      <w:pPr>
        <w:spacing w:after="0" w:line="240" w:lineRule="auto"/>
        <w:jc w:val="both"/>
        <w:rPr>
          <w:sz w:val="24"/>
          <w:szCs w:val="24"/>
        </w:rPr>
      </w:pPr>
    </w:p>
    <w:p w:rsidR="00452717" w:rsidRPr="00F45A73" w:rsidRDefault="00F45A73" w:rsidP="00F45A73">
      <w:pPr>
        <w:spacing w:after="0" w:line="240" w:lineRule="auto"/>
        <w:jc w:val="center"/>
        <w:rPr>
          <w:sz w:val="20"/>
          <w:szCs w:val="24"/>
        </w:rPr>
      </w:pPr>
      <w:r w:rsidRPr="00F45A73">
        <w:rPr>
          <w:sz w:val="20"/>
          <w:szCs w:val="24"/>
        </w:rPr>
        <w:t>Table 1. Demographics Profile of the Respondents</w:t>
      </w:r>
    </w:p>
    <w:tbl>
      <w:tblPr>
        <w:tblW w:w="4079" w:type="pct"/>
        <w:jc w:val="center"/>
        <w:tblBorders>
          <w:top w:val="single" w:sz="4" w:space="0" w:color="auto"/>
          <w:insideH w:val="single" w:sz="4" w:space="0" w:color="auto"/>
        </w:tblBorders>
        <w:tblLook w:val="04A0" w:firstRow="1" w:lastRow="0" w:firstColumn="1" w:lastColumn="0" w:noHBand="0" w:noVBand="1"/>
      </w:tblPr>
      <w:tblGrid>
        <w:gridCol w:w="3026"/>
        <w:gridCol w:w="2426"/>
        <w:gridCol w:w="1949"/>
      </w:tblGrid>
      <w:tr w:rsidR="00452717" w:rsidRPr="00452717" w:rsidTr="00F45A73">
        <w:trPr>
          <w:jc w:val="center"/>
        </w:trPr>
        <w:tc>
          <w:tcPr>
            <w:tcW w:w="2044" w:type="pct"/>
            <w:shd w:val="clear" w:color="auto" w:fill="auto"/>
          </w:tcPr>
          <w:p w:rsidR="00452717" w:rsidRPr="00452717" w:rsidRDefault="00452717" w:rsidP="00452717">
            <w:pPr>
              <w:spacing w:after="0" w:line="240" w:lineRule="auto"/>
              <w:jc w:val="both"/>
              <w:rPr>
                <w:b/>
                <w:sz w:val="20"/>
                <w:szCs w:val="20"/>
                <w:lang w:val="en-MY"/>
              </w:rPr>
            </w:pPr>
            <w:r w:rsidRPr="00452717">
              <w:rPr>
                <w:b/>
                <w:sz w:val="20"/>
                <w:szCs w:val="20"/>
                <w:lang w:val="en-MY"/>
              </w:rPr>
              <w:t xml:space="preserve">Variable </w:t>
            </w:r>
          </w:p>
        </w:tc>
        <w:tc>
          <w:tcPr>
            <w:tcW w:w="1639" w:type="pct"/>
            <w:shd w:val="clear" w:color="auto" w:fill="auto"/>
          </w:tcPr>
          <w:p w:rsidR="00452717" w:rsidRPr="00452717" w:rsidRDefault="00452717" w:rsidP="00452717">
            <w:pPr>
              <w:spacing w:after="0" w:line="240" w:lineRule="auto"/>
              <w:jc w:val="both"/>
              <w:rPr>
                <w:b/>
                <w:sz w:val="20"/>
                <w:szCs w:val="20"/>
                <w:lang w:val="en-MY"/>
              </w:rPr>
            </w:pPr>
            <w:r w:rsidRPr="00452717">
              <w:rPr>
                <w:b/>
                <w:sz w:val="20"/>
                <w:szCs w:val="20"/>
                <w:lang w:val="en-MY"/>
              </w:rPr>
              <w:t>Frequency (N)</w:t>
            </w:r>
          </w:p>
        </w:tc>
        <w:tc>
          <w:tcPr>
            <w:tcW w:w="1318" w:type="pct"/>
            <w:shd w:val="clear" w:color="auto" w:fill="auto"/>
          </w:tcPr>
          <w:p w:rsidR="00452717" w:rsidRPr="00452717" w:rsidRDefault="00452717" w:rsidP="00452717">
            <w:pPr>
              <w:spacing w:after="0" w:line="240" w:lineRule="auto"/>
              <w:jc w:val="both"/>
              <w:rPr>
                <w:b/>
                <w:sz w:val="20"/>
                <w:szCs w:val="20"/>
                <w:lang w:val="en-MY"/>
              </w:rPr>
            </w:pPr>
            <w:r w:rsidRPr="00452717">
              <w:rPr>
                <w:b/>
                <w:sz w:val="20"/>
                <w:szCs w:val="20"/>
                <w:lang w:val="en-MY"/>
              </w:rPr>
              <w:t>Percentage (%)</w:t>
            </w:r>
          </w:p>
        </w:tc>
      </w:tr>
      <w:tr w:rsidR="00452717" w:rsidRPr="00452717" w:rsidTr="00F45A73">
        <w:trPr>
          <w:jc w:val="center"/>
        </w:trPr>
        <w:tc>
          <w:tcPr>
            <w:tcW w:w="2044" w:type="pct"/>
            <w:tcBorders>
              <w:bottom w:val="nil"/>
            </w:tcBorders>
            <w:shd w:val="clear" w:color="auto" w:fill="auto"/>
          </w:tcPr>
          <w:p w:rsidR="00452717" w:rsidRPr="00452717" w:rsidRDefault="00452717" w:rsidP="00452717">
            <w:pPr>
              <w:spacing w:after="0" w:line="240" w:lineRule="auto"/>
              <w:jc w:val="both"/>
              <w:rPr>
                <w:b/>
                <w:sz w:val="20"/>
                <w:szCs w:val="20"/>
                <w:lang w:val="en-MY"/>
              </w:rPr>
            </w:pPr>
            <w:r w:rsidRPr="00452717">
              <w:rPr>
                <w:b/>
                <w:sz w:val="20"/>
                <w:szCs w:val="20"/>
                <w:lang w:val="en-MY"/>
              </w:rPr>
              <w:t xml:space="preserve">Gender </w:t>
            </w:r>
          </w:p>
        </w:tc>
        <w:tc>
          <w:tcPr>
            <w:tcW w:w="1639" w:type="pct"/>
            <w:tcBorders>
              <w:bottom w:val="nil"/>
            </w:tcBorders>
            <w:shd w:val="clear" w:color="auto" w:fill="auto"/>
          </w:tcPr>
          <w:p w:rsidR="00452717" w:rsidRPr="00452717" w:rsidRDefault="00452717" w:rsidP="00452717">
            <w:pPr>
              <w:spacing w:after="0" w:line="240" w:lineRule="auto"/>
              <w:jc w:val="both"/>
              <w:rPr>
                <w:sz w:val="20"/>
                <w:szCs w:val="20"/>
                <w:lang w:val="en-MY"/>
              </w:rPr>
            </w:pPr>
          </w:p>
        </w:tc>
        <w:tc>
          <w:tcPr>
            <w:tcW w:w="1318" w:type="pct"/>
            <w:tcBorders>
              <w:bottom w:val="nil"/>
            </w:tcBorders>
            <w:shd w:val="clear" w:color="auto" w:fill="auto"/>
          </w:tcPr>
          <w:p w:rsidR="00452717" w:rsidRPr="00452717" w:rsidRDefault="00452717" w:rsidP="00452717">
            <w:pPr>
              <w:spacing w:after="0" w:line="240" w:lineRule="auto"/>
              <w:jc w:val="both"/>
              <w:rPr>
                <w:sz w:val="20"/>
                <w:szCs w:val="20"/>
                <w:lang w:val="en-MY"/>
              </w:rPr>
            </w:pPr>
          </w:p>
        </w:tc>
      </w:tr>
      <w:tr w:rsidR="00452717" w:rsidRPr="00452717" w:rsidTr="00F45A73">
        <w:trPr>
          <w:jc w:val="center"/>
        </w:trPr>
        <w:tc>
          <w:tcPr>
            <w:tcW w:w="2044" w:type="pct"/>
            <w:tcBorders>
              <w:top w:val="nil"/>
              <w:bottom w:val="nil"/>
            </w:tcBorders>
            <w:shd w:val="clear" w:color="auto" w:fill="auto"/>
          </w:tcPr>
          <w:p w:rsidR="00452717" w:rsidRPr="00452717" w:rsidRDefault="00452717" w:rsidP="00452717">
            <w:pPr>
              <w:spacing w:after="0" w:line="240" w:lineRule="auto"/>
              <w:jc w:val="both"/>
              <w:rPr>
                <w:sz w:val="20"/>
                <w:szCs w:val="20"/>
                <w:lang w:val="en-MY"/>
              </w:rPr>
            </w:pPr>
            <w:r w:rsidRPr="00452717">
              <w:rPr>
                <w:sz w:val="20"/>
                <w:szCs w:val="20"/>
                <w:lang w:val="en-MY"/>
              </w:rPr>
              <w:t xml:space="preserve">Male </w:t>
            </w:r>
          </w:p>
        </w:tc>
        <w:tc>
          <w:tcPr>
            <w:tcW w:w="1639" w:type="pct"/>
            <w:tcBorders>
              <w:top w:val="nil"/>
              <w:bottom w:val="nil"/>
            </w:tcBorders>
            <w:shd w:val="clear" w:color="auto" w:fill="auto"/>
          </w:tcPr>
          <w:p w:rsidR="00452717" w:rsidRPr="00452717" w:rsidRDefault="00452717" w:rsidP="00452717">
            <w:pPr>
              <w:spacing w:after="0" w:line="240" w:lineRule="auto"/>
              <w:jc w:val="both"/>
              <w:rPr>
                <w:sz w:val="20"/>
                <w:szCs w:val="20"/>
                <w:lang w:val="en-MY"/>
              </w:rPr>
            </w:pPr>
            <w:r w:rsidRPr="00452717">
              <w:rPr>
                <w:sz w:val="20"/>
                <w:szCs w:val="20"/>
                <w:lang w:val="en-MY"/>
              </w:rPr>
              <w:t>166</w:t>
            </w:r>
          </w:p>
        </w:tc>
        <w:tc>
          <w:tcPr>
            <w:tcW w:w="1318" w:type="pct"/>
            <w:tcBorders>
              <w:top w:val="nil"/>
              <w:bottom w:val="nil"/>
            </w:tcBorders>
            <w:shd w:val="clear" w:color="auto" w:fill="auto"/>
          </w:tcPr>
          <w:p w:rsidR="00452717" w:rsidRPr="00452717" w:rsidRDefault="00452717" w:rsidP="00452717">
            <w:pPr>
              <w:spacing w:after="0" w:line="240" w:lineRule="auto"/>
              <w:jc w:val="both"/>
              <w:rPr>
                <w:sz w:val="20"/>
                <w:szCs w:val="20"/>
                <w:lang w:val="en-MY"/>
              </w:rPr>
            </w:pPr>
            <w:r w:rsidRPr="00452717">
              <w:rPr>
                <w:sz w:val="20"/>
                <w:szCs w:val="20"/>
                <w:lang w:val="en-MY"/>
              </w:rPr>
              <w:t>39.24</w:t>
            </w:r>
          </w:p>
        </w:tc>
      </w:tr>
      <w:tr w:rsidR="00452717" w:rsidRPr="00452717" w:rsidTr="00F45A73">
        <w:trPr>
          <w:jc w:val="center"/>
        </w:trPr>
        <w:tc>
          <w:tcPr>
            <w:tcW w:w="2044" w:type="pct"/>
            <w:tcBorders>
              <w:top w:val="nil"/>
              <w:bottom w:val="nil"/>
            </w:tcBorders>
            <w:shd w:val="clear" w:color="auto" w:fill="auto"/>
          </w:tcPr>
          <w:p w:rsidR="00452717" w:rsidRPr="00452717" w:rsidRDefault="00452717" w:rsidP="00452717">
            <w:pPr>
              <w:spacing w:after="0" w:line="240" w:lineRule="auto"/>
              <w:jc w:val="both"/>
              <w:rPr>
                <w:sz w:val="20"/>
                <w:szCs w:val="20"/>
                <w:lang w:val="en-MY"/>
              </w:rPr>
            </w:pPr>
            <w:r w:rsidRPr="00452717">
              <w:rPr>
                <w:sz w:val="20"/>
                <w:szCs w:val="20"/>
                <w:lang w:val="en-MY"/>
              </w:rPr>
              <w:t>Female</w:t>
            </w:r>
          </w:p>
        </w:tc>
        <w:tc>
          <w:tcPr>
            <w:tcW w:w="1639" w:type="pct"/>
            <w:tcBorders>
              <w:top w:val="nil"/>
              <w:bottom w:val="nil"/>
            </w:tcBorders>
            <w:shd w:val="clear" w:color="auto" w:fill="auto"/>
          </w:tcPr>
          <w:p w:rsidR="00452717" w:rsidRPr="00452717" w:rsidRDefault="00452717" w:rsidP="00452717">
            <w:pPr>
              <w:spacing w:after="0" w:line="240" w:lineRule="auto"/>
              <w:jc w:val="both"/>
              <w:rPr>
                <w:sz w:val="20"/>
                <w:szCs w:val="20"/>
                <w:lang w:val="en-MY"/>
              </w:rPr>
            </w:pPr>
            <w:r w:rsidRPr="00452717">
              <w:rPr>
                <w:sz w:val="20"/>
                <w:szCs w:val="20"/>
                <w:lang w:val="en-MY"/>
              </w:rPr>
              <w:t>257</w:t>
            </w:r>
          </w:p>
        </w:tc>
        <w:tc>
          <w:tcPr>
            <w:tcW w:w="1318" w:type="pct"/>
            <w:tcBorders>
              <w:top w:val="nil"/>
              <w:bottom w:val="nil"/>
            </w:tcBorders>
            <w:shd w:val="clear" w:color="auto" w:fill="auto"/>
          </w:tcPr>
          <w:p w:rsidR="00452717" w:rsidRPr="00452717" w:rsidRDefault="00452717" w:rsidP="00452717">
            <w:pPr>
              <w:spacing w:after="0" w:line="240" w:lineRule="auto"/>
              <w:jc w:val="both"/>
              <w:rPr>
                <w:sz w:val="20"/>
                <w:szCs w:val="20"/>
                <w:lang w:val="en-MY"/>
              </w:rPr>
            </w:pPr>
            <w:r w:rsidRPr="00452717">
              <w:rPr>
                <w:sz w:val="20"/>
                <w:szCs w:val="20"/>
                <w:lang w:val="en-MY"/>
              </w:rPr>
              <w:t>60.76</w:t>
            </w:r>
          </w:p>
        </w:tc>
      </w:tr>
      <w:tr w:rsidR="00452717" w:rsidRPr="00452717" w:rsidTr="00F45A73">
        <w:trPr>
          <w:jc w:val="center"/>
        </w:trPr>
        <w:tc>
          <w:tcPr>
            <w:tcW w:w="2044" w:type="pct"/>
            <w:tcBorders>
              <w:top w:val="nil"/>
              <w:bottom w:val="nil"/>
            </w:tcBorders>
            <w:shd w:val="clear" w:color="auto" w:fill="auto"/>
          </w:tcPr>
          <w:p w:rsidR="00452717" w:rsidRPr="00452717" w:rsidRDefault="00452717" w:rsidP="00452717">
            <w:pPr>
              <w:spacing w:after="0" w:line="240" w:lineRule="auto"/>
              <w:jc w:val="both"/>
              <w:rPr>
                <w:b/>
                <w:sz w:val="20"/>
                <w:szCs w:val="20"/>
                <w:lang w:val="en-MY"/>
              </w:rPr>
            </w:pPr>
            <w:r w:rsidRPr="00452717">
              <w:rPr>
                <w:b/>
                <w:sz w:val="20"/>
                <w:szCs w:val="20"/>
                <w:lang w:val="en-MY"/>
              </w:rPr>
              <w:t xml:space="preserve">Age </w:t>
            </w:r>
          </w:p>
        </w:tc>
        <w:tc>
          <w:tcPr>
            <w:tcW w:w="1639" w:type="pct"/>
            <w:tcBorders>
              <w:top w:val="nil"/>
              <w:bottom w:val="nil"/>
            </w:tcBorders>
            <w:shd w:val="clear" w:color="auto" w:fill="auto"/>
          </w:tcPr>
          <w:p w:rsidR="00452717" w:rsidRPr="00452717" w:rsidRDefault="00452717" w:rsidP="00452717">
            <w:pPr>
              <w:spacing w:after="0" w:line="240" w:lineRule="auto"/>
              <w:jc w:val="both"/>
              <w:rPr>
                <w:sz w:val="20"/>
                <w:szCs w:val="20"/>
                <w:lang w:val="en-MY"/>
              </w:rPr>
            </w:pPr>
          </w:p>
        </w:tc>
        <w:tc>
          <w:tcPr>
            <w:tcW w:w="1318" w:type="pct"/>
            <w:tcBorders>
              <w:top w:val="nil"/>
              <w:bottom w:val="nil"/>
            </w:tcBorders>
            <w:shd w:val="clear" w:color="auto" w:fill="auto"/>
          </w:tcPr>
          <w:p w:rsidR="00452717" w:rsidRPr="00452717" w:rsidRDefault="00452717" w:rsidP="00452717">
            <w:pPr>
              <w:spacing w:after="0" w:line="240" w:lineRule="auto"/>
              <w:jc w:val="both"/>
              <w:rPr>
                <w:sz w:val="20"/>
                <w:szCs w:val="20"/>
                <w:lang w:val="en-MY"/>
              </w:rPr>
            </w:pPr>
          </w:p>
        </w:tc>
      </w:tr>
      <w:tr w:rsidR="00452717" w:rsidRPr="00452717" w:rsidTr="00F45A73">
        <w:trPr>
          <w:jc w:val="center"/>
        </w:trPr>
        <w:tc>
          <w:tcPr>
            <w:tcW w:w="2044" w:type="pct"/>
            <w:tcBorders>
              <w:top w:val="nil"/>
              <w:bottom w:val="nil"/>
            </w:tcBorders>
            <w:shd w:val="clear" w:color="auto" w:fill="auto"/>
          </w:tcPr>
          <w:p w:rsidR="00452717" w:rsidRPr="00452717" w:rsidRDefault="00452717" w:rsidP="00452717">
            <w:pPr>
              <w:spacing w:after="0" w:line="240" w:lineRule="auto"/>
              <w:jc w:val="both"/>
              <w:rPr>
                <w:sz w:val="20"/>
                <w:szCs w:val="20"/>
                <w:lang w:val="en-MY"/>
              </w:rPr>
            </w:pPr>
            <w:r w:rsidRPr="00452717">
              <w:rPr>
                <w:sz w:val="20"/>
                <w:szCs w:val="20"/>
                <w:lang w:val="en-MY"/>
              </w:rPr>
              <w:t xml:space="preserve">&lt; 18 </w:t>
            </w:r>
          </w:p>
        </w:tc>
        <w:tc>
          <w:tcPr>
            <w:tcW w:w="1639" w:type="pct"/>
            <w:tcBorders>
              <w:top w:val="nil"/>
              <w:bottom w:val="nil"/>
            </w:tcBorders>
            <w:shd w:val="clear" w:color="auto" w:fill="auto"/>
          </w:tcPr>
          <w:p w:rsidR="00452717" w:rsidRPr="00452717" w:rsidRDefault="00452717" w:rsidP="00452717">
            <w:pPr>
              <w:spacing w:after="0" w:line="240" w:lineRule="auto"/>
              <w:jc w:val="both"/>
              <w:rPr>
                <w:sz w:val="20"/>
                <w:szCs w:val="20"/>
                <w:lang w:val="en-MY"/>
              </w:rPr>
            </w:pPr>
            <w:r w:rsidRPr="00452717">
              <w:rPr>
                <w:sz w:val="20"/>
                <w:szCs w:val="20"/>
                <w:lang w:val="en-MY"/>
              </w:rPr>
              <w:t>84</w:t>
            </w:r>
          </w:p>
        </w:tc>
        <w:tc>
          <w:tcPr>
            <w:tcW w:w="1318" w:type="pct"/>
            <w:tcBorders>
              <w:top w:val="nil"/>
              <w:bottom w:val="nil"/>
            </w:tcBorders>
            <w:shd w:val="clear" w:color="auto" w:fill="auto"/>
          </w:tcPr>
          <w:p w:rsidR="00452717" w:rsidRPr="00452717" w:rsidRDefault="00452717" w:rsidP="00452717">
            <w:pPr>
              <w:spacing w:after="0" w:line="240" w:lineRule="auto"/>
              <w:jc w:val="both"/>
              <w:rPr>
                <w:sz w:val="20"/>
                <w:szCs w:val="20"/>
                <w:lang w:val="en-MY"/>
              </w:rPr>
            </w:pPr>
            <w:r w:rsidRPr="00452717">
              <w:rPr>
                <w:sz w:val="20"/>
                <w:szCs w:val="20"/>
                <w:lang w:val="en-MY"/>
              </w:rPr>
              <w:t>19.86</w:t>
            </w:r>
          </w:p>
        </w:tc>
      </w:tr>
      <w:tr w:rsidR="00452717" w:rsidRPr="00452717" w:rsidTr="00F45A73">
        <w:trPr>
          <w:jc w:val="center"/>
        </w:trPr>
        <w:tc>
          <w:tcPr>
            <w:tcW w:w="2044" w:type="pct"/>
            <w:tcBorders>
              <w:top w:val="nil"/>
              <w:bottom w:val="nil"/>
            </w:tcBorders>
            <w:shd w:val="clear" w:color="auto" w:fill="auto"/>
          </w:tcPr>
          <w:p w:rsidR="00452717" w:rsidRPr="00452717" w:rsidRDefault="00452717" w:rsidP="00452717">
            <w:pPr>
              <w:spacing w:after="0" w:line="240" w:lineRule="auto"/>
              <w:jc w:val="both"/>
              <w:rPr>
                <w:sz w:val="20"/>
                <w:szCs w:val="20"/>
                <w:lang w:val="en-MY"/>
              </w:rPr>
            </w:pPr>
            <w:r w:rsidRPr="00452717">
              <w:rPr>
                <w:sz w:val="20"/>
                <w:szCs w:val="20"/>
                <w:lang w:val="en-MY"/>
              </w:rPr>
              <w:t>18 – 25</w:t>
            </w:r>
          </w:p>
        </w:tc>
        <w:tc>
          <w:tcPr>
            <w:tcW w:w="1639" w:type="pct"/>
            <w:tcBorders>
              <w:top w:val="nil"/>
              <w:bottom w:val="nil"/>
            </w:tcBorders>
            <w:shd w:val="clear" w:color="auto" w:fill="auto"/>
          </w:tcPr>
          <w:p w:rsidR="00452717" w:rsidRPr="00452717" w:rsidRDefault="00452717" w:rsidP="00452717">
            <w:pPr>
              <w:spacing w:after="0" w:line="240" w:lineRule="auto"/>
              <w:jc w:val="both"/>
              <w:rPr>
                <w:sz w:val="20"/>
                <w:szCs w:val="20"/>
                <w:lang w:val="en-MY"/>
              </w:rPr>
            </w:pPr>
            <w:r w:rsidRPr="00452717">
              <w:rPr>
                <w:sz w:val="20"/>
                <w:szCs w:val="20"/>
                <w:lang w:val="en-MY"/>
              </w:rPr>
              <w:t>86</w:t>
            </w:r>
          </w:p>
        </w:tc>
        <w:tc>
          <w:tcPr>
            <w:tcW w:w="1318" w:type="pct"/>
            <w:tcBorders>
              <w:top w:val="nil"/>
              <w:bottom w:val="nil"/>
            </w:tcBorders>
            <w:shd w:val="clear" w:color="auto" w:fill="auto"/>
          </w:tcPr>
          <w:p w:rsidR="00452717" w:rsidRPr="00452717" w:rsidRDefault="00452717" w:rsidP="00452717">
            <w:pPr>
              <w:spacing w:after="0" w:line="240" w:lineRule="auto"/>
              <w:jc w:val="both"/>
              <w:rPr>
                <w:sz w:val="20"/>
                <w:szCs w:val="20"/>
                <w:lang w:val="en-MY"/>
              </w:rPr>
            </w:pPr>
            <w:r w:rsidRPr="00452717">
              <w:rPr>
                <w:sz w:val="20"/>
                <w:szCs w:val="20"/>
                <w:lang w:val="en-MY"/>
              </w:rPr>
              <w:t>20.33</w:t>
            </w:r>
          </w:p>
        </w:tc>
      </w:tr>
      <w:tr w:rsidR="00452717" w:rsidRPr="00452717" w:rsidTr="00F45A73">
        <w:trPr>
          <w:jc w:val="center"/>
        </w:trPr>
        <w:tc>
          <w:tcPr>
            <w:tcW w:w="2044" w:type="pct"/>
            <w:tcBorders>
              <w:top w:val="nil"/>
              <w:bottom w:val="nil"/>
            </w:tcBorders>
            <w:shd w:val="clear" w:color="auto" w:fill="auto"/>
          </w:tcPr>
          <w:p w:rsidR="00452717" w:rsidRPr="00452717" w:rsidRDefault="00452717" w:rsidP="00452717">
            <w:pPr>
              <w:spacing w:after="0" w:line="240" w:lineRule="auto"/>
              <w:jc w:val="both"/>
              <w:rPr>
                <w:sz w:val="20"/>
                <w:szCs w:val="20"/>
                <w:lang w:val="en-MY"/>
              </w:rPr>
            </w:pPr>
            <w:r w:rsidRPr="00452717">
              <w:rPr>
                <w:sz w:val="20"/>
                <w:szCs w:val="20"/>
                <w:lang w:val="en-MY"/>
              </w:rPr>
              <w:t xml:space="preserve">26 – 35 </w:t>
            </w:r>
          </w:p>
        </w:tc>
        <w:tc>
          <w:tcPr>
            <w:tcW w:w="1639" w:type="pct"/>
            <w:tcBorders>
              <w:top w:val="nil"/>
              <w:bottom w:val="nil"/>
            </w:tcBorders>
            <w:shd w:val="clear" w:color="auto" w:fill="auto"/>
          </w:tcPr>
          <w:p w:rsidR="00452717" w:rsidRPr="00452717" w:rsidRDefault="00452717" w:rsidP="00452717">
            <w:pPr>
              <w:spacing w:after="0" w:line="240" w:lineRule="auto"/>
              <w:jc w:val="both"/>
              <w:rPr>
                <w:sz w:val="20"/>
                <w:szCs w:val="20"/>
                <w:lang w:val="en-MY"/>
              </w:rPr>
            </w:pPr>
            <w:r w:rsidRPr="00452717">
              <w:rPr>
                <w:sz w:val="20"/>
                <w:szCs w:val="20"/>
                <w:lang w:val="en-MY"/>
              </w:rPr>
              <w:t>138</w:t>
            </w:r>
          </w:p>
        </w:tc>
        <w:tc>
          <w:tcPr>
            <w:tcW w:w="1318" w:type="pct"/>
            <w:tcBorders>
              <w:top w:val="nil"/>
              <w:bottom w:val="nil"/>
            </w:tcBorders>
            <w:shd w:val="clear" w:color="auto" w:fill="auto"/>
          </w:tcPr>
          <w:p w:rsidR="00452717" w:rsidRPr="00452717" w:rsidRDefault="00452717" w:rsidP="00452717">
            <w:pPr>
              <w:spacing w:after="0" w:line="240" w:lineRule="auto"/>
              <w:jc w:val="both"/>
              <w:rPr>
                <w:sz w:val="20"/>
                <w:szCs w:val="20"/>
                <w:lang w:val="en-MY"/>
              </w:rPr>
            </w:pPr>
            <w:r w:rsidRPr="00452717">
              <w:rPr>
                <w:sz w:val="20"/>
                <w:szCs w:val="20"/>
                <w:lang w:val="en-MY"/>
              </w:rPr>
              <w:t>32.62</w:t>
            </w:r>
          </w:p>
        </w:tc>
      </w:tr>
      <w:tr w:rsidR="00452717" w:rsidRPr="00452717" w:rsidTr="00F45A73">
        <w:trPr>
          <w:jc w:val="center"/>
        </w:trPr>
        <w:tc>
          <w:tcPr>
            <w:tcW w:w="2044" w:type="pct"/>
            <w:tcBorders>
              <w:top w:val="nil"/>
              <w:bottom w:val="nil"/>
            </w:tcBorders>
            <w:shd w:val="clear" w:color="auto" w:fill="auto"/>
          </w:tcPr>
          <w:p w:rsidR="00452717" w:rsidRPr="00452717" w:rsidRDefault="00452717" w:rsidP="00452717">
            <w:pPr>
              <w:spacing w:after="0" w:line="240" w:lineRule="auto"/>
              <w:jc w:val="both"/>
              <w:rPr>
                <w:sz w:val="20"/>
                <w:szCs w:val="20"/>
                <w:lang w:val="en-MY"/>
              </w:rPr>
            </w:pPr>
            <w:r w:rsidRPr="00452717">
              <w:rPr>
                <w:sz w:val="20"/>
                <w:szCs w:val="20"/>
                <w:lang w:val="en-MY"/>
              </w:rPr>
              <w:t xml:space="preserve">36 – 45 </w:t>
            </w:r>
          </w:p>
        </w:tc>
        <w:tc>
          <w:tcPr>
            <w:tcW w:w="1639" w:type="pct"/>
            <w:tcBorders>
              <w:top w:val="nil"/>
              <w:bottom w:val="nil"/>
            </w:tcBorders>
            <w:shd w:val="clear" w:color="auto" w:fill="auto"/>
          </w:tcPr>
          <w:p w:rsidR="00452717" w:rsidRPr="00452717" w:rsidRDefault="00452717" w:rsidP="00452717">
            <w:pPr>
              <w:spacing w:after="0" w:line="240" w:lineRule="auto"/>
              <w:jc w:val="both"/>
              <w:rPr>
                <w:sz w:val="20"/>
                <w:szCs w:val="20"/>
                <w:lang w:val="en-MY"/>
              </w:rPr>
            </w:pPr>
            <w:r w:rsidRPr="00452717">
              <w:rPr>
                <w:sz w:val="20"/>
                <w:szCs w:val="20"/>
                <w:lang w:val="en-MY"/>
              </w:rPr>
              <w:t>62</w:t>
            </w:r>
          </w:p>
        </w:tc>
        <w:tc>
          <w:tcPr>
            <w:tcW w:w="1318" w:type="pct"/>
            <w:tcBorders>
              <w:top w:val="nil"/>
              <w:bottom w:val="nil"/>
            </w:tcBorders>
            <w:shd w:val="clear" w:color="auto" w:fill="auto"/>
          </w:tcPr>
          <w:p w:rsidR="00452717" w:rsidRPr="00452717" w:rsidRDefault="00452717" w:rsidP="00452717">
            <w:pPr>
              <w:spacing w:after="0" w:line="240" w:lineRule="auto"/>
              <w:jc w:val="both"/>
              <w:rPr>
                <w:sz w:val="20"/>
                <w:szCs w:val="20"/>
                <w:lang w:val="en-MY"/>
              </w:rPr>
            </w:pPr>
            <w:r w:rsidRPr="00452717">
              <w:rPr>
                <w:sz w:val="20"/>
                <w:szCs w:val="20"/>
                <w:lang w:val="en-MY"/>
              </w:rPr>
              <w:t>14.66</w:t>
            </w:r>
          </w:p>
        </w:tc>
      </w:tr>
      <w:tr w:rsidR="00452717" w:rsidRPr="00452717" w:rsidTr="00F45A73">
        <w:trPr>
          <w:jc w:val="center"/>
        </w:trPr>
        <w:tc>
          <w:tcPr>
            <w:tcW w:w="2044" w:type="pct"/>
            <w:tcBorders>
              <w:top w:val="nil"/>
              <w:bottom w:val="nil"/>
            </w:tcBorders>
            <w:shd w:val="clear" w:color="auto" w:fill="auto"/>
          </w:tcPr>
          <w:p w:rsidR="00452717" w:rsidRPr="00452717" w:rsidRDefault="00452717" w:rsidP="00452717">
            <w:pPr>
              <w:spacing w:after="0" w:line="240" w:lineRule="auto"/>
              <w:jc w:val="both"/>
              <w:rPr>
                <w:sz w:val="20"/>
                <w:szCs w:val="20"/>
                <w:lang w:val="en-MY"/>
              </w:rPr>
            </w:pPr>
            <w:r w:rsidRPr="00452717">
              <w:rPr>
                <w:sz w:val="20"/>
                <w:szCs w:val="20"/>
                <w:lang w:val="en-MY"/>
              </w:rPr>
              <w:t xml:space="preserve">46 – 55 </w:t>
            </w:r>
          </w:p>
        </w:tc>
        <w:tc>
          <w:tcPr>
            <w:tcW w:w="1639" w:type="pct"/>
            <w:tcBorders>
              <w:top w:val="nil"/>
              <w:bottom w:val="nil"/>
            </w:tcBorders>
            <w:shd w:val="clear" w:color="auto" w:fill="auto"/>
          </w:tcPr>
          <w:p w:rsidR="00452717" w:rsidRPr="00452717" w:rsidRDefault="00452717" w:rsidP="00452717">
            <w:pPr>
              <w:spacing w:after="0" w:line="240" w:lineRule="auto"/>
              <w:jc w:val="both"/>
              <w:rPr>
                <w:sz w:val="20"/>
                <w:szCs w:val="20"/>
                <w:lang w:val="en-MY"/>
              </w:rPr>
            </w:pPr>
            <w:r w:rsidRPr="00452717">
              <w:rPr>
                <w:sz w:val="20"/>
                <w:szCs w:val="20"/>
                <w:lang w:val="en-MY"/>
              </w:rPr>
              <w:t>26</w:t>
            </w:r>
          </w:p>
        </w:tc>
        <w:tc>
          <w:tcPr>
            <w:tcW w:w="1318" w:type="pct"/>
            <w:tcBorders>
              <w:top w:val="nil"/>
              <w:bottom w:val="nil"/>
            </w:tcBorders>
            <w:shd w:val="clear" w:color="auto" w:fill="auto"/>
          </w:tcPr>
          <w:p w:rsidR="00452717" w:rsidRPr="00452717" w:rsidRDefault="00452717" w:rsidP="00452717">
            <w:pPr>
              <w:spacing w:after="0" w:line="240" w:lineRule="auto"/>
              <w:jc w:val="both"/>
              <w:rPr>
                <w:sz w:val="20"/>
                <w:szCs w:val="20"/>
                <w:lang w:val="en-MY"/>
              </w:rPr>
            </w:pPr>
            <w:r w:rsidRPr="00452717">
              <w:rPr>
                <w:sz w:val="20"/>
                <w:szCs w:val="20"/>
                <w:lang w:val="en-MY"/>
              </w:rPr>
              <w:t>6.15</w:t>
            </w:r>
          </w:p>
        </w:tc>
      </w:tr>
      <w:tr w:rsidR="00452717" w:rsidRPr="00452717" w:rsidTr="00F45A73">
        <w:trPr>
          <w:jc w:val="center"/>
        </w:trPr>
        <w:tc>
          <w:tcPr>
            <w:tcW w:w="2044" w:type="pct"/>
            <w:tcBorders>
              <w:top w:val="nil"/>
              <w:bottom w:val="nil"/>
            </w:tcBorders>
            <w:shd w:val="clear" w:color="auto" w:fill="auto"/>
          </w:tcPr>
          <w:p w:rsidR="00452717" w:rsidRPr="00452717" w:rsidRDefault="00452717" w:rsidP="00452717">
            <w:pPr>
              <w:spacing w:after="0" w:line="240" w:lineRule="auto"/>
              <w:jc w:val="both"/>
              <w:rPr>
                <w:sz w:val="20"/>
                <w:szCs w:val="20"/>
                <w:lang w:val="en-MY"/>
              </w:rPr>
            </w:pPr>
            <w:r w:rsidRPr="00452717">
              <w:rPr>
                <w:sz w:val="20"/>
                <w:szCs w:val="20"/>
                <w:lang w:val="en-MY"/>
              </w:rPr>
              <w:t>&gt;55</w:t>
            </w:r>
          </w:p>
        </w:tc>
        <w:tc>
          <w:tcPr>
            <w:tcW w:w="1639" w:type="pct"/>
            <w:tcBorders>
              <w:top w:val="nil"/>
              <w:bottom w:val="nil"/>
            </w:tcBorders>
            <w:shd w:val="clear" w:color="auto" w:fill="auto"/>
          </w:tcPr>
          <w:p w:rsidR="00452717" w:rsidRPr="00452717" w:rsidRDefault="00452717" w:rsidP="00452717">
            <w:pPr>
              <w:spacing w:after="0" w:line="240" w:lineRule="auto"/>
              <w:jc w:val="both"/>
              <w:rPr>
                <w:sz w:val="20"/>
                <w:szCs w:val="20"/>
                <w:lang w:val="en-MY"/>
              </w:rPr>
            </w:pPr>
            <w:r w:rsidRPr="00452717">
              <w:rPr>
                <w:sz w:val="20"/>
                <w:szCs w:val="20"/>
                <w:lang w:val="en-MY"/>
              </w:rPr>
              <w:t>27</w:t>
            </w:r>
          </w:p>
        </w:tc>
        <w:tc>
          <w:tcPr>
            <w:tcW w:w="1318" w:type="pct"/>
            <w:tcBorders>
              <w:top w:val="nil"/>
              <w:bottom w:val="nil"/>
            </w:tcBorders>
            <w:shd w:val="clear" w:color="auto" w:fill="auto"/>
          </w:tcPr>
          <w:p w:rsidR="00452717" w:rsidRPr="00452717" w:rsidRDefault="00452717" w:rsidP="00452717">
            <w:pPr>
              <w:spacing w:after="0" w:line="240" w:lineRule="auto"/>
              <w:jc w:val="both"/>
              <w:rPr>
                <w:sz w:val="20"/>
                <w:szCs w:val="20"/>
                <w:lang w:val="en-MY"/>
              </w:rPr>
            </w:pPr>
            <w:r w:rsidRPr="00452717">
              <w:rPr>
                <w:sz w:val="20"/>
                <w:szCs w:val="20"/>
                <w:lang w:val="en-MY"/>
              </w:rPr>
              <w:t>6.38</w:t>
            </w:r>
          </w:p>
        </w:tc>
      </w:tr>
      <w:tr w:rsidR="00452717" w:rsidRPr="00452717" w:rsidTr="00F45A73">
        <w:trPr>
          <w:jc w:val="center"/>
        </w:trPr>
        <w:tc>
          <w:tcPr>
            <w:tcW w:w="2044" w:type="pct"/>
            <w:tcBorders>
              <w:top w:val="nil"/>
              <w:bottom w:val="nil"/>
            </w:tcBorders>
            <w:shd w:val="clear" w:color="auto" w:fill="auto"/>
          </w:tcPr>
          <w:p w:rsidR="00452717" w:rsidRPr="00452717" w:rsidRDefault="00452717" w:rsidP="00452717">
            <w:pPr>
              <w:spacing w:after="0" w:line="240" w:lineRule="auto"/>
              <w:jc w:val="both"/>
              <w:rPr>
                <w:b/>
                <w:sz w:val="20"/>
                <w:szCs w:val="20"/>
                <w:lang w:val="en-MY"/>
              </w:rPr>
            </w:pPr>
            <w:r w:rsidRPr="00452717">
              <w:rPr>
                <w:b/>
                <w:sz w:val="20"/>
                <w:szCs w:val="20"/>
                <w:lang w:val="en-MY"/>
              </w:rPr>
              <w:t xml:space="preserve">Education </w:t>
            </w:r>
          </w:p>
        </w:tc>
        <w:tc>
          <w:tcPr>
            <w:tcW w:w="1639" w:type="pct"/>
            <w:tcBorders>
              <w:top w:val="nil"/>
              <w:bottom w:val="nil"/>
            </w:tcBorders>
            <w:shd w:val="clear" w:color="auto" w:fill="auto"/>
          </w:tcPr>
          <w:p w:rsidR="00452717" w:rsidRPr="00452717" w:rsidRDefault="00452717" w:rsidP="00452717">
            <w:pPr>
              <w:spacing w:after="0" w:line="240" w:lineRule="auto"/>
              <w:jc w:val="both"/>
              <w:rPr>
                <w:sz w:val="20"/>
                <w:szCs w:val="20"/>
                <w:lang w:val="en-MY"/>
              </w:rPr>
            </w:pPr>
          </w:p>
        </w:tc>
        <w:tc>
          <w:tcPr>
            <w:tcW w:w="1318" w:type="pct"/>
            <w:tcBorders>
              <w:top w:val="nil"/>
              <w:bottom w:val="nil"/>
            </w:tcBorders>
            <w:shd w:val="clear" w:color="auto" w:fill="auto"/>
          </w:tcPr>
          <w:p w:rsidR="00452717" w:rsidRPr="00452717" w:rsidRDefault="00452717" w:rsidP="00452717">
            <w:pPr>
              <w:spacing w:after="0" w:line="240" w:lineRule="auto"/>
              <w:jc w:val="both"/>
              <w:rPr>
                <w:sz w:val="20"/>
                <w:szCs w:val="20"/>
                <w:lang w:val="en-MY"/>
              </w:rPr>
            </w:pPr>
          </w:p>
        </w:tc>
      </w:tr>
      <w:tr w:rsidR="00452717" w:rsidRPr="00452717" w:rsidTr="00F45A73">
        <w:trPr>
          <w:jc w:val="center"/>
        </w:trPr>
        <w:tc>
          <w:tcPr>
            <w:tcW w:w="2044" w:type="pct"/>
            <w:tcBorders>
              <w:top w:val="nil"/>
              <w:bottom w:val="nil"/>
            </w:tcBorders>
            <w:shd w:val="clear" w:color="auto" w:fill="auto"/>
          </w:tcPr>
          <w:p w:rsidR="00452717" w:rsidRPr="00452717" w:rsidRDefault="00452717" w:rsidP="00452717">
            <w:pPr>
              <w:spacing w:after="0" w:line="240" w:lineRule="auto"/>
              <w:jc w:val="both"/>
              <w:rPr>
                <w:sz w:val="20"/>
                <w:szCs w:val="20"/>
                <w:lang w:val="en-MY"/>
              </w:rPr>
            </w:pPr>
            <w:r w:rsidRPr="00452717">
              <w:rPr>
                <w:sz w:val="20"/>
                <w:szCs w:val="20"/>
                <w:lang w:val="en-MY"/>
              </w:rPr>
              <w:t xml:space="preserve">Primary school </w:t>
            </w:r>
          </w:p>
        </w:tc>
        <w:tc>
          <w:tcPr>
            <w:tcW w:w="1639" w:type="pct"/>
            <w:tcBorders>
              <w:top w:val="nil"/>
              <w:bottom w:val="nil"/>
            </w:tcBorders>
            <w:shd w:val="clear" w:color="auto" w:fill="auto"/>
          </w:tcPr>
          <w:p w:rsidR="00452717" w:rsidRPr="00452717" w:rsidRDefault="00452717" w:rsidP="00452717">
            <w:pPr>
              <w:spacing w:after="0" w:line="240" w:lineRule="auto"/>
              <w:jc w:val="both"/>
              <w:rPr>
                <w:sz w:val="20"/>
                <w:szCs w:val="20"/>
                <w:lang w:val="en-MY"/>
              </w:rPr>
            </w:pPr>
            <w:r w:rsidRPr="00452717">
              <w:rPr>
                <w:sz w:val="20"/>
                <w:szCs w:val="20"/>
                <w:lang w:val="en-MY"/>
              </w:rPr>
              <w:t>8</w:t>
            </w:r>
          </w:p>
        </w:tc>
        <w:tc>
          <w:tcPr>
            <w:tcW w:w="1318" w:type="pct"/>
            <w:tcBorders>
              <w:top w:val="nil"/>
              <w:bottom w:val="nil"/>
            </w:tcBorders>
            <w:shd w:val="clear" w:color="auto" w:fill="auto"/>
          </w:tcPr>
          <w:p w:rsidR="00452717" w:rsidRPr="00452717" w:rsidRDefault="00452717" w:rsidP="00452717">
            <w:pPr>
              <w:spacing w:after="0" w:line="240" w:lineRule="auto"/>
              <w:jc w:val="both"/>
              <w:rPr>
                <w:sz w:val="20"/>
                <w:szCs w:val="20"/>
                <w:lang w:val="en-MY"/>
              </w:rPr>
            </w:pPr>
            <w:r w:rsidRPr="00452717">
              <w:rPr>
                <w:sz w:val="20"/>
                <w:szCs w:val="20"/>
                <w:lang w:val="en-MY"/>
              </w:rPr>
              <w:t>1.89</w:t>
            </w:r>
          </w:p>
        </w:tc>
      </w:tr>
      <w:tr w:rsidR="00452717" w:rsidRPr="00452717" w:rsidTr="00F45A73">
        <w:trPr>
          <w:jc w:val="center"/>
        </w:trPr>
        <w:tc>
          <w:tcPr>
            <w:tcW w:w="2044" w:type="pct"/>
            <w:tcBorders>
              <w:top w:val="nil"/>
              <w:bottom w:val="nil"/>
            </w:tcBorders>
            <w:shd w:val="clear" w:color="auto" w:fill="auto"/>
          </w:tcPr>
          <w:p w:rsidR="00452717" w:rsidRPr="00452717" w:rsidRDefault="00452717" w:rsidP="00452717">
            <w:pPr>
              <w:spacing w:after="0" w:line="240" w:lineRule="auto"/>
              <w:jc w:val="both"/>
              <w:rPr>
                <w:sz w:val="20"/>
                <w:szCs w:val="20"/>
                <w:lang w:val="en-MY"/>
              </w:rPr>
            </w:pPr>
            <w:r w:rsidRPr="00452717">
              <w:rPr>
                <w:sz w:val="20"/>
                <w:szCs w:val="20"/>
                <w:lang w:val="en-MY"/>
              </w:rPr>
              <w:t xml:space="preserve">Secondary school </w:t>
            </w:r>
          </w:p>
        </w:tc>
        <w:tc>
          <w:tcPr>
            <w:tcW w:w="1639" w:type="pct"/>
            <w:tcBorders>
              <w:top w:val="nil"/>
              <w:bottom w:val="nil"/>
            </w:tcBorders>
            <w:shd w:val="clear" w:color="auto" w:fill="auto"/>
          </w:tcPr>
          <w:p w:rsidR="00452717" w:rsidRPr="00452717" w:rsidRDefault="00452717" w:rsidP="00452717">
            <w:pPr>
              <w:spacing w:after="0" w:line="240" w:lineRule="auto"/>
              <w:jc w:val="both"/>
              <w:rPr>
                <w:sz w:val="20"/>
                <w:szCs w:val="20"/>
                <w:lang w:val="en-MY"/>
              </w:rPr>
            </w:pPr>
            <w:r w:rsidRPr="00452717">
              <w:rPr>
                <w:sz w:val="20"/>
                <w:szCs w:val="20"/>
                <w:lang w:val="en-MY"/>
              </w:rPr>
              <w:t>79</w:t>
            </w:r>
          </w:p>
        </w:tc>
        <w:tc>
          <w:tcPr>
            <w:tcW w:w="1318" w:type="pct"/>
            <w:tcBorders>
              <w:top w:val="nil"/>
              <w:bottom w:val="nil"/>
            </w:tcBorders>
            <w:shd w:val="clear" w:color="auto" w:fill="auto"/>
          </w:tcPr>
          <w:p w:rsidR="00452717" w:rsidRPr="00452717" w:rsidRDefault="00452717" w:rsidP="00452717">
            <w:pPr>
              <w:spacing w:after="0" w:line="240" w:lineRule="auto"/>
              <w:jc w:val="both"/>
              <w:rPr>
                <w:sz w:val="20"/>
                <w:szCs w:val="20"/>
                <w:lang w:val="en-MY"/>
              </w:rPr>
            </w:pPr>
            <w:r w:rsidRPr="00452717">
              <w:rPr>
                <w:sz w:val="20"/>
                <w:szCs w:val="20"/>
                <w:lang w:val="en-MY"/>
              </w:rPr>
              <w:t>18.68</w:t>
            </w:r>
          </w:p>
        </w:tc>
      </w:tr>
      <w:tr w:rsidR="00452717" w:rsidRPr="00452717" w:rsidTr="00F45A73">
        <w:trPr>
          <w:jc w:val="center"/>
        </w:trPr>
        <w:tc>
          <w:tcPr>
            <w:tcW w:w="2044" w:type="pct"/>
            <w:tcBorders>
              <w:top w:val="nil"/>
              <w:bottom w:val="nil"/>
            </w:tcBorders>
            <w:shd w:val="clear" w:color="auto" w:fill="auto"/>
          </w:tcPr>
          <w:p w:rsidR="00452717" w:rsidRPr="00452717" w:rsidRDefault="00452717" w:rsidP="00452717">
            <w:pPr>
              <w:spacing w:after="0" w:line="240" w:lineRule="auto"/>
              <w:jc w:val="both"/>
              <w:rPr>
                <w:sz w:val="20"/>
                <w:szCs w:val="20"/>
                <w:lang w:val="en-MY"/>
              </w:rPr>
            </w:pPr>
            <w:r w:rsidRPr="00452717">
              <w:rPr>
                <w:sz w:val="20"/>
                <w:szCs w:val="20"/>
                <w:lang w:val="en-MY"/>
              </w:rPr>
              <w:t>College / University</w:t>
            </w:r>
          </w:p>
        </w:tc>
        <w:tc>
          <w:tcPr>
            <w:tcW w:w="1639" w:type="pct"/>
            <w:tcBorders>
              <w:top w:val="nil"/>
              <w:bottom w:val="nil"/>
            </w:tcBorders>
            <w:shd w:val="clear" w:color="auto" w:fill="auto"/>
          </w:tcPr>
          <w:p w:rsidR="00452717" w:rsidRPr="00452717" w:rsidRDefault="00452717" w:rsidP="00452717">
            <w:pPr>
              <w:spacing w:after="0" w:line="240" w:lineRule="auto"/>
              <w:jc w:val="both"/>
              <w:rPr>
                <w:sz w:val="20"/>
                <w:szCs w:val="20"/>
                <w:lang w:val="en-MY"/>
              </w:rPr>
            </w:pPr>
            <w:r w:rsidRPr="00452717">
              <w:rPr>
                <w:sz w:val="20"/>
                <w:szCs w:val="20"/>
                <w:lang w:val="en-MY"/>
              </w:rPr>
              <w:t>336</w:t>
            </w:r>
          </w:p>
        </w:tc>
        <w:tc>
          <w:tcPr>
            <w:tcW w:w="1318" w:type="pct"/>
            <w:tcBorders>
              <w:top w:val="nil"/>
              <w:bottom w:val="nil"/>
            </w:tcBorders>
            <w:shd w:val="clear" w:color="auto" w:fill="auto"/>
          </w:tcPr>
          <w:p w:rsidR="00452717" w:rsidRPr="00452717" w:rsidRDefault="00452717" w:rsidP="00452717">
            <w:pPr>
              <w:spacing w:after="0" w:line="240" w:lineRule="auto"/>
              <w:jc w:val="both"/>
              <w:rPr>
                <w:sz w:val="20"/>
                <w:szCs w:val="20"/>
                <w:lang w:val="en-MY"/>
              </w:rPr>
            </w:pPr>
            <w:r w:rsidRPr="00452717">
              <w:rPr>
                <w:sz w:val="20"/>
                <w:szCs w:val="20"/>
                <w:lang w:val="en-MY"/>
              </w:rPr>
              <w:t>79.43</w:t>
            </w:r>
          </w:p>
        </w:tc>
      </w:tr>
      <w:tr w:rsidR="00452717" w:rsidRPr="00452717" w:rsidTr="00F45A73">
        <w:trPr>
          <w:jc w:val="center"/>
        </w:trPr>
        <w:tc>
          <w:tcPr>
            <w:tcW w:w="2044" w:type="pct"/>
            <w:tcBorders>
              <w:top w:val="nil"/>
              <w:bottom w:val="nil"/>
            </w:tcBorders>
            <w:shd w:val="clear" w:color="auto" w:fill="auto"/>
          </w:tcPr>
          <w:p w:rsidR="00452717" w:rsidRPr="00452717" w:rsidRDefault="00452717" w:rsidP="00452717">
            <w:pPr>
              <w:spacing w:after="0" w:line="240" w:lineRule="auto"/>
              <w:jc w:val="both"/>
              <w:rPr>
                <w:b/>
                <w:sz w:val="20"/>
                <w:szCs w:val="20"/>
                <w:lang w:val="en-MY"/>
              </w:rPr>
            </w:pPr>
            <w:r w:rsidRPr="00452717">
              <w:rPr>
                <w:b/>
                <w:sz w:val="20"/>
                <w:szCs w:val="20"/>
                <w:lang w:val="en-MY"/>
              </w:rPr>
              <w:t>Monthly Income (RM)</w:t>
            </w:r>
          </w:p>
        </w:tc>
        <w:tc>
          <w:tcPr>
            <w:tcW w:w="1639" w:type="pct"/>
            <w:tcBorders>
              <w:top w:val="nil"/>
              <w:bottom w:val="nil"/>
            </w:tcBorders>
            <w:shd w:val="clear" w:color="auto" w:fill="auto"/>
          </w:tcPr>
          <w:p w:rsidR="00452717" w:rsidRPr="00452717" w:rsidRDefault="00452717" w:rsidP="00452717">
            <w:pPr>
              <w:spacing w:after="0" w:line="240" w:lineRule="auto"/>
              <w:jc w:val="both"/>
              <w:rPr>
                <w:sz w:val="20"/>
                <w:szCs w:val="20"/>
                <w:lang w:val="en-MY"/>
              </w:rPr>
            </w:pPr>
          </w:p>
        </w:tc>
        <w:tc>
          <w:tcPr>
            <w:tcW w:w="1318" w:type="pct"/>
            <w:tcBorders>
              <w:top w:val="nil"/>
              <w:bottom w:val="nil"/>
            </w:tcBorders>
            <w:shd w:val="clear" w:color="auto" w:fill="auto"/>
          </w:tcPr>
          <w:p w:rsidR="00452717" w:rsidRPr="00452717" w:rsidRDefault="00452717" w:rsidP="00452717">
            <w:pPr>
              <w:spacing w:after="0" w:line="240" w:lineRule="auto"/>
              <w:jc w:val="both"/>
              <w:rPr>
                <w:sz w:val="20"/>
                <w:szCs w:val="20"/>
                <w:lang w:val="en-MY"/>
              </w:rPr>
            </w:pPr>
          </w:p>
        </w:tc>
      </w:tr>
      <w:tr w:rsidR="00452717" w:rsidRPr="00452717" w:rsidTr="00F45A73">
        <w:trPr>
          <w:jc w:val="center"/>
        </w:trPr>
        <w:tc>
          <w:tcPr>
            <w:tcW w:w="2044" w:type="pct"/>
            <w:tcBorders>
              <w:top w:val="nil"/>
              <w:bottom w:val="nil"/>
            </w:tcBorders>
            <w:shd w:val="clear" w:color="auto" w:fill="auto"/>
          </w:tcPr>
          <w:p w:rsidR="00452717" w:rsidRPr="00452717" w:rsidRDefault="00452717" w:rsidP="00452717">
            <w:pPr>
              <w:spacing w:after="0" w:line="240" w:lineRule="auto"/>
              <w:jc w:val="both"/>
              <w:rPr>
                <w:sz w:val="20"/>
                <w:szCs w:val="20"/>
                <w:lang w:val="en-MY"/>
              </w:rPr>
            </w:pPr>
            <w:r w:rsidRPr="00452717">
              <w:rPr>
                <w:sz w:val="20"/>
                <w:szCs w:val="20"/>
                <w:lang w:val="en-MY"/>
              </w:rPr>
              <w:t xml:space="preserve">&lt; 2000 </w:t>
            </w:r>
          </w:p>
        </w:tc>
        <w:tc>
          <w:tcPr>
            <w:tcW w:w="1639" w:type="pct"/>
            <w:tcBorders>
              <w:top w:val="nil"/>
              <w:bottom w:val="nil"/>
            </w:tcBorders>
            <w:shd w:val="clear" w:color="auto" w:fill="auto"/>
          </w:tcPr>
          <w:p w:rsidR="00452717" w:rsidRPr="00452717" w:rsidRDefault="00452717" w:rsidP="00452717">
            <w:pPr>
              <w:spacing w:after="0" w:line="240" w:lineRule="auto"/>
              <w:jc w:val="both"/>
              <w:rPr>
                <w:sz w:val="20"/>
                <w:szCs w:val="20"/>
                <w:lang w:val="en-MY"/>
              </w:rPr>
            </w:pPr>
            <w:r w:rsidRPr="00452717">
              <w:rPr>
                <w:sz w:val="20"/>
                <w:szCs w:val="20"/>
                <w:lang w:val="en-MY"/>
              </w:rPr>
              <w:t>133</w:t>
            </w:r>
          </w:p>
        </w:tc>
        <w:tc>
          <w:tcPr>
            <w:tcW w:w="1318" w:type="pct"/>
            <w:tcBorders>
              <w:top w:val="nil"/>
              <w:bottom w:val="nil"/>
            </w:tcBorders>
            <w:shd w:val="clear" w:color="auto" w:fill="auto"/>
          </w:tcPr>
          <w:p w:rsidR="00452717" w:rsidRPr="00452717" w:rsidRDefault="00452717" w:rsidP="00452717">
            <w:pPr>
              <w:spacing w:after="0" w:line="240" w:lineRule="auto"/>
              <w:jc w:val="both"/>
              <w:rPr>
                <w:sz w:val="20"/>
                <w:szCs w:val="20"/>
                <w:lang w:val="en-MY"/>
              </w:rPr>
            </w:pPr>
            <w:r w:rsidRPr="00452717">
              <w:rPr>
                <w:sz w:val="20"/>
                <w:szCs w:val="20"/>
                <w:lang w:val="en-MY"/>
              </w:rPr>
              <w:t>31.44</w:t>
            </w:r>
          </w:p>
        </w:tc>
      </w:tr>
      <w:tr w:rsidR="00452717" w:rsidRPr="00452717" w:rsidTr="00F45A73">
        <w:trPr>
          <w:jc w:val="center"/>
        </w:trPr>
        <w:tc>
          <w:tcPr>
            <w:tcW w:w="2044" w:type="pct"/>
            <w:tcBorders>
              <w:top w:val="nil"/>
              <w:bottom w:val="nil"/>
            </w:tcBorders>
            <w:shd w:val="clear" w:color="auto" w:fill="auto"/>
          </w:tcPr>
          <w:p w:rsidR="00452717" w:rsidRPr="00452717" w:rsidRDefault="00452717" w:rsidP="00452717">
            <w:pPr>
              <w:spacing w:after="0" w:line="240" w:lineRule="auto"/>
              <w:jc w:val="both"/>
              <w:rPr>
                <w:sz w:val="20"/>
                <w:szCs w:val="20"/>
                <w:lang w:val="en-MY"/>
              </w:rPr>
            </w:pPr>
            <w:r w:rsidRPr="00452717">
              <w:rPr>
                <w:sz w:val="20"/>
                <w:szCs w:val="20"/>
                <w:lang w:val="en-MY"/>
              </w:rPr>
              <w:t xml:space="preserve">2001 – 4000 </w:t>
            </w:r>
          </w:p>
        </w:tc>
        <w:tc>
          <w:tcPr>
            <w:tcW w:w="1639" w:type="pct"/>
            <w:tcBorders>
              <w:top w:val="nil"/>
              <w:bottom w:val="nil"/>
            </w:tcBorders>
            <w:shd w:val="clear" w:color="auto" w:fill="auto"/>
          </w:tcPr>
          <w:p w:rsidR="00452717" w:rsidRPr="00452717" w:rsidRDefault="00452717" w:rsidP="00452717">
            <w:pPr>
              <w:spacing w:after="0" w:line="240" w:lineRule="auto"/>
              <w:jc w:val="both"/>
              <w:rPr>
                <w:sz w:val="20"/>
                <w:szCs w:val="20"/>
                <w:lang w:val="en-MY"/>
              </w:rPr>
            </w:pPr>
            <w:r w:rsidRPr="00452717">
              <w:rPr>
                <w:sz w:val="20"/>
                <w:szCs w:val="20"/>
                <w:lang w:val="en-MY"/>
              </w:rPr>
              <w:t>148</w:t>
            </w:r>
          </w:p>
        </w:tc>
        <w:tc>
          <w:tcPr>
            <w:tcW w:w="1318" w:type="pct"/>
            <w:tcBorders>
              <w:top w:val="nil"/>
              <w:bottom w:val="nil"/>
            </w:tcBorders>
            <w:shd w:val="clear" w:color="auto" w:fill="auto"/>
          </w:tcPr>
          <w:p w:rsidR="00452717" w:rsidRPr="00452717" w:rsidRDefault="00452717" w:rsidP="00452717">
            <w:pPr>
              <w:spacing w:after="0" w:line="240" w:lineRule="auto"/>
              <w:jc w:val="both"/>
              <w:rPr>
                <w:sz w:val="20"/>
                <w:szCs w:val="20"/>
                <w:lang w:val="en-MY"/>
              </w:rPr>
            </w:pPr>
            <w:r w:rsidRPr="00452717">
              <w:rPr>
                <w:sz w:val="20"/>
                <w:szCs w:val="20"/>
                <w:lang w:val="en-MY"/>
              </w:rPr>
              <w:t>34.99</w:t>
            </w:r>
          </w:p>
        </w:tc>
      </w:tr>
      <w:tr w:rsidR="00452717" w:rsidRPr="00452717" w:rsidTr="00F45A73">
        <w:trPr>
          <w:jc w:val="center"/>
        </w:trPr>
        <w:tc>
          <w:tcPr>
            <w:tcW w:w="2044" w:type="pct"/>
            <w:tcBorders>
              <w:top w:val="nil"/>
              <w:bottom w:val="nil"/>
            </w:tcBorders>
            <w:shd w:val="clear" w:color="auto" w:fill="auto"/>
          </w:tcPr>
          <w:p w:rsidR="00452717" w:rsidRPr="00452717" w:rsidRDefault="00452717" w:rsidP="00452717">
            <w:pPr>
              <w:spacing w:after="0" w:line="240" w:lineRule="auto"/>
              <w:jc w:val="both"/>
              <w:rPr>
                <w:sz w:val="20"/>
                <w:szCs w:val="20"/>
                <w:lang w:val="en-MY"/>
              </w:rPr>
            </w:pPr>
            <w:r w:rsidRPr="00452717">
              <w:rPr>
                <w:sz w:val="20"/>
                <w:szCs w:val="20"/>
                <w:lang w:val="en-MY"/>
              </w:rPr>
              <w:t>4001 – 6000</w:t>
            </w:r>
          </w:p>
        </w:tc>
        <w:tc>
          <w:tcPr>
            <w:tcW w:w="1639" w:type="pct"/>
            <w:tcBorders>
              <w:top w:val="nil"/>
              <w:bottom w:val="nil"/>
            </w:tcBorders>
            <w:shd w:val="clear" w:color="auto" w:fill="auto"/>
          </w:tcPr>
          <w:p w:rsidR="00452717" w:rsidRPr="00452717" w:rsidRDefault="00452717" w:rsidP="00452717">
            <w:pPr>
              <w:spacing w:after="0" w:line="240" w:lineRule="auto"/>
              <w:jc w:val="both"/>
              <w:rPr>
                <w:sz w:val="20"/>
                <w:szCs w:val="20"/>
                <w:lang w:val="en-MY"/>
              </w:rPr>
            </w:pPr>
            <w:r w:rsidRPr="00452717">
              <w:rPr>
                <w:sz w:val="20"/>
                <w:szCs w:val="20"/>
                <w:lang w:val="en-MY"/>
              </w:rPr>
              <w:t>88</w:t>
            </w:r>
          </w:p>
        </w:tc>
        <w:tc>
          <w:tcPr>
            <w:tcW w:w="1318" w:type="pct"/>
            <w:tcBorders>
              <w:top w:val="nil"/>
              <w:bottom w:val="nil"/>
            </w:tcBorders>
            <w:shd w:val="clear" w:color="auto" w:fill="auto"/>
          </w:tcPr>
          <w:p w:rsidR="00452717" w:rsidRPr="00452717" w:rsidRDefault="00452717" w:rsidP="00452717">
            <w:pPr>
              <w:spacing w:after="0" w:line="240" w:lineRule="auto"/>
              <w:jc w:val="both"/>
              <w:rPr>
                <w:sz w:val="20"/>
                <w:szCs w:val="20"/>
                <w:lang w:val="en-MY"/>
              </w:rPr>
            </w:pPr>
            <w:r w:rsidRPr="00452717">
              <w:rPr>
                <w:sz w:val="20"/>
                <w:szCs w:val="20"/>
                <w:lang w:val="en-MY"/>
              </w:rPr>
              <w:t>20.80</w:t>
            </w:r>
          </w:p>
        </w:tc>
      </w:tr>
      <w:tr w:rsidR="00452717" w:rsidRPr="00452717" w:rsidTr="00F45A73">
        <w:trPr>
          <w:jc w:val="center"/>
        </w:trPr>
        <w:tc>
          <w:tcPr>
            <w:tcW w:w="2044" w:type="pct"/>
            <w:tcBorders>
              <w:top w:val="nil"/>
              <w:bottom w:val="nil"/>
            </w:tcBorders>
            <w:shd w:val="clear" w:color="auto" w:fill="auto"/>
          </w:tcPr>
          <w:p w:rsidR="00452717" w:rsidRPr="00452717" w:rsidRDefault="00452717" w:rsidP="00452717">
            <w:pPr>
              <w:spacing w:after="0" w:line="240" w:lineRule="auto"/>
              <w:jc w:val="both"/>
              <w:rPr>
                <w:sz w:val="20"/>
                <w:szCs w:val="20"/>
                <w:lang w:val="en-MY"/>
              </w:rPr>
            </w:pPr>
            <w:r w:rsidRPr="00452717">
              <w:rPr>
                <w:sz w:val="20"/>
                <w:szCs w:val="20"/>
                <w:lang w:val="en-MY"/>
              </w:rPr>
              <w:t>6001 – 8000</w:t>
            </w:r>
          </w:p>
        </w:tc>
        <w:tc>
          <w:tcPr>
            <w:tcW w:w="1639" w:type="pct"/>
            <w:tcBorders>
              <w:top w:val="nil"/>
              <w:bottom w:val="nil"/>
            </w:tcBorders>
            <w:shd w:val="clear" w:color="auto" w:fill="auto"/>
          </w:tcPr>
          <w:p w:rsidR="00452717" w:rsidRPr="00452717" w:rsidRDefault="00452717" w:rsidP="00452717">
            <w:pPr>
              <w:spacing w:after="0" w:line="240" w:lineRule="auto"/>
              <w:jc w:val="both"/>
              <w:rPr>
                <w:sz w:val="20"/>
                <w:szCs w:val="20"/>
                <w:lang w:val="en-MY"/>
              </w:rPr>
            </w:pPr>
            <w:r w:rsidRPr="00452717">
              <w:rPr>
                <w:sz w:val="20"/>
                <w:szCs w:val="20"/>
                <w:lang w:val="en-MY"/>
              </w:rPr>
              <w:t>32</w:t>
            </w:r>
          </w:p>
        </w:tc>
        <w:tc>
          <w:tcPr>
            <w:tcW w:w="1318" w:type="pct"/>
            <w:tcBorders>
              <w:top w:val="nil"/>
              <w:bottom w:val="nil"/>
            </w:tcBorders>
            <w:shd w:val="clear" w:color="auto" w:fill="auto"/>
          </w:tcPr>
          <w:p w:rsidR="00452717" w:rsidRPr="00452717" w:rsidRDefault="00452717" w:rsidP="00452717">
            <w:pPr>
              <w:spacing w:after="0" w:line="240" w:lineRule="auto"/>
              <w:jc w:val="both"/>
              <w:rPr>
                <w:sz w:val="20"/>
                <w:szCs w:val="20"/>
                <w:lang w:val="en-MY"/>
              </w:rPr>
            </w:pPr>
            <w:r w:rsidRPr="00452717">
              <w:rPr>
                <w:sz w:val="20"/>
                <w:szCs w:val="20"/>
                <w:lang w:val="en-MY"/>
              </w:rPr>
              <w:t>7.57</w:t>
            </w:r>
          </w:p>
        </w:tc>
      </w:tr>
      <w:tr w:rsidR="00452717" w:rsidRPr="00452717" w:rsidTr="00F45A73">
        <w:trPr>
          <w:jc w:val="center"/>
        </w:trPr>
        <w:tc>
          <w:tcPr>
            <w:tcW w:w="2044" w:type="pct"/>
            <w:tcBorders>
              <w:top w:val="nil"/>
              <w:bottom w:val="nil"/>
            </w:tcBorders>
            <w:shd w:val="clear" w:color="auto" w:fill="auto"/>
          </w:tcPr>
          <w:p w:rsidR="00452717" w:rsidRPr="00452717" w:rsidRDefault="00452717" w:rsidP="00452717">
            <w:pPr>
              <w:spacing w:after="0" w:line="240" w:lineRule="auto"/>
              <w:jc w:val="both"/>
              <w:rPr>
                <w:sz w:val="20"/>
                <w:szCs w:val="20"/>
                <w:lang w:val="en-MY"/>
              </w:rPr>
            </w:pPr>
            <w:r w:rsidRPr="00452717">
              <w:rPr>
                <w:sz w:val="20"/>
                <w:szCs w:val="20"/>
                <w:lang w:val="en-MY"/>
              </w:rPr>
              <w:t>&gt;8000</w:t>
            </w:r>
          </w:p>
        </w:tc>
        <w:tc>
          <w:tcPr>
            <w:tcW w:w="1639" w:type="pct"/>
            <w:tcBorders>
              <w:top w:val="nil"/>
              <w:bottom w:val="nil"/>
            </w:tcBorders>
            <w:shd w:val="clear" w:color="auto" w:fill="auto"/>
          </w:tcPr>
          <w:p w:rsidR="00452717" w:rsidRPr="00452717" w:rsidRDefault="00452717" w:rsidP="00452717">
            <w:pPr>
              <w:spacing w:after="0" w:line="240" w:lineRule="auto"/>
              <w:jc w:val="both"/>
              <w:rPr>
                <w:sz w:val="20"/>
                <w:szCs w:val="20"/>
                <w:lang w:val="en-MY"/>
              </w:rPr>
            </w:pPr>
            <w:r w:rsidRPr="00452717">
              <w:rPr>
                <w:sz w:val="20"/>
                <w:szCs w:val="20"/>
                <w:lang w:val="en-MY"/>
              </w:rPr>
              <w:t>22</w:t>
            </w:r>
          </w:p>
        </w:tc>
        <w:tc>
          <w:tcPr>
            <w:tcW w:w="1318" w:type="pct"/>
            <w:tcBorders>
              <w:top w:val="nil"/>
              <w:bottom w:val="nil"/>
            </w:tcBorders>
            <w:shd w:val="clear" w:color="auto" w:fill="auto"/>
          </w:tcPr>
          <w:p w:rsidR="00452717" w:rsidRPr="00452717" w:rsidRDefault="00452717" w:rsidP="00452717">
            <w:pPr>
              <w:spacing w:after="0" w:line="240" w:lineRule="auto"/>
              <w:jc w:val="both"/>
              <w:rPr>
                <w:sz w:val="20"/>
                <w:szCs w:val="20"/>
                <w:lang w:val="en-MY"/>
              </w:rPr>
            </w:pPr>
            <w:r w:rsidRPr="00452717">
              <w:rPr>
                <w:sz w:val="20"/>
                <w:szCs w:val="20"/>
                <w:lang w:val="en-MY"/>
              </w:rPr>
              <w:t>5.20</w:t>
            </w:r>
          </w:p>
        </w:tc>
      </w:tr>
      <w:tr w:rsidR="00452717" w:rsidRPr="00452717" w:rsidTr="00F45A73">
        <w:trPr>
          <w:jc w:val="center"/>
        </w:trPr>
        <w:tc>
          <w:tcPr>
            <w:tcW w:w="2044" w:type="pct"/>
            <w:tcBorders>
              <w:top w:val="nil"/>
              <w:bottom w:val="nil"/>
            </w:tcBorders>
            <w:shd w:val="clear" w:color="auto" w:fill="auto"/>
          </w:tcPr>
          <w:p w:rsidR="00452717" w:rsidRPr="00452717" w:rsidRDefault="00452717" w:rsidP="00452717">
            <w:pPr>
              <w:spacing w:after="0" w:line="240" w:lineRule="auto"/>
              <w:jc w:val="both"/>
              <w:rPr>
                <w:b/>
                <w:sz w:val="20"/>
                <w:szCs w:val="20"/>
                <w:lang w:val="en-MY"/>
              </w:rPr>
            </w:pPr>
            <w:r w:rsidRPr="00452717">
              <w:rPr>
                <w:b/>
                <w:sz w:val="20"/>
                <w:szCs w:val="20"/>
                <w:lang w:val="en-MY"/>
              </w:rPr>
              <w:t>Category</w:t>
            </w:r>
          </w:p>
        </w:tc>
        <w:tc>
          <w:tcPr>
            <w:tcW w:w="1639" w:type="pct"/>
            <w:tcBorders>
              <w:top w:val="nil"/>
              <w:bottom w:val="nil"/>
            </w:tcBorders>
            <w:shd w:val="clear" w:color="auto" w:fill="auto"/>
          </w:tcPr>
          <w:p w:rsidR="00452717" w:rsidRPr="00452717" w:rsidRDefault="00452717" w:rsidP="00452717">
            <w:pPr>
              <w:spacing w:after="0" w:line="240" w:lineRule="auto"/>
              <w:jc w:val="both"/>
              <w:rPr>
                <w:sz w:val="20"/>
                <w:szCs w:val="20"/>
                <w:lang w:val="en-MY"/>
              </w:rPr>
            </w:pPr>
          </w:p>
        </w:tc>
        <w:tc>
          <w:tcPr>
            <w:tcW w:w="1318" w:type="pct"/>
            <w:tcBorders>
              <w:top w:val="nil"/>
              <w:bottom w:val="nil"/>
            </w:tcBorders>
            <w:shd w:val="clear" w:color="auto" w:fill="auto"/>
          </w:tcPr>
          <w:p w:rsidR="00452717" w:rsidRPr="00452717" w:rsidRDefault="00452717" w:rsidP="00452717">
            <w:pPr>
              <w:spacing w:after="0" w:line="240" w:lineRule="auto"/>
              <w:jc w:val="both"/>
              <w:rPr>
                <w:sz w:val="20"/>
                <w:szCs w:val="20"/>
                <w:lang w:val="en-MY"/>
              </w:rPr>
            </w:pPr>
          </w:p>
        </w:tc>
      </w:tr>
      <w:tr w:rsidR="00452717" w:rsidRPr="00452717" w:rsidTr="00F45A73">
        <w:trPr>
          <w:jc w:val="center"/>
        </w:trPr>
        <w:tc>
          <w:tcPr>
            <w:tcW w:w="2044" w:type="pct"/>
            <w:tcBorders>
              <w:top w:val="nil"/>
              <w:bottom w:val="nil"/>
            </w:tcBorders>
            <w:shd w:val="clear" w:color="auto" w:fill="auto"/>
          </w:tcPr>
          <w:p w:rsidR="00452717" w:rsidRPr="00452717" w:rsidRDefault="00452717" w:rsidP="00452717">
            <w:pPr>
              <w:spacing w:after="0" w:line="240" w:lineRule="auto"/>
              <w:jc w:val="both"/>
              <w:rPr>
                <w:sz w:val="20"/>
                <w:szCs w:val="20"/>
                <w:lang w:val="en-MY"/>
              </w:rPr>
            </w:pPr>
            <w:r w:rsidRPr="00452717">
              <w:rPr>
                <w:sz w:val="20"/>
                <w:szCs w:val="20"/>
                <w:lang w:val="en-MY"/>
              </w:rPr>
              <w:t xml:space="preserve">Healthcare receiver </w:t>
            </w:r>
          </w:p>
        </w:tc>
        <w:tc>
          <w:tcPr>
            <w:tcW w:w="1639" w:type="pct"/>
            <w:tcBorders>
              <w:top w:val="nil"/>
              <w:bottom w:val="nil"/>
            </w:tcBorders>
            <w:shd w:val="clear" w:color="auto" w:fill="auto"/>
          </w:tcPr>
          <w:p w:rsidR="00452717" w:rsidRPr="00452717" w:rsidRDefault="00452717" w:rsidP="00452717">
            <w:pPr>
              <w:spacing w:after="0" w:line="240" w:lineRule="auto"/>
              <w:jc w:val="both"/>
              <w:rPr>
                <w:sz w:val="20"/>
                <w:szCs w:val="20"/>
                <w:lang w:val="en-MY"/>
              </w:rPr>
            </w:pPr>
            <w:r w:rsidRPr="00452717">
              <w:rPr>
                <w:sz w:val="20"/>
                <w:szCs w:val="20"/>
                <w:lang w:val="en-MY"/>
              </w:rPr>
              <w:t>267</w:t>
            </w:r>
          </w:p>
        </w:tc>
        <w:tc>
          <w:tcPr>
            <w:tcW w:w="1318" w:type="pct"/>
            <w:tcBorders>
              <w:top w:val="nil"/>
              <w:bottom w:val="nil"/>
            </w:tcBorders>
            <w:shd w:val="clear" w:color="auto" w:fill="auto"/>
          </w:tcPr>
          <w:p w:rsidR="00452717" w:rsidRPr="00452717" w:rsidRDefault="00452717" w:rsidP="00452717">
            <w:pPr>
              <w:spacing w:after="0" w:line="240" w:lineRule="auto"/>
              <w:jc w:val="both"/>
              <w:rPr>
                <w:sz w:val="20"/>
                <w:szCs w:val="20"/>
                <w:lang w:val="en-MY"/>
              </w:rPr>
            </w:pPr>
            <w:r w:rsidRPr="00452717">
              <w:rPr>
                <w:sz w:val="20"/>
                <w:szCs w:val="20"/>
                <w:lang w:val="en-MY"/>
              </w:rPr>
              <w:t>63.12</w:t>
            </w:r>
          </w:p>
        </w:tc>
      </w:tr>
      <w:tr w:rsidR="00452717" w:rsidRPr="00452717" w:rsidTr="00F45A73">
        <w:trPr>
          <w:jc w:val="center"/>
        </w:trPr>
        <w:tc>
          <w:tcPr>
            <w:tcW w:w="2044" w:type="pct"/>
            <w:tcBorders>
              <w:top w:val="nil"/>
              <w:bottom w:val="single" w:sz="4" w:space="0" w:color="auto"/>
            </w:tcBorders>
            <w:shd w:val="clear" w:color="auto" w:fill="auto"/>
          </w:tcPr>
          <w:p w:rsidR="00452717" w:rsidRPr="00452717" w:rsidRDefault="00452717" w:rsidP="00452717">
            <w:pPr>
              <w:spacing w:after="0" w:line="240" w:lineRule="auto"/>
              <w:jc w:val="both"/>
              <w:rPr>
                <w:sz w:val="20"/>
                <w:szCs w:val="20"/>
                <w:lang w:val="en-MY"/>
              </w:rPr>
            </w:pPr>
            <w:r w:rsidRPr="00452717">
              <w:rPr>
                <w:sz w:val="20"/>
                <w:szCs w:val="20"/>
                <w:lang w:val="en-MY"/>
              </w:rPr>
              <w:t xml:space="preserve">Healthcare provider </w:t>
            </w:r>
          </w:p>
        </w:tc>
        <w:tc>
          <w:tcPr>
            <w:tcW w:w="1639" w:type="pct"/>
            <w:tcBorders>
              <w:top w:val="nil"/>
              <w:bottom w:val="single" w:sz="4" w:space="0" w:color="auto"/>
            </w:tcBorders>
            <w:shd w:val="clear" w:color="auto" w:fill="auto"/>
          </w:tcPr>
          <w:p w:rsidR="00452717" w:rsidRPr="00452717" w:rsidRDefault="00452717" w:rsidP="00452717">
            <w:pPr>
              <w:spacing w:after="0" w:line="240" w:lineRule="auto"/>
              <w:jc w:val="both"/>
              <w:rPr>
                <w:sz w:val="20"/>
                <w:szCs w:val="20"/>
                <w:lang w:val="en-MY"/>
              </w:rPr>
            </w:pPr>
            <w:r w:rsidRPr="00452717">
              <w:rPr>
                <w:sz w:val="20"/>
                <w:szCs w:val="20"/>
                <w:lang w:val="en-MY"/>
              </w:rPr>
              <w:t>156</w:t>
            </w:r>
          </w:p>
        </w:tc>
        <w:tc>
          <w:tcPr>
            <w:tcW w:w="1318" w:type="pct"/>
            <w:tcBorders>
              <w:top w:val="nil"/>
              <w:bottom w:val="single" w:sz="4" w:space="0" w:color="auto"/>
            </w:tcBorders>
            <w:shd w:val="clear" w:color="auto" w:fill="auto"/>
          </w:tcPr>
          <w:p w:rsidR="00452717" w:rsidRPr="00452717" w:rsidRDefault="00452717" w:rsidP="00452717">
            <w:pPr>
              <w:spacing w:after="0" w:line="240" w:lineRule="auto"/>
              <w:jc w:val="both"/>
              <w:rPr>
                <w:sz w:val="20"/>
                <w:szCs w:val="20"/>
                <w:lang w:val="en-MY"/>
              </w:rPr>
            </w:pPr>
            <w:r w:rsidRPr="00452717">
              <w:rPr>
                <w:sz w:val="20"/>
                <w:szCs w:val="20"/>
                <w:lang w:val="en-MY"/>
              </w:rPr>
              <w:t>36.88</w:t>
            </w:r>
          </w:p>
        </w:tc>
      </w:tr>
    </w:tbl>
    <w:p w:rsidR="00452717" w:rsidRDefault="00452717" w:rsidP="00452717">
      <w:pPr>
        <w:spacing w:after="0" w:line="240" w:lineRule="auto"/>
        <w:jc w:val="both"/>
        <w:rPr>
          <w:sz w:val="24"/>
          <w:szCs w:val="24"/>
        </w:rPr>
      </w:pPr>
    </w:p>
    <w:p w:rsidR="00F45A73" w:rsidRPr="00F45A73" w:rsidRDefault="00F45A73" w:rsidP="00F45A73">
      <w:pPr>
        <w:spacing w:after="0" w:line="240" w:lineRule="auto"/>
        <w:jc w:val="both"/>
        <w:rPr>
          <w:i/>
          <w:sz w:val="24"/>
          <w:szCs w:val="24"/>
        </w:rPr>
      </w:pPr>
      <w:r w:rsidRPr="00F45A73">
        <w:rPr>
          <w:i/>
          <w:sz w:val="24"/>
          <w:szCs w:val="24"/>
        </w:rPr>
        <w:t xml:space="preserve">Confirmatory Factor Analysis  </w:t>
      </w:r>
    </w:p>
    <w:p w:rsidR="00066958" w:rsidRPr="00066958" w:rsidRDefault="00066958" w:rsidP="00066958">
      <w:pPr>
        <w:spacing w:after="0" w:line="240" w:lineRule="auto"/>
        <w:jc w:val="both"/>
        <w:rPr>
          <w:sz w:val="24"/>
          <w:szCs w:val="24"/>
        </w:rPr>
      </w:pPr>
      <w:r w:rsidRPr="00066958">
        <w:rPr>
          <w:sz w:val="24"/>
          <w:szCs w:val="24"/>
        </w:rPr>
        <w:t>CFA is a comprehensive method of ensuring the measurement model validity, whereby its methods assess the unidimensionality, validity, and reliability of the latent constructs. Each of the items is allowed to load solely on the main factor of interest, and not on any other factors. Items that do not fit the measurement model due to low factor loading should be removed from the model (Awang</w:t>
      </w:r>
      <w:r>
        <w:rPr>
          <w:sz w:val="24"/>
          <w:szCs w:val="24"/>
        </w:rPr>
        <w:t>,</w:t>
      </w:r>
      <w:r w:rsidRPr="00066958">
        <w:rPr>
          <w:sz w:val="24"/>
          <w:szCs w:val="24"/>
        </w:rPr>
        <w:t xml:space="preserve"> 2015). </w:t>
      </w:r>
    </w:p>
    <w:p w:rsidR="00066958" w:rsidRPr="00066958" w:rsidRDefault="00066958" w:rsidP="00066958">
      <w:pPr>
        <w:spacing w:after="0" w:line="240" w:lineRule="auto"/>
        <w:ind w:firstLine="708"/>
        <w:jc w:val="both"/>
        <w:rPr>
          <w:sz w:val="24"/>
          <w:szCs w:val="24"/>
        </w:rPr>
      </w:pPr>
      <w:r w:rsidRPr="00066958">
        <w:rPr>
          <w:sz w:val="24"/>
          <w:szCs w:val="24"/>
        </w:rPr>
        <w:t>Unidimensionality measures mean that a set of measured variables (indicators) can be explained by only one underlying construct (Hair et al.</w:t>
      </w:r>
      <w:r>
        <w:rPr>
          <w:sz w:val="24"/>
          <w:szCs w:val="24"/>
        </w:rPr>
        <w:t>,</w:t>
      </w:r>
      <w:r w:rsidRPr="00066958">
        <w:rPr>
          <w:sz w:val="24"/>
          <w:szCs w:val="24"/>
        </w:rPr>
        <w:t xml:space="preserve"> 2010). It is achieved when all measuring items have acceptable factor loadings for the respective latent construct (Awang</w:t>
      </w:r>
      <w:r>
        <w:rPr>
          <w:sz w:val="24"/>
          <w:szCs w:val="24"/>
        </w:rPr>
        <w:t>,</w:t>
      </w:r>
      <w:r w:rsidRPr="00066958">
        <w:rPr>
          <w:sz w:val="24"/>
          <w:szCs w:val="24"/>
        </w:rPr>
        <w:t xml:space="preserve"> 2015). Tabachnick and Fidell </w:t>
      </w:r>
      <w:r>
        <w:rPr>
          <w:sz w:val="24"/>
          <w:szCs w:val="24"/>
        </w:rPr>
        <w:t xml:space="preserve">(2007) </w:t>
      </w:r>
      <w:r w:rsidRPr="00066958">
        <w:rPr>
          <w:sz w:val="24"/>
          <w:szCs w:val="24"/>
        </w:rPr>
        <w:t xml:space="preserve">suggested that the loadings above 0.71 to be excellent, 0.63 is very good, 0.55 is good, while 0.45 indicate fair and 0.32 are poor. In this study, all indicators were significantly loaded onto their respective factors, with loadings that ranged </w:t>
      </w:r>
      <w:r w:rsidRPr="00066958">
        <w:rPr>
          <w:sz w:val="24"/>
          <w:szCs w:val="24"/>
        </w:rPr>
        <w:lastRenderedPageBreak/>
        <w:t xml:space="preserve">between good to excellent and from .520 to .928.  </w:t>
      </w:r>
      <w:r w:rsidR="00AB535D">
        <w:rPr>
          <w:sz w:val="24"/>
          <w:szCs w:val="24"/>
        </w:rPr>
        <w:t>Six</w:t>
      </w:r>
      <w:r w:rsidRPr="00066958">
        <w:rPr>
          <w:sz w:val="24"/>
          <w:szCs w:val="24"/>
        </w:rPr>
        <w:t xml:space="preserve"> items yielding loadings below 0.50 were removed. </w:t>
      </w:r>
    </w:p>
    <w:p w:rsidR="00F45A73" w:rsidRDefault="00066958" w:rsidP="00066958">
      <w:pPr>
        <w:spacing w:after="0" w:line="240" w:lineRule="auto"/>
        <w:jc w:val="both"/>
        <w:rPr>
          <w:sz w:val="24"/>
          <w:szCs w:val="24"/>
        </w:rPr>
      </w:pPr>
      <w:r w:rsidRPr="00066958">
        <w:rPr>
          <w:sz w:val="24"/>
          <w:szCs w:val="24"/>
        </w:rPr>
        <w:tab/>
        <w:t>Validity refers to the ability of the instrument to measure what it is supposed to measure for a latent construct. Construct validity is achieved when the fitness indexes for the measurement model meets the recommended requirement. The fitness indexes indicate how fit the items are in measuring their respective latent construct (Awang</w:t>
      </w:r>
      <w:r>
        <w:rPr>
          <w:sz w:val="24"/>
          <w:szCs w:val="24"/>
        </w:rPr>
        <w:t>,</w:t>
      </w:r>
      <w:r w:rsidRPr="00066958">
        <w:rPr>
          <w:sz w:val="24"/>
          <w:szCs w:val="24"/>
        </w:rPr>
        <w:t xml:space="preserve"> 2015). Based on the result, </w:t>
      </w:r>
      <w:r w:rsidR="00AB535D">
        <w:rPr>
          <w:sz w:val="24"/>
          <w:szCs w:val="24"/>
        </w:rPr>
        <w:t>six</w:t>
      </w:r>
      <w:r w:rsidRPr="00066958">
        <w:rPr>
          <w:sz w:val="24"/>
          <w:szCs w:val="24"/>
        </w:rPr>
        <w:t xml:space="preserve"> items displaying poor loading (below 0.50) were removed to improve the fitness indexes, namely RMSEA, CFI, GFI, IFI, TLI, and Chi-square/df. The fitness indexes for this study are achieved accordingly, with the results displayed in Table </w:t>
      </w:r>
      <w:r>
        <w:rPr>
          <w:sz w:val="24"/>
          <w:szCs w:val="24"/>
        </w:rPr>
        <w:t>2</w:t>
      </w:r>
      <w:r w:rsidRPr="00066958">
        <w:rPr>
          <w:sz w:val="24"/>
          <w:szCs w:val="24"/>
        </w:rPr>
        <w:t>.</w:t>
      </w:r>
    </w:p>
    <w:p w:rsidR="00066958" w:rsidRPr="00F45A73" w:rsidRDefault="00066958" w:rsidP="00066958">
      <w:pPr>
        <w:spacing w:after="0" w:line="240" w:lineRule="auto"/>
        <w:jc w:val="both"/>
        <w:rPr>
          <w:b/>
          <w:sz w:val="24"/>
          <w:szCs w:val="24"/>
          <w:lang w:val="en-MY"/>
        </w:rPr>
      </w:pPr>
    </w:p>
    <w:p w:rsidR="00F45A73" w:rsidRPr="00F45A73" w:rsidRDefault="00F45A73" w:rsidP="00F45A73">
      <w:pPr>
        <w:spacing w:after="0" w:line="240" w:lineRule="auto"/>
        <w:ind w:firstLine="708"/>
        <w:jc w:val="center"/>
        <w:rPr>
          <w:sz w:val="20"/>
          <w:szCs w:val="20"/>
          <w:lang w:val="en-MY"/>
        </w:rPr>
      </w:pPr>
      <w:bookmarkStart w:id="1" w:name="_Hlk17286777"/>
      <w:r w:rsidRPr="00F45A73">
        <w:rPr>
          <w:sz w:val="20"/>
          <w:szCs w:val="20"/>
          <w:lang w:val="en-MY"/>
        </w:rPr>
        <w:t>Table 2. Fit Indexes for CFA.</w:t>
      </w:r>
    </w:p>
    <w:tbl>
      <w:tblPr>
        <w:tblW w:w="4756" w:type="pct"/>
        <w:jc w:val="center"/>
        <w:tblBorders>
          <w:top w:val="single" w:sz="4" w:space="0" w:color="auto"/>
          <w:bottom w:val="single" w:sz="4" w:space="0" w:color="auto"/>
        </w:tblBorders>
        <w:tblLook w:val="04A0" w:firstRow="1" w:lastRow="0" w:firstColumn="1" w:lastColumn="0" w:noHBand="0" w:noVBand="1"/>
      </w:tblPr>
      <w:tblGrid>
        <w:gridCol w:w="2042"/>
        <w:gridCol w:w="4480"/>
        <w:gridCol w:w="2107"/>
      </w:tblGrid>
      <w:tr w:rsidR="00F45A73" w:rsidRPr="00F45A73" w:rsidTr="00F45A73">
        <w:trPr>
          <w:jc w:val="center"/>
        </w:trPr>
        <w:tc>
          <w:tcPr>
            <w:tcW w:w="1183" w:type="pct"/>
            <w:tcBorders>
              <w:top w:val="single" w:sz="4" w:space="0" w:color="auto"/>
              <w:bottom w:val="single" w:sz="4" w:space="0" w:color="auto"/>
            </w:tcBorders>
            <w:shd w:val="clear" w:color="auto" w:fill="auto"/>
          </w:tcPr>
          <w:p w:rsidR="00F45A73" w:rsidRPr="00F45A73" w:rsidRDefault="00F45A73" w:rsidP="00F45A73">
            <w:pPr>
              <w:spacing w:after="0" w:line="240" w:lineRule="auto"/>
              <w:ind w:left="-276" w:firstLine="114"/>
              <w:jc w:val="both"/>
              <w:rPr>
                <w:bCs/>
                <w:sz w:val="20"/>
                <w:szCs w:val="20"/>
                <w:lang w:val="en-MY"/>
              </w:rPr>
            </w:pPr>
          </w:p>
        </w:tc>
        <w:tc>
          <w:tcPr>
            <w:tcW w:w="2595" w:type="pct"/>
            <w:tcBorders>
              <w:top w:val="single" w:sz="4" w:space="0" w:color="auto"/>
              <w:bottom w:val="single" w:sz="4" w:space="0" w:color="auto"/>
            </w:tcBorders>
            <w:shd w:val="clear" w:color="auto" w:fill="auto"/>
          </w:tcPr>
          <w:p w:rsidR="00F45A73" w:rsidRPr="00F45A73" w:rsidRDefault="00F45A73" w:rsidP="00F45A73">
            <w:pPr>
              <w:spacing w:after="0" w:line="240" w:lineRule="auto"/>
              <w:ind w:left="72"/>
              <w:jc w:val="both"/>
              <w:rPr>
                <w:b/>
                <w:bCs/>
                <w:sz w:val="20"/>
                <w:szCs w:val="20"/>
                <w:lang w:val="en-MY"/>
              </w:rPr>
            </w:pPr>
            <w:r w:rsidRPr="00F45A73">
              <w:rPr>
                <w:b/>
                <w:bCs/>
                <w:sz w:val="20"/>
                <w:szCs w:val="20"/>
                <w:lang w:val="en-MY"/>
              </w:rPr>
              <w:t>Recommended Level of Fit</w:t>
            </w:r>
          </w:p>
        </w:tc>
        <w:tc>
          <w:tcPr>
            <w:tcW w:w="1221" w:type="pct"/>
            <w:tcBorders>
              <w:top w:val="single" w:sz="4" w:space="0" w:color="auto"/>
              <w:bottom w:val="single" w:sz="4" w:space="0" w:color="auto"/>
            </w:tcBorders>
            <w:shd w:val="clear" w:color="auto" w:fill="auto"/>
          </w:tcPr>
          <w:p w:rsidR="00F45A73" w:rsidRPr="00F45A73" w:rsidRDefault="00F45A73" w:rsidP="00F45A73">
            <w:pPr>
              <w:spacing w:after="0" w:line="240" w:lineRule="auto"/>
              <w:ind w:left="78"/>
              <w:jc w:val="both"/>
              <w:rPr>
                <w:b/>
                <w:bCs/>
                <w:sz w:val="20"/>
                <w:szCs w:val="20"/>
                <w:lang w:val="en-MY"/>
              </w:rPr>
            </w:pPr>
            <w:r w:rsidRPr="00F45A73">
              <w:rPr>
                <w:b/>
                <w:bCs/>
                <w:sz w:val="20"/>
                <w:szCs w:val="20"/>
                <w:lang w:val="en-MY"/>
              </w:rPr>
              <w:t xml:space="preserve">Proposed Model </w:t>
            </w:r>
          </w:p>
        </w:tc>
      </w:tr>
      <w:tr w:rsidR="00F45A73" w:rsidRPr="00F45A73" w:rsidTr="002048E4">
        <w:trPr>
          <w:jc w:val="center"/>
        </w:trPr>
        <w:tc>
          <w:tcPr>
            <w:tcW w:w="1183" w:type="pct"/>
            <w:tcBorders>
              <w:top w:val="single" w:sz="4" w:space="0" w:color="auto"/>
              <w:bottom w:val="nil"/>
            </w:tcBorders>
            <w:shd w:val="clear" w:color="auto" w:fill="auto"/>
          </w:tcPr>
          <w:p w:rsidR="00F45A73" w:rsidRPr="00F45A73" w:rsidRDefault="00F45A73" w:rsidP="00A7673B">
            <w:pPr>
              <w:spacing w:after="0" w:line="240" w:lineRule="auto"/>
              <w:rPr>
                <w:b/>
                <w:bCs/>
                <w:sz w:val="20"/>
                <w:szCs w:val="20"/>
                <w:lang w:val="en-MY"/>
              </w:rPr>
            </w:pPr>
            <w:r w:rsidRPr="00F45A73">
              <w:rPr>
                <w:b/>
                <w:bCs/>
                <w:sz w:val="20"/>
                <w:szCs w:val="20"/>
                <w:lang w:val="en-MY"/>
              </w:rPr>
              <w:t xml:space="preserve">Absolute fit indices </w:t>
            </w:r>
          </w:p>
        </w:tc>
        <w:tc>
          <w:tcPr>
            <w:tcW w:w="2595" w:type="pct"/>
            <w:tcBorders>
              <w:top w:val="single" w:sz="4" w:space="0" w:color="auto"/>
              <w:bottom w:val="nil"/>
            </w:tcBorders>
            <w:shd w:val="clear" w:color="auto" w:fill="auto"/>
          </w:tcPr>
          <w:p w:rsidR="00F45A73" w:rsidRPr="00F45A73" w:rsidRDefault="00F45A73" w:rsidP="00F45A73">
            <w:pPr>
              <w:spacing w:after="0" w:line="240" w:lineRule="auto"/>
              <w:ind w:left="72"/>
              <w:jc w:val="both"/>
              <w:rPr>
                <w:sz w:val="20"/>
                <w:szCs w:val="20"/>
                <w:lang w:val="en-MY"/>
              </w:rPr>
            </w:pPr>
          </w:p>
        </w:tc>
        <w:tc>
          <w:tcPr>
            <w:tcW w:w="1221" w:type="pct"/>
            <w:tcBorders>
              <w:top w:val="single" w:sz="4" w:space="0" w:color="auto"/>
              <w:bottom w:val="nil"/>
            </w:tcBorders>
            <w:shd w:val="clear" w:color="auto" w:fill="auto"/>
          </w:tcPr>
          <w:p w:rsidR="00F45A73" w:rsidRPr="00F45A73" w:rsidRDefault="00F45A73" w:rsidP="00F45A73">
            <w:pPr>
              <w:spacing w:after="0" w:line="240" w:lineRule="auto"/>
              <w:ind w:left="78"/>
              <w:jc w:val="both"/>
              <w:rPr>
                <w:sz w:val="20"/>
                <w:szCs w:val="20"/>
                <w:lang w:val="en-MY"/>
              </w:rPr>
            </w:pPr>
          </w:p>
        </w:tc>
      </w:tr>
      <w:tr w:rsidR="00F45A73" w:rsidRPr="00F45A73" w:rsidTr="002048E4">
        <w:trPr>
          <w:jc w:val="center"/>
        </w:trPr>
        <w:tc>
          <w:tcPr>
            <w:tcW w:w="1183" w:type="pct"/>
            <w:tcBorders>
              <w:top w:val="nil"/>
              <w:bottom w:val="nil"/>
            </w:tcBorders>
            <w:shd w:val="clear" w:color="auto" w:fill="auto"/>
          </w:tcPr>
          <w:p w:rsidR="00F45A73" w:rsidRPr="00F45A73" w:rsidRDefault="00F45A73" w:rsidP="00A7673B">
            <w:pPr>
              <w:spacing w:after="0" w:line="240" w:lineRule="auto"/>
              <w:rPr>
                <w:bCs/>
                <w:sz w:val="20"/>
                <w:szCs w:val="20"/>
                <w:lang w:val="en-MY"/>
              </w:rPr>
            </w:pPr>
            <w:r w:rsidRPr="00F45A73">
              <w:rPr>
                <w:bCs/>
                <w:sz w:val="20"/>
                <w:szCs w:val="20"/>
                <w:lang w:val="en-MY"/>
              </w:rPr>
              <w:t>Chi-Square</w:t>
            </w:r>
          </w:p>
        </w:tc>
        <w:tc>
          <w:tcPr>
            <w:tcW w:w="2595" w:type="pct"/>
            <w:tcBorders>
              <w:top w:val="nil"/>
              <w:bottom w:val="nil"/>
            </w:tcBorders>
            <w:shd w:val="clear" w:color="auto" w:fill="auto"/>
          </w:tcPr>
          <w:p w:rsidR="00F45A73" w:rsidRPr="00F45A73" w:rsidRDefault="00F45A73" w:rsidP="00F45A73">
            <w:pPr>
              <w:spacing w:after="0" w:line="240" w:lineRule="auto"/>
              <w:ind w:left="72"/>
              <w:jc w:val="both"/>
              <w:rPr>
                <w:sz w:val="20"/>
                <w:szCs w:val="20"/>
                <w:lang w:val="en-MY"/>
              </w:rPr>
            </w:pPr>
            <w:r w:rsidRPr="00F45A73">
              <w:rPr>
                <w:sz w:val="20"/>
                <w:szCs w:val="20"/>
                <w:lang w:val="en-MY"/>
              </w:rPr>
              <w:t>P-value &gt; 0.05, Not applicable for large sample size</w:t>
            </w:r>
          </w:p>
        </w:tc>
        <w:tc>
          <w:tcPr>
            <w:tcW w:w="1221" w:type="pct"/>
            <w:tcBorders>
              <w:top w:val="nil"/>
              <w:bottom w:val="nil"/>
            </w:tcBorders>
            <w:shd w:val="clear" w:color="auto" w:fill="auto"/>
          </w:tcPr>
          <w:p w:rsidR="00F45A73" w:rsidRPr="00F45A73" w:rsidRDefault="00F45A73" w:rsidP="00F45A73">
            <w:pPr>
              <w:spacing w:after="0" w:line="240" w:lineRule="auto"/>
              <w:ind w:right="-18"/>
              <w:jc w:val="both"/>
              <w:rPr>
                <w:sz w:val="20"/>
                <w:szCs w:val="20"/>
                <w:lang w:val="en-MY"/>
              </w:rPr>
            </w:pPr>
            <w:r w:rsidRPr="00F45A73">
              <w:rPr>
                <w:sz w:val="20"/>
                <w:szCs w:val="20"/>
                <w:lang w:val="en-MY"/>
              </w:rPr>
              <w:t>Chi-square</w:t>
            </w:r>
            <w:r>
              <w:rPr>
                <w:sz w:val="20"/>
                <w:szCs w:val="20"/>
                <w:lang w:val="en-MY"/>
              </w:rPr>
              <w:t xml:space="preserve"> </w:t>
            </w:r>
            <w:r w:rsidRPr="00F45A73">
              <w:rPr>
                <w:sz w:val="20"/>
                <w:szCs w:val="20"/>
                <w:lang w:val="en-MY"/>
              </w:rPr>
              <w:t>=</w:t>
            </w:r>
            <w:r>
              <w:rPr>
                <w:sz w:val="20"/>
                <w:szCs w:val="20"/>
                <w:lang w:val="en-MY"/>
              </w:rPr>
              <w:t xml:space="preserve"> </w:t>
            </w:r>
            <w:r w:rsidRPr="00F45A73">
              <w:rPr>
                <w:sz w:val="20"/>
                <w:szCs w:val="20"/>
                <w:lang w:val="en-MY"/>
              </w:rPr>
              <w:t>1206.776</w:t>
            </w:r>
          </w:p>
          <w:p w:rsidR="00F45A73" w:rsidRPr="00F45A73" w:rsidRDefault="00F45A73" w:rsidP="00F45A73">
            <w:pPr>
              <w:spacing w:after="0" w:line="240" w:lineRule="auto"/>
              <w:ind w:left="78"/>
              <w:jc w:val="both"/>
              <w:rPr>
                <w:sz w:val="20"/>
                <w:szCs w:val="20"/>
                <w:lang w:val="en-MY"/>
              </w:rPr>
            </w:pPr>
            <w:r w:rsidRPr="00F45A73">
              <w:rPr>
                <w:sz w:val="20"/>
                <w:szCs w:val="20"/>
                <w:lang w:val="en-MY"/>
              </w:rPr>
              <w:t>df = 693</w:t>
            </w:r>
          </w:p>
          <w:p w:rsidR="00F45A73" w:rsidRPr="00F45A73" w:rsidRDefault="00F45A73" w:rsidP="00F45A73">
            <w:pPr>
              <w:spacing w:after="0" w:line="240" w:lineRule="auto"/>
              <w:ind w:left="78"/>
              <w:jc w:val="both"/>
              <w:rPr>
                <w:sz w:val="20"/>
                <w:szCs w:val="20"/>
                <w:lang w:val="en-MY"/>
              </w:rPr>
            </w:pPr>
            <w:r w:rsidRPr="00F45A73">
              <w:rPr>
                <w:sz w:val="20"/>
                <w:szCs w:val="20"/>
                <w:lang w:val="en-MY"/>
              </w:rPr>
              <w:t>p = .000</w:t>
            </w:r>
          </w:p>
        </w:tc>
      </w:tr>
      <w:tr w:rsidR="00F45A73" w:rsidRPr="00F45A73" w:rsidTr="002048E4">
        <w:trPr>
          <w:jc w:val="center"/>
        </w:trPr>
        <w:tc>
          <w:tcPr>
            <w:tcW w:w="1183" w:type="pct"/>
            <w:tcBorders>
              <w:top w:val="nil"/>
              <w:bottom w:val="nil"/>
            </w:tcBorders>
            <w:shd w:val="clear" w:color="auto" w:fill="auto"/>
          </w:tcPr>
          <w:p w:rsidR="00F45A73" w:rsidRPr="00F45A73" w:rsidRDefault="00F45A73" w:rsidP="00A7673B">
            <w:pPr>
              <w:spacing w:after="0" w:line="240" w:lineRule="auto"/>
              <w:rPr>
                <w:bCs/>
                <w:sz w:val="20"/>
                <w:szCs w:val="20"/>
                <w:lang w:val="en-MY"/>
              </w:rPr>
            </w:pPr>
            <w:r w:rsidRPr="00F45A73">
              <w:rPr>
                <w:bCs/>
                <w:sz w:val="20"/>
                <w:szCs w:val="20"/>
                <w:lang w:val="en-MY"/>
              </w:rPr>
              <w:t xml:space="preserve">RMSEA </w:t>
            </w:r>
          </w:p>
        </w:tc>
        <w:tc>
          <w:tcPr>
            <w:tcW w:w="2595" w:type="pct"/>
            <w:tcBorders>
              <w:top w:val="nil"/>
              <w:bottom w:val="nil"/>
            </w:tcBorders>
            <w:shd w:val="clear" w:color="auto" w:fill="auto"/>
          </w:tcPr>
          <w:p w:rsidR="00F45A73" w:rsidRPr="00F45A73" w:rsidRDefault="00F45A73" w:rsidP="00F45A73">
            <w:pPr>
              <w:spacing w:after="0" w:line="240" w:lineRule="auto"/>
              <w:ind w:left="72"/>
              <w:jc w:val="both"/>
              <w:rPr>
                <w:sz w:val="20"/>
                <w:szCs w:val="20"/>
                <w:lang w:val="en-MY"/>
              </w:rPr>
            </w:pPr>
            <w:r w:rsidRPr="00F45A73">
              <w:rPr>
                <w:sz w:val="20"/>
                <w:szCs w:val="20"/>
                <w:lang w:val="en-MY"/>
              </w:rPr>
              <w:t>RMSEA &lt; 0.08</w:t>
            </w:r>
          </w:p>
        </w:tc>
        <w:tc>
          <w:tcPr>
            <w:tcW w:w="1221" w:type="pct"/>
            <w:tcBorders>
              <w:top w:val="nil"/>
              <w:bottom w:val="nil"/>
            </w:tcBorders>
            <w:shd w:val="clear" w:color="auto" w:fill="auto"/>
          </w:tcPr>
          <w:p w:rsidR="00F45A73" w:rsidRPr="00F45A73" w:rsidRDefault="00F45A73" w:rsidP="00F45A73">
            <w:pPr>
              <w:spacing w:after="0" w:line="240" w:lineRule="auto"/>
              <w:ind w:left="78"/>
              <w:jc w:val="both"/>
              <w:rPr>
                <w:sz w:val="20"/>
                <w:szCs w:val="20"/>
                <w:lang w:val="en-MY"/>
              </w:rPr>
            </w:pPr>
            <w:r w:rsidRPr="00F45A73">
              <w:rPr>
                <w:sz w:val="20"/>
                <w:szCs w:val="20"/>
                <w:lang w:val="en-MY"/>
              </w:rPr>
              <w:t>.042</w:t>
            </w:r>
          </w:p>
        </w:tc>
      </w:tr>
      <w:tr w:rsidR="00F45A73" w:rsidRPr="00F45A73" w:rsidTr="002048E4">
        <w:trPr>
          <w:trHeight w:val="482"/>
          <w:jc w:val="center"/>
        </w:trPr>
        <w:tc>
          <w:tcPr>
            <w:tcW w:w="1183" w:type="pct"/>
            <w:tcBorders>
              <w:top w:val="nil"/>
            </w:tcBorders>
            <w:shd w:val="clear" w:color="auto" w:fill="auto"/>
          </w:tcPr>
          <w:p w:rsidR="00F45A73" w:rsidRPr="00F45A73" w:rsidRDefault="00F45A73" w:rsidP="00A7673B">
            <w:pPr>
              <w:spacing w:after="0" w:line="240" w:lineRule="auto"/>
              <w:rPr>
                <w:bCs/>
                <w:sz w:val="20"/>
                <w:szCs w:val="20"/>
                <w:lang w:val="en-MY"/>
              </w:rPr>
            </w:pPr>
            <w:r w:rsidRPr="00F45A73">
              <w:rPr>
                <w:bCs/>
                <w:sz w:val="20"/>
                <w:szCs w:val="20"/>
                <w:lang w:val="en-MY"/>
              </w:rPr>
              <w:t xml:space="preserve">GFI </w:t>
            </w:r>
          </w:p>
        </w:tc>
        <w:tc>
          <w:tcPr>
            <w:tcW w:w="2595" w:type="pct"/>
            <w:tcBorders>
              <w:top w:val="nil"/>
            </w:tcBorders>
            <w:shd w:val="clear" w:color="auto" w:fill="auto"/>
          </w:tcPr>
          <w:p w:rsidR="00F45A73" w:rsidRPr="00F45A73" w:rsidRDefault="00F45A73" w:rsidP="00F45A73">
            <w:pPr>
              <w:spacing w:after="0" w:line="240" w:lineRule="auto"/>
              <w:ind w:left="72"/>
              <w:jc w:val="both"/>
              <w:rPr>
                <w:sz w:val="20"/>
                <w:szCs w:val="20"/>
                <w:lang w:val="en-MY"/>
              </w:rPr>
            </w:pPr>
            <w:r w:rsidRPr="00F45A73">
              <w:rPr>
                <w:sz w:val="20"/>
                <w:szCs w:val="20"/>
                <w:lang w:val="en-MY"/>
              </w:rPr>
              <w:t xml:space="preserve">GFI &gt;= .90 shows good fit </w:t>
            </w:r>
          </w:p>
          <w:p w:rsidR="00F45A73" w:rsidRPr="00F45A73" w:rsidRDefault="00F45A73" w:rsidP="00F45A73">
            <w:pPr>
              <w:spacing w:after="0" w:line="240" w:lineRule="auto"/>
              <w:ind w:left="72"/>
              <w:jc w:val="both"/>
              <w:rPr>
                <w:sz w:val="20"/>
                <w:szCs w:val="20"/>
                <w:lang w:val="en-MY"/>
              </w:rPr>
            </w:pPr>
            <w:r w:rsidRPr="00F45A73">
              <w:rPr>
                <w:sz w:val="20"/>
                <w:szCs w:val="20"/>
                <w:lang w:val="en-MY"/>
              </w:rPr>
              <w:t xml:space="preserve">GFI &gt; .80 shows reasonable fit </w:t>
            </w:r>
          </w:p>
        </w:tc>
        <w:tc>
          <w:tcPr>
            <w:tcW w:w="1221" w:type="pct"/>
            <w:tcBorders>
              <w:top w:val="nil"/>
            </w:tcBorders>
            <w:shd w:val="clear" w:color="auto" w:fill="auto"/>
          </w:tcPr>
          <w:p w:rsidR="00F45A73" w:rsidRPr="00F45A73" w:rsidRDefault="00F45A73" w:rsidP="00F45A73">
            <w:pPr>
              <w:spacing w:after="0" w:line="240" w:lineRule="auto"/>
              <w:ind w:left="78"/>
              <w:jc w:val="both"/>
              <w:rPr>
                <w:sz w:val="20"/>
                <w:szCs w:val="20"/>
                <w:lang w:val="en-MY"/>
              </w:rPr>
            </w:pPr>
            <w:r w:rsidRPr="00F45A73">
              <w:rPr>
                <w:sz w:val="20"/>
                <w:szCs w:val="20"/>
                <w:lang w:val="en-MY"/>
              </w:rPr>
              <w:t>.877</w:t>
            </w:r>
          </w:p>
        </w:tc>
      </w:tr>
      <w:tr w:rsidR="00F45A73" w:rsidRPr="00F45A73" w:rsidTr="00F45A73">
        <w:trPr>
          <w:jc w:val="center"/>
        </w:trPr>
        <w:tc>
          <w:tcPr>
            <w:tcW w:w="1183" w:type="pct"/>
            <w:shd w:val="clear" w:color="auto" w:fill="auto"/>
          </w:tcPr>
          <w:p w:rsidR="00F45A73" w:rsidRPr="00F45A73" w:rsidRDefault="00F45A73" w:rsidP="00A7673B">
            <w:pPr>
              <w:spacing w:after="0" w:line="240" w:lineRule="auto"/>
              <w:rPr>
                <w:b/>
                <w:bCs/>
                <w:sz w:val="20"/>
                <w:szCs w:val="20"/>
                <w:lang w:val="en-MY"/>
              </w:rPr>
            </w:pPr>
            <w:r w:rsidRPr="00F45A73">
              <w:rPr>
                <w:b/>
                <w:bCs/>
                <w:sz w:val="20"/>
                <w:szCs w:val="20"/>
                <w:lang w:val="en-MY"/>
              </w:rPr>
              <w:t xml:space="preserve">Incremental fit indices </w:t>
            </w:r>
          </w:p>
        </w:tc>
        <w:tc>
          <w:tcPr>
            <w:tcW w:w="2595" w:type="pct"/>
            <w:shd w:val="clear" w:color="auto" w:fill="auto"/>
          </w:tcPr>
          <w:p w:rsidR="00F45A73" w:rsidRPr="00F45A73" w:rsidRDefault="00F45A73" w:rsidP="00F45A73">
            <w:pPr>
              <w:spacing w:after="0" w:line="240" w:lineRule="auto"/>
              <w:ind w:left="72"/>
              <w:jc w:val="both"/>
              <w:rPr>
                <w:sz w:val="20"/>
                <w:szCs w:val="20"/>
                <w:lang w:val="en-MY"/>
              </w:rPr>
            </w:pPr>
          </w:p>
        </w:tc>
        <w:tc>
          <w:tcPr>
            <w:tcW w:w="1221" w:type="pct"/>
            <w:shd w:val="clear" w:color="auto" w:fill="auto"/>
          </w:tcPr>
          <w:p w:rsidR="00F45A73" w:rsidRPr="00F45A73" w:rsidRDefault="00F45A73" w:rsidP="00F45A73">
            <w:pPr>
              <w:spacing w:after="0" w:line="240" w:lineRule="auto"/>
              <w:ind w:left="78"/>
              <w:jc w:val="both"/>
              <w:rPr>
                <w:sz w:val="20"/>
                <w:szCs w:val="20"/>
                <w:lang w:val="en-MY"/>
              </w:rPr>
            </w:pPr>
          </w:p>
        </w:tc>
      </w:tr>
      <w:tr w:rsidR="00F45A73" w:rsidRPr="00F45A73" w:rsidTr="00F45A73">
        <w:trPr>
          <w:jc w:val="center"/>
        </w:trPr>
        <w:tc>
          <w:tcPr>
            <w:tcW w:w="1183" w:type="pct"/>
            <w:shd w:val="clear" w:color="auto" w:fill="auto"/>
          </w:tcPr>
          <w:p w:rsidR="00F45A73" w:rsidRPr="00F45A73" w:rsidRDefault="00F45A73" w:rsidP="00A7673B">
            <w:pPr>
              <w:spacing w:after="0" w:line="240" w:lineRule="auto"/>
              <w:rPr>
                <w:bCs/>
                <w:sz w:val="20"/>
                <w:szCs w:val="20"/>
                <w:lang w:val="en-MY"/>
              </w:rPr>
            </w:pPr>
            <w:r w:rsidRPr="00F45A73">
              <w:rPr>
                <w:bCs/>
                <w:sz w:val="20"/>
                <w:szCs w:val="20"/>
                <w:lang w:val="en-MY"/>
              </w:rPr>
              <w:t xml:space="preserve">CFI </w:t>
            </w:r>
          </w:p>
        </w:tc>
        <w:tc>
          <w:tcPr>
            <w:tcW w:w="2595" w:type="pct"/>
            <w:shd w:val="clear" w:color="auto" w:fill="auto"/>
          </w:tcPr>
          <w:p w:rsidR="00F45A73" w:rsidRPr="00F45A73" w:rsidRDefault="00F45A73" w:rsidP="00F45A73">
            <w:pPr>
              <w:spacing w:after="0" w:line="240" w:lineRule="auto"/>
              <w:ind w:left="72"/>
              <w:jc w:val="both"/>
              <w:rPr>
                <w:sz w:val="20"/>
                <w:szCs w:val="20"/>
                <w:lang w:val="en-MY"/>
              </w:rPr>
            </w:pPr>
            <w:r w:rsidRPr="00F45A73">
              <w:rPr>
                <w:sz w:val="20"/>
                <w:szCs w:val="20"/>
                <w:lang w:val="en-MY"/>
              </w:rPr>
              <w:t xml:space="preserve">CFI &gt;.90 shows good fit </w:t>
            </w:r>
          </w:p>
        </w:tc>
        <w:tc>
          <w:tcPr>
            <w:tcW w:w="1221" w:type="pct"/>
            <w:shd w:val="clear" w:color="auto" w:fill="auto"/>
          </w:tcPr>
          <w:p w:rsidR="00F45A73" w:rsidRPr="00F45A73" w:rsidRDefault="00F45A73" w:rsidP="00F45A73">
            <w:pPr>
              <w:spacing w:after="0" w:line="240" w:lineRule="auto"/>
              <w:ind w:left="78"/>
              <w:jc w:val="both"/>
              <w:rPr>
                <w:sz w:val="20"/>
                <w:szCs w:val="20"/>
                <w:lang w:val="en-MY"/>
              </w:rPr>
            </w:pPr>
            <w:r w:rsidRPr="00F45A73">
              <w:rPr>
                <w:sz w:val="20"/>
                <w:szCs w:val="20"/>
                <w:lang w:val="en-MY"/>
              </w:rPr>
              <w:t>.956</w:t>
            </w:r>
          </w:p>
        </w:tc>
      </w:tr>
      <w:tr w:rsidR="00F45A73" w:rsidRPr="00F45A73" w:rsidTr="00F45A73">
        <w:trPr>
          <w:trHeight w:val="221"/>
          <w:jc w:val="center"/>
        </w:trPr>
        <w:tc>
          <w:tcPr>
            <w:tcW w:w="1183" w:type="pct"/>
            <w:shd w:val="clear" w:color="auto" w:fill="auto"/>
          </w:tcPr>
          <w:p w:rsidR="00F45A73" w:rsidRPr="00F45A73" w:rsidRDefault="00F45A73" w:rsidP="00A7673B">
            <w:pPr>
              <w:spacing w:after="0" w:line="240" w:lineRule="auto"/>
              <w:rPr>
                <w:bCs/>
                <w:sz w:val="20"/>
                <w:szCs w:val="20"/>
                <w:lang w:val="en-MY"/>
              </w:rPr>
            </w:pPr>
            <w:r w:rsidRPr="00F45A73">
              <w:rPr>
                <w:bCs/>
                <w:sz w:val="20"/>
                <w:szCs w:val="20"/>
                <w:lang w:val="en-MY"/>
              </w:rPr>
              <w:t xml:space="preserve">TLI  </w:t>
            </w:r>
          </w:p>
        </w:tc>
        <w:tc>
          <w:tcPr>
            <w:tcW w:w="2595" w:type="pct"/>
            <w:shd w:val="clear" w:color="auto" w:fill="auto"/>
          </w:tcPr>
          <w:p w:rsidR="00F45A73" w:rsidRPr="00F45A73" w:rsidRDefault="00F45A73" w:rsidP="00F45A73">
            <w:pPr>
              <w:spacing w:after="0" w:line="240" w:lineRule="auto"/>
              <w:ind w:left="72"/>
              <w:jc w:val="both"/>
              <w:rPr>
                <w:sz w:val="20"/>
                <w:szCs w:val="20"/>
                <w:lang w:val="en-MY"/>
              </w:rPr>
            </w:pPr>
            <w:r w:rsidRPr="00F45A73">
              <w:rPr>
                <w:sz w:val="20"/>
                <w:szCs w:val="20"/>
                <w:lang w:val="en-MY"/>
              </w:rPr>
              <w:t>TLI &gt; .90 shows good fit</w:t>
            </w:r>
          </w:p>
        </w:tc>
        <w:tc>
          <w:tcPr>
            <w:tcW w:w="1221" w:type="pct"/>
            <w:shd w:val="clear" w:color="auto" w:fill="auto"/>
          </w:tcPr>
          <w:p w:rsidR="00F45A73" w:rsidRPr="00F45A73" w:rsidRDefault="00F45A73" w:rsidP="00F45A73">
            <w:pPr>
              <w:spacing w:after="0" w:line="240" w:lineRule="auto"/>
              <w:ind w:left="78"/>
              <w:jc w:val="both"/>
              <w:rPr>
                <w:sz w:val="20"/>
                <w:szCs w:val="20"/>
                <w:lang w:val="en-MY"/>
              </w:rPr>
            </w:pPr>
            <w:r w:rsidRPr="00F45A73">
              <w:rPr>
                <w:sz w:val="20"/>
                <w:szCs w:val="20"/>
                <w:lang w:val="en-MY"/>
              </w:rPr>
              <w:t>.951</w:t>
            </w:r>
          </w:p>
        </w:tc>
      </w:tr>
      <w:tr w:rsidR="00F45A73" w:rsidRPr="00F45A73" w:rsidTr="00F45A73">
        <w:trPr>
          <w:jc w:val="center"/>
        </w:trPr>
        <w:tc>
          <w:tcPr>
            <w:tcW w:w="1183" w:type="pct"/>
            <w:shd w:val="clear" w:color="auto" w:fill="auto"/>
          </w:tcPr>
          <w:p w:rsidR="00F45A73" w:rsidRPr="00F45A73" w:rsidRDefault="00F45A73" w:rsidP="00A7673B">
            <w:pPr>
              <w:spacing w:after="0" w:line="240" w:lineRule="auto"/>
              <w:rPr>
                <w:b/>
                <w:bCs/>
                <w:sz w:val="20"/>
                <w:szCs w:val="20"/>
                <w:lang w:val="en-MY"/>
              </w:rPr>
            </w:pPr>
            <w:r w:rsidRPr="00F45A73">
              <w:rPr>
                <w:b/>
                <w:bCs/>
                <w:sz w:val="20"/>
                <w:szCs w:val="20"/>
                <w:lang w:val="en-MY"/>
              </w:rPr>
              <w:t xml:space="preserve">Parsimonious fit </w:t>
            </w:r>
          </w:p>
        </w:tc>
        <w:tc>
          <w:tcPr>
            <w:tcW w:w="2595" w:type="pct"/>
            <w:shd w:val="clear" w:color="auto" w:fill="auto"/>
          </w:tcPr>
          <w:p w:rsidR="00F45A73" w:rsidRPr="00F45A73" w:rsidRDefault="00F45A73" w:rsidP="00F45A73">
            <w:pPr>
              <w:spacing w:after="0" w:line="240" w:lineRule="auto"/>
              <w:ind w:left="72"/>
              <w:jc w:val="both"/>
              <w:rPr>
                <w:sz w:val="20"/>
                <w:szCs w:val="20"/>
                <w:lang w:val="en-MY"/>
              </w:rPr>
            </w:pPr>
          </w:p>
        </w:tc>
        <w:tc>
          <w:tcPr>
            <w:tcW w:w="1221" w:type="pct"/>
            <w:shd w:val="clear" w:color="auto" w:fill="auto"/>
          </w:tcPr>
          <w:p w:rsidR="00F45A73" w:rsidRPr="00F45A73" w:rsidRDefault="00F45A73" w:rsidP="00F45A73">
            <w:pPr>
              <w:spacing w:after="0" w:line="240" w:lineRule="auto"/>
              <w:ind w:left="78"/>
              <w:jc w:val="both"/>
              <w:rPr>
                <w:sz w:val="20"/>
                <w:szCs w:val="20"/>
                <w:lang w:val="en-MY"/>
              </w:rPr>
            </w:pPr>
          </w:p>
        </w:tc>
      </w:tr>
      <w:tr w:rsidR="00F45A73" w:rsidRPr="00F45A73" w:rsidTr="00F45A73">
        <w:trPr>
          <w:jc w:val="center"/>
        </w:trPr>
        <w:tc>
          <w:tcPr>
            <w:tcW w:w="1183" w:type="pct"/>
            <w:shd w:val="clear" w:color="auto" w:fill="auto"/>
          </w:tcPr>
          <w:p w:rsidR="00F45A73" w:rsidRPr="00F45A73" w:rsidRDefault="00F45A73" w:rsidP="00A7673B">
            <w:pPr>
              <w:spacing w:after="0" w:line="240" w:lineRule="auto"/>
              <w:rPr>
                <w:bCs/>
                <w:sz w:val="20"/>
                <w:szCs w:val="20"/>
                <w:lang w:val="en-MY"/>
              </w:rPr>
            </w:pPr>
            <w:r w:rsidRPr="00F45A73">
              <w:rPr>
                <w:bCs/>
                <w:sz w:val="20"/>
                <w:szCs w:val="20"/>
                <w:lang w:val="en-MY"/>
              </w:rPr>
              <w:t>Chi-square/df</w:t>
            </w:r>
          </w:p>
        </w:tc>
        <w:tc>
          <w:tcPr>
            <w:tcW w:w="2595" w:type="pct"/>
            <w:shd w:val="clear" w:color="auto" w:fill="auto"/>
          </w:tcPr>
          <w:p w:rsidR="00F45A73" w:rsidRPr="00F45A73" w:rsidRDefault="00F45A73" w:rsidP="00F45A73">
            <w:pPr>
              <w:spacing w:after="0" w:line="240" w:lineRule="auto"/>
              <w:ind w:left="72"/>
              <w:jc w:val="both"/>
              <w:rPr>
                <w:sz w:val="20"/>
                <w:szCs w:val="20"/>
                <w:lang w:val="en-MY"/>
              </w:rPr>
            </w:pPr>
            <w:r w:rsidRPr="00F45A73">
              <w:rPr>
                <w:sz w:val="20"/>
                <w:szCs w:val="20"/>
                <w:lang w:val="en-MY"/>
              </w:rPr>
              <w:t>Chi-Square/df &lt; 3.0 shows good fit</w:t>
            </w:r>
          </w:p>
        </w:tc>
        <w:tc>
          <w:tcPr>
            <w:tcW w:w="1221" w:type="pct"/>
            <w:shd w:val="clear" w:color="auto" w:fill="auto"/>
          </w:tcPr>
          <w:p w:rsidR="00F45A73" w:rsidRPr="00F45A73" w:rsidRDefault="00F45A73" w:rsidP="00F45A73">
            <w:pPr>
              <w:spacing w:after="0" w:line="240" w:lineRule="auto"/>
              <w:ind w:left="78"/>
              <w:jc w:val="both"/>
              <w:rPr>
                <w:sz w:val="20"/>
                <w:szCs w:val="20"/>
                <w:lang w:val="en-MY"/>
              </w:rPr>
            </w:pPr>
            <w:r w:rsidRPr="00F45A73">
              <w:rPr>
                <w:sz w:val="20"/>
                <w:szCs w:val="20"/>
                <w:lang w:val="en-MY"/>
              </w:rPr>
              <w:t>1.741</w:t>
            </w:r>
          </w:p>
        </w:tc>
      </w:tr>
    </w:tbl>
    <w:bookmarkEnd w:id="1"/>
    <w:p w:rsidR="00F45A73" w:rsidRPr="002048E4" w:rsidRDefault="00F45A73" w:rsidP="00F45A73">
      <w:pPr>
        <w:spacing w:after="0" w:line="240" w:lineRule="auto"/>
        <w:ind w:left="90"/>
        <w:jc w:val="both"/>
        <w:rPr>
          <w:sz w:val="20"/>
          <w:szCs w:val="24"/>
          <w:lang w:val="en-MY"/>
        </w:rPr>
      </w:pPr>
      <w:r w:rsidRPr="002048E4">
        <w:rPr>
          <w:sz w:val="20"/>
          <w:szCs w:val="24"/>
          <w:lang w:val="en-MY"/>
        </w:rPr>
        <w:t>RMSEA: root mean square error of approximation; GFI: Goodness of fit index; CFI: Comparative fit index; NFI: Normed fit index; TLI: Tucker-Lewis index</w:t>
      </w:r>
    </w:p>
    <w:p w:rsidR="00452717" w:rsidRDefault="00452717" w:rsidP="00452717">
      <w:pPr>
        <w:spacing w:after="0" w:line="240" w:lineRule="auto"/>
        <w:jc w:val="both"/>
        <w:rPr>
          <w:sz w:val="24"/>
          <w:szCs w:val="24"/>
        </w:rPr>
      </w:pPr>
    </w:p>
    <w:p w:rsidR="002048E4" w:rsidRPr="002048E4" w:rsidRDefault="00066958" w:rsidP="002048E4">
      <w:pPr>
        <w:spacing w:after="0" w:line="240" w:lineRule="auto"/>
        <w:ind w:firstLine="708"/>
        <w:jc w:val="both"/>
        <w:rPr>
          <w:sz w:val="24"/>
          <w:szCs w:val="24"/>
        </w:rPr>
      </w:pPr>
      <w:r w:rsidRPr="00066958">
        <w:rPr>
          <w:sz w:val="24"/>
          <w:szCs w:val="24"/>
        </w:rPr>
        <w:t xml:space="preserve">Convergent Validity is the extent to which the indicators of a specific construct converge or share a high proportion of variance in common (Hair et al. 2010). </w:t>
      </w:r>
      <w:r w:rsidR="002048E4" w:rsidRPr="002048E4">
        <w:rPr>
          <w:sz w:val="24"/>
          <w:szCs w:val="24"/>
        </w:rPr>
        <w:t xml:space="preserve">To exhibit a satisfactory convergent validity, each construct should have an Average Variance Extracted (AVE) value greater than or equal to 0.5. </w:t>
      </w:r>
      <w:r w:rsidR="00343D24" w:rsidRPr="00343D24">
        <w:rPr>
          <w:sz w:val="24"/>
          <w:szCs w:val="24"/>
        </w:rPr>
        <w:t>Reliability is also an indicator of convergent validity that is evaluated using the co</w:t>
      </w:r>
      <w:r w:rsidR="00A7673B">
        <w:rPr>
          <w:sz w:val="24"/>
          <w:szCs w:val="24"/>
        </w:rPr>
        <w:t>mposite</w:t>
      </w:r>
      <w:r w:rsidR="00343D24" w:rsidRPr="00343D24">
        <w:rPr>
          <w:sz w:val="24"/>
          <w:szCs w:val="24"/>
        </w:rPr>
        <w:t xml:space="preserve"> reliability (CR) value. Scores of 0.7 or higher are suggestive of good reliability, while the reliability valued between 0.6 and 0.7 is acceptable (Hair et al. 2010). All items in this study were found to be statistically significant and the values of AVE were higher than 0.5, except for the constructs of innovativeness, discomfort, and insecurity. However, Fornell and Larcker (1981) indicated that the construct’s convergent validity is adequate if the AVE is less than 0.5, while the CR is above 0.6. Therefore, the latent constructs were all retained.</w:t>
      </w:r>
    </w:p>
    <w:p w:rsidR="002048E4" w:rsidRDefault="00343D24" w:rsidP="002048E4">
      <w:pPr>
        <w:spacing w:after="0" w:line="240" w:lineRule="auto"/>
        <w:ind w:firstLine="708"/>
        <w:jc w:val="both"/>
        <w:rPr>
          <w:sz w:val="24"/>
          <w:szCs w:val="24"/>
        </w:rPr>
      </w:pPr>
      <w:r w:rsidRPr="00343D24">
        <w:rPr>
          <w:sz w:val="24"/>
          <w:szCs w:val="24"/>
        </w:rPr>
        <w:t>Discriminant validity is the extent to which a construct is truly distinct from the other constructs. CFA assesses discriminant validity by comparing the square root of AVE with the inter-construct correlations</w:t>
      </w:r>
      <w:r>
        <w:rPr>
          <w:sz w:val="24"/>
          <w:szCs w:val="24"/>
        </w:rPr>
        <w:t xml:space="preserve"> (Hair et al., 2010). </w:t>
      </w:r>
      <w:r w:rsidR="002048E4" w:rsidRPr="002048E4">
        <w:rPr>
          <w:sz w:val="24"/>
          <w:szCs w:val="24"/>
        </w:rPr>
        <w:t>CFA assesses discriminant validity by comparing the square root of AVE with the inter-construct correlations. From the discriminant validity index table, all the square roots of AVE of the construct are greater than the values of inter-construct correlations which reflected satisfactory discriminant validity, with the exceptions for subjective norm and optimism. Since the model shows adequate fitness, the researcher decided to retain both constructs which the differences for the square root of AVE and inter-construct correlation are considered very small.</w:t>
      </w:r>
    </w:p>
    <w:p w:rsidR="002048E4" w:rsidRDefault="002048E4" w:rsidP="002048E4">
      <w:pPr>
        <w:spacing w:after="0" w:line="240" w:lineRule="auto"/>
        <w:ind w:firstLine="708"/>
        <w:jc w:val="both"/>
        <w:rPr>
          <w:sz w:val="24"/>
          <w:szCs w:val="24"/>
        </w:rPr>
      </w:pPr>
    </w:p>
    <w:p w:rsidR="002048E4" w:rsidRPr="002048E4" w:rsidRDefault="002048E4" w:rsidP="002048E4">
      <w:pPr>
        <w:spacing w:after="0" w:line="240" w:lineRule="auto"/>
        <w:jc w:val="center"/>
        <w:rPr>
          <w:sz w:val="20"/>
          <w:szCs w:val="24"/>
        </w:rPr>
      </w:pPr>
      <w:bookmarkStart w:id="2" w:name="_Hlk17286953"/>
      <w:r w:rsidRPr="002048E4">
        <w:rPr>
          <w:sz w:val="20"/>
          <w:szCs w:val="24"/>
        </w:rPr>
        <w:t>Table 3. Reliability, convergent and discriminant validity</w:t>
      </w:r>
    </w:p>
    <w:tbl>
      <w:tblPr>
        <w:tblW w:w="5000" w:type="pct"/>
        <w:jc w:val="center"/>
        <w:tblBorders>
          <w:top w:val="single" w:sz="4" w:space="0" w:color="7F7F7F"/>
          <w:bottom w:val="single" w:sz="4" w:space="0" w:color="7F7F7F"/>
        </w:tblBorders>
        <w:tblLook w:val="04A0" w:firstRow="1" w:lastRow="0" w:firstColumn="1" w:lastColumn="0" w:noHBand="0" w:noVBand="1"/>
      </w:tblPr>
      <w:tblGrid>
        <w:gridCol w:w="692"/>
        <w:gridCol w:w="692"/>
        <w:gridCol w:w="692"/>
        <w:gridCol w:w="692"/>
        <w:gridCol w:w="736"/>
        <w:gridCol w:w="692"/>
        <w:gridCol w:w="736"/>
        <w:gridCol w:w="692"/>
        <w:gridCol w:w="691"/>
        <w:gridCol w:w="691"/>
        <w:gridCol w:w="691"/>
        <w:gridCol w:w="693"/>
        <w:gridCol w:w="682"/>
      </w:tblGrid>
      <w:tr w:rsidR="002048E4" w:rsidRPr="002048E4" w:rsidTr="00A7673B">
        <w:trPr>
          <w:trHeight w:val="290"/>
          <w:jc w:val="center"/>
        </w:trPr>
        <w:tc>
          <w:tcPr>
            <w:tcW w:w="381" w:type="pct"/>
            <w:tcBorders>
              <w:top w:val="single" w:sz="4" w:space="0" w:color="7F7F7F"/>
              <w:bottom w:val="single" w:sz="4" w:space="0" w:color="auto"/>
            </w:tcBorders>
            <w:shd w:val="clear" w:color="auto" w:fill="auto"/>
            <w:noWrap/>
            <w:hideMark/>
          </w:tcPr>
          <w:p w:rsidR="002048E4" w:rsidRPr="002048E4" w:rsidRDefault="002048E4" w:rsidP="002048E4">
            <w:pPr>
              <w:spacing w:after="0" w:line="240" w:lineRule="auto"/>
              <w:rPr>
                <w:rFonts w:eastAsia="Times New Roman"/>
                <w:b/>
                <w:bCs/>
                <w:sz w:val="20"/>
                <w:szCs w:val="20"/>
              </w:rPr>
            </w:pPr>
          </w:p>
        </w:tc>
        <w:tc>
          <w:tcPr>
            <w:tcW w:w="381" w:type="pct"/>
            <w:tcBorders>
              <w:top w:val="single" w:sz="4" w:space="0" w:color="7F7F7F"/>
              <w:bottom w:val="single" w:sz="4" w:space="0" w:color="auto"/>
            </w:tcBorders>
            <w:shd w:val="clear" w:color="auto" w:fill="auto"/>
            <w:noWrap/>
            <w:hideMark/>
          </w:tcPr>
          <w:p w:rsidR="002048E4" w:rsidRPr="002048E4" w:rsidRDefault="002048E4" w:rsidP="002048E4">
            <w:pPr>
              <w:spacing w:after="0" w:line="240" w:lineRule="auto"/>
              <w:rPr>
                <w:rFonts w:eastAsia="Times New Roman"/>
                <w:b/>
                <w:bCs/>
                <w:sz w:val="20"/>
                <w:szCs w:val="20"/>
              </w:rPr>
            </w:pPr>
            <w:r w:rsidRPr="002048E4">
              <w:rPr>
                <w:rFonts w:eastAsia="Times New Roman"/>
                <w:b/>
                <w:bCs/>
                <w:sz w:val="20"/>
                <w:szCs w:val="20"/>
              </w:rPr>
              <w:t>CR</w:t>
            </w:r>
          </w:p>
        </w:tc>
        <w:tc>
          <w:tcPr>
            <w:tcW w:w="381" w:type="pct"/>
            <w:tcBorders>
              <w:top w:val="single" w:sz="4" w:space="0" w:color="7F7F7F"/>
              <w:bottom w:val="single" w:sz="4" w:space="0" w:color="auto"/>
            </w:tcBorders>
            <w:shd w:val="clear" w:color="auto" w:fill="auto"/>
            <w:noWrap/>
            <w:hideMark/>
          </w:tcPr>
          <w:p w:rsidR="002048E4" w:rsidRPr="002048E4" w:rsidRDefault="002048E4" w:rsidP="002048E4">
            <w:pPr>
              <w:spacing w:after="0" w:line="240" w:lineRule="auto"/>
              <w:rPr>
                <w:rFonts w:eastAsia="Times New Roman"/>
                <w:b/>
                <w:bCs/>
                <w:sz w:val="20"/>
                <w:szCs w:val="20"/>
              </w:rPr>
            </w:pPr>
            <w:r w:rsidRPr="002048E4">
              <w:rPr>
                <w:rFonts w:eastAsia="Times New Roman"/>
                <w:b/>
                <w:bCs/>
                <w:sz w:val="20"/>
                <w:szCs w:val="20"/>
              </w:rPr>
              <w:t>AVE</w:t>
            </w:r>
          </w:p>
        </w:tc>
        <w:tc>
          <w:tcPr>
            <w:tcW w:w="381" w:type="pct"/>
            <w:tcBorders>
              <w:top w:val="single" w:sz="4" w:space="0" w:color="7F7F7F"/>
              <w:bottom w:val="single" w:sz="4" w:space="0" w:color="auto"/>
            </w:tcBorders>
            <w:shd w:val="clear" w:color="auto" w:fill="auto"/>
            <w:noWrap/>
            <w:hideMark/>
          </w:tcPr>
          <w:p w:rsidR="002048E4" w:rsidRPr="002048E4" w:rsidRDefault="002048E4" w:rsidP="002048E4">
            <w:pPr>
              <w:spacing w:after="0" w:line="240" w:lineRule="auto"/>
              <w:rPr>
                <w:rFonts w:eastAsia="Times New Roman"/>
                <w:b/>
                <w:bCs/>
                <w:sz w:val="20"/>
                <w:szCs w:val="20"/>
              </w:rPr>
            </w:pPr>
            <w:r w:rsidRPr="002048E4">
              <w:rPr>
                <w:rFonts w:eastAsia="Times New Roman"/>
                <w:b/>
                <w:bCs/>
                <w:sz w:val="20"/>
                <w:szCs w:val="20"/>
              </w:rPr>
              <w:t>SN</w:t>
            </w:r>
          </w:p>
        </w:tc>
        <w:tc>
          <w:tcPr>
            <w:tcW w:w="405" w:type="pct"/>
            <w:tcBorders>
              <w:top w:val="single" w:sz="4" w:space="0" w:color="7F7F7F"/>
              <w:bottom w:val="single" w:sz="4" w:space="0" w:color="auto"/>
            </w:tcBorders>
            <w:shd w:val="clear" w:color="auto" w:fill="auto"/>
            <w:noWrap/>
            <w:hideMark/>
          </w:tcPr>
          <w:p w:rsidR="002048E4" w:rsidRPr="002048E4" w:rsidRDefault="002048E4" w:rsidP="002048E4">
            <w:pPr>
              <w:spacing w:after="0" w:line="240" w:lineRule="auto"/>
              <w:rPr>
                <w:rFonts w:eastAsia="Times New Roman"/>
                <w:b/>
                <w:bCs/>
                <w:sz w:val="20"/>
                <w:szCs w:val="20"/>
              </w:rPr>
            </w:pPr>
            <w:r w:rsidRPr="002048E4">
              <w:rPr>
                <w:rFonts w:eastAsia="Times New Roman"/>
                <w:b/>
                <w:bCs/>
                <w:sz w:val="20"/>
                <w:szCs w:val="20"/>
              </w:rPr>
              <w:t>OPT</w:t>
            </w:r>
          </w:p>
        </w:tc>
        <w:tc>
          <w:tcPr>
            <w:tcW w:w="381" w:type="pct"/>
            <w:tcBorders>
              <w:top w:val="single" w:sz="4" w:space="0" w:color="7F7F7F"/>
              <w:bottom w:val="single" w:sz="4" w:space="0" w:color="auto"/>
            </w:tcBorders>
            <w:shd w:val="clear" w:color="auto" w:fill="auto"/>
            <w:noWrap/>
            <w:hideMark/>
          </w:tcPr>
          <w:p w:rsidR="002048E4" w:rsidRPr="002048E4" w:rsidRDefault="002048E4" w:rsidP="002048E4">
            <w:pPr>
              <w:spacing w:after="0" w:line="240" w:lineRule="auto"/>
              <w:rPr>
                <w:rFonts w:eastAsia="Times New Roman"/>
                <w:b/>
                <w:bCs/>
                <w:sz w:val="20"/>
                <w:szCs w:val="20"/>
              </w:rPr>
            </w:pPr>
            <w:r w:rsidRPr="002048E4">
              <w:rPr>
                <w:rFonts w:eastAsia="Times New Roman"/>
                <w:b/>
                <w:bCs/>
                <w:sz w:val="20"/>
                <w:szCs w:val="20"/>
              </w:rPr>
              <w:t>INN</w:t>
            </w:r>
          </w:p>
        </w:tc>
        <w:tc>
          <w:tcPr>
            <w:tcW w:w="405" w:type="pct"/>
            <w:tcBorders>
              <w:top w:val="single" w:sz="4" w:space="0" w:color="7F7F7F"/>
              <w:bottom w:val="single" w:sz="4" w:space="0" w:color="auto"/>
            </w:tcBorders>
            <w:shd w:val="clear" w:color="auto" w:fill="auto"/>
            <w:noWrap/>
            <w:hideMark/>
          </w:tcPr>
          <w:p w:rsidR="002048E4" w:rsidRPr="002048E4" w:rsidRDefault="002048E4" w:rsidP="002048E4">
            <w:pPr>
              <w:spacing w:after="0" w:line="240" w:lineRule="auto"/>
              <w:rPr>
                <w:rFonts w:eastAsia="Times New Roman"/>
                <w:b/>
                <w:bCs/>
                <w:sz w:val="20"/>
                <w:szCs w:val="20"/>
              </w:rPr>
            </w:pPr>
            <w:r w:rsidRPr="002048E4">
              <w:rPr>
                <w:rFonts w:eastAsia="Times New Roman"/>
                <w:b/>
                <w:bCs/>
                <w:sz w:val="20"/>
                <w:szCs w:val="20"/>
              </w:rPr>
              <w:t>DIS</w:t>
            </w:r>
          </w:p>
        </w:tc>
        <w:tc>
          <w:tcPr>
            <w:tcW w:w="381" w:type="pct"/>
            <w:tcBorders>
              <w:top w:val="single" w:sz="4" w:space="0" w:color="7F7F7F"/>
              <w:bottom w:val="single" w:sz="4" w:space="0" w:color="auto"/>
            </w:tcBorders>
            <w:shd w:val="clear" w:color="auto" w:fill="auto"/>
            <w:noWrap/>
            <w:hideMark/>
          </w:tcPr>
          <w:p w:rsidR="002048E4" w:rsidRPr="002048E4" w:rsidRDefault="002048E4" w:rsidP="002048E4">
            <w:pPr>
              <w:spacing w:after="0" w:line="240" w:lineRule="auto"/>
              <w:rPr>
                <w:rFonts w:eastAsia="Times New Roman"/>
                <w:b/>
                <w:bCs/>
                <w:sz w:val="20"/>
                <w:szCs w:val="20"/>
              </w:rPr>
            </w:pPr>
            <w:r w:rsidRPr="002048E4">
              <w:rPr>
                <w:rFonts w:eastAsia="Times New Roman"/>
                <w:b/>
                <w:bCs/>
                <w:sz w:val="20"/>
                <w:szCs w:val="20"/>
              </w:rPr>
              <w:t>INS</w:t>
            </w:r>
          </w:p>
        </w:tc>
        <w:tc>
          <w:tcPr>
            <w:tcW w:w="381" w:type="pct"/>
            <w:tcBorders>
              <w:top w:val="single" w:sz="4" w:space="0" w:color="7F7F7F"/>
              <w:bottom w:val="single" w:sz="4" w:space="0" w:color="auto"/>
            </w:tcBorders>
            <w:shd w:val="clear" w:color="auto" w:fill="auto"/>
            <w:noWrap/>
            <w:hideMark/>
          </w:tcPr>
          <w:p w:rsidR="002048E4" w:rsidRPr="002048E4" w:rsidRDefault="002048E4" w:rsidP="002048E4">
            <w:pPr>
              <w:spacing w:after="0" w:line="240" w:lineRule="auto"/>
              <w:rPr>
                <w:rFonts w:eastAsia="Times New Roman"/>
                <w:b/>
                <w:bCs/>
                <w:sz w:val="20"/>
                <w:szCs w:val="20"/>
              </w:rPr>
            </w:pPr>
            <w:r w:rsidRPr="002048E4">
              <w:rPr>
                <w:rFonts w:eastAsia="Times New Roman"/>
                <w:b/>
                <w:bCs/>
                <w:sz w:val="20"/>
                <w:szCs w:val="20"/>
              </w:rPr>
              <w:t>PU</w:t>
            </w:r>
          </w:p>
        </w:tc>
        <w:tc>
          <w:tcPr>
            <w:tcW w:w="381" w:type="pct"/>
            <w:tcBorders>
              <w:top w:val="single" w:sz="4" w:space="0" w:color="7F7F7F"/>
              <w:bottom w:val="single" w:sz="4" w:space="0" w:color="auto"/>
            </w:tcBorders>
            <w:shd w:val="clear" w:color="auto" w:fill="auto"/>
            <w:noWrap/>
            <w:hideMark/>
          </w:tcPr>
          <w:p w:rsidR="002048E4" w:rsidRPr="002048E4" w:rsidRDefault="002048E4" w:rsidP="002048E4">
            <w:pPr>
              <w:spacing w:after="0" w:line="240" w:lineRule="auto"/>
              <w:rPr>
                <w:rFonts w:eastAsia="Times New Roman"/>
                <w:b/>
                <w:bCs/>
                <w:sz w:val="20"/>
                <w:szCs w:val="20"/>
              </w:rPr>
            </w:pPr>
            <w:r w:rsidRPr="002048E4">
              <w:rPr>
                <w:rFonts w:eastAsia="Times New Roman"/>
                <w:b/>
                <w:bCs/>
                <w:sz w:val="20"/>
                <w:szCs w:val="20"/>
              </w:rPr>
              <w:t>PEOU</w:t>
            </w:r>
          </w:p>
        </w:tc>
        <w:tc>
          <w:tcPr>
            <w:tcW w:w="381" w:type="pct"/>
            <w:tcBorders>
              <w:top w:val="single" w:sz="4" w:space="0" w:color="7F7F7F"/>
              <w:bottom w:val="single" w:sz="4" w:space="0" w:color="auto"/>
            </w:tcBorders>
            <w:shd w:val="clear" w:color="auto" w:fill="auto"/>
            <w:noWrap/>
            <w:hideMark/>
          </w:tcPr>
          <w:p w:rsidR="002048E4" w:rsidRPr="002048E4" w:rsidRDefault="002048E4" w:rsidP="002048E4">
            <w:pPr>
              <w:spacing w:after="0" w:line="240" w:lineRule="auto"/>
              <w:rPr>
                <w:rFonts w:eastAsia="Times New Roman"/>
                <w:b/>
                <w:bCs/>
                <w:sz w:val="20"/>
                <w:szCs w:val="20"/>
              </w:rPr>
            </w:pPr>
            <w:r w:rsidRPr="002048E4">
              <w:rPr>
                <w:rFonts w:eastAsia="Times New Roman"/>
                <w:b/>
                <w:bCs/>
                <w:sz w:val="20"/>
                <w:szCs w:val="20"/>
              </w:rPr>
              <w:t>ATT</w:t>
            </w:r>
          </w:p>
        </w:tc>
        <w:tc>
          <w:tcPr>
            <w:tcW w:w="382" w:type="pct"/>
            <w:tcBorders>
              <w:top w:val="single" w:sz="4" w:space="0" w:color="7F7F7F"/>
              <w:bottom w:val="single" w:sz="4" w:space="0" w:color="auto"/>
            </w:tcBorders>
            <w:shd w:val="clear" w:color="auto" w:fill="auto"/>
            <w:noWrap/>
            <w:hideMark/>
          </w:tcPr>
          <w:p w:rsidR="002048E4" w:rsidRPr="002048E4" w:rsidRDefault="002048E4" w:rsidP="002048E4">
            <w:pPr>
              <w:spacing w:after="0" w:line="240" w:lineRule="auto"/>
              <w:rPr>
                <w:rFonts w:eastAsia="Times New Roman"/>
                <w:b/>
                <w:bCs/>
                <w:sz w:val="20"/>
                <w:szCs w:val="20"/>
              </w:rPr>
            </w:pPr>
            <w:r w:rsidRPr="002048E4">
              <w:rPr>
                <w:rFonts w:eastAsia="Times New Roman"/>
                <w:b/>
                <w:bCs/>
                <w:sz w:val="20"/>
                <w:szCs w:val="20"/>
              </w:rPr>
              <w:t>INT</w:t>
            </w:r>
          </w:p>
        </w:tc>
        <w:tc>
          <w:tcPr>
            <w:tcW w:w="376" w:type="pct"/>
            <w:tcBorders>
              <w:top w:val="single" w:sz="4" w:space="0" w:color="7F7F7F"/>
              <w:bottom w:val="single" w:sz="4" w:space="0" w:color="auto"/>
            </w:tcBorders>
            <w:shd w:val="clear" w:color="auto" w:fill="auto"/>
            <w:noWrap/>
            <w:hideMark/>
          </w:tcPr>
          <w:p w:rsidR="002048E4" w:rsidRPr="002048E4" w:rsidRDefault="002048E4" w:rsidP="002048E4">
            <w:pPr>
              <w:spacing w:after="0" w:line="240" w:lineRule="auto"/>
              <w:rPr>
                <w:rFonts w:eastAsia="Times New Roman"/>
                <w:b/>
                <w:bCs/>
                <w:sz w:val="20"/>
                <w:szCs w:val="20"/>
              </w:rPr>
            </w:pPr>
            <w:r w:rsidRPr="002048E4">
              <w:rPr>
                <w:rFonts w:eastAsia="Times New Roman"/>
                <w:b/>
                <w:bCs/>
                <w:sz w:val="20"/>
                <w:szCs w:val="20"/>
              </w:rPr>
              <w:t>PBC</w:t>
            </w:r>
          </w:p>
        </w:tc>
      </w:tr>
      <w:tr w:rsidR="002048E4" w:rsidRPr="002048E4" w:rsidTr="00A7673B">
        <w:trPr>
          <w:trHeight w:val="290"/>
          <w:jc w:val="center"/>
        </w:trPr>
        <w:tc>
          <w:tcPr>
            <w:tcW w:w="381" w:type="pct"/>
            <w:tcBorders>
              <w:top w:val="single" w:sz="4" w:space="0" w:color="auto"/>
              <w:bottom w:val="nil"/>
            </w:tcBorders>
            <w:shd w:val="clear" w:color="auto" w:fill="auto"/>
            <w:noWrap/>
            <w:hideMark/>
          </w:tcPr>
          <w:p w:rsidR="002048E4" w:rsidRPr="002048E4" w:rsidRDefault="002048E4" w:rsidP="002048E4">
            <w:pPr>
              <w:spacing w:after="0" w:line="240" w:lineRule="auto"/>
              <w:rPr>
                <w:rFonts w:eastAsia="Times New Roman"/>
                <w:b/>
                <w:bCs/>
                <w:color w:val="000000"/>
                <w:sz w:val="20"/>
                <w:szCs w:val="20"/>
              </w:rPr>
            </w:pPr>
            <w:r w:rsidRPr="002048E4">
              <w:rPr>
                <w:rFonts w:eastAsia="Times New Roman"/>
                <w:b/>
                <w:bCs/>
                <w:color w:val="000000"/>
                <w:sz w:val="20"/>
                <w:szCs w:val="20"/>
              </w:rPr>
              <w:t>SN</w:t>
            </w:r>
          </w:p>
        </w:tc>
        <w:tc>
          <w:tcPr>
            <w:tcW w:w="381" w:type="pct"/>
            <w:tcBorders>
              <w:top w:val="single" w:sz="4" w:space="0" w:color="auto"/>
              <w:bottom w:val="nil"/>
            </w:tcBorders>
            <w:shd w:val="clear" w:color="auto" w:fill="auto"/>
            <w:noWrap/>
            <w:hideMark/>
          </w:tcPr>
          <w:p w:rsidR="002048E4" w:rsidRPr="002048E4" w:rsidRDefault="002048E4" w:rsidP="002048E4">
            <w:pPr>
              <w:spacing w:after="0" w:line="240" w:lineRule="auto"/>
              <w:jc w:val="right"/>
              <w:rPr>
                <w:rFonts w:eastAsia="Times New Roman"/>
                <w:sz w:val="20"/>
                <w:szCs w:val="20"/>
              </w:rPr>
            </w:pPr>
            <w:r w:rsidRPr="002048E4">
              <w:rPr>
                <w:rFonts w:eastAsia="Times New Roman"/>
                <w:sz w:val="20"/>
                <w:szCs w:val="20"/>
              </w:rPr>
              <w:t>0.829</w:t>
            </w:r>
          </w:p>
        </w:tc>
        <w:tc>
          <w:tcPr>
            <w:tcW w:w="381" w:type="pct"/>
            <w:tcBorders>
              <w:top w:val="single" w:sz="4" w:space="0" w:color="auto"/>
              <w:bottom w:val="nil"/>
            </w:tcBorders>
            <w:shd w:val="clear" w:color="auto" w:fill="auto"/>
            <w:noWrap/>
            <w:hideMark/>
          </w:tcPr>
          <w:p w:rsidR="002048E4" w:rsidRPr="002048E4" w:rsidRDefault="002048E4" w:rsidP="002048E4">
            <w:pPr>
              <w:spacing w:after="0" w:line="240" w:lineRule="auto"/>
              <w:jc w:val="right"/>
              <w:rPr>
                <w:rFonts w:eastAsia="Times New Roman"/>
                <w:sz w:val="20"/>
                <w:szCs w:val="20"/>
              </w:rPr>
            </w:pPr>
            <w:r w:rsidRPr="002048E4">
              <w:rPr>
                <w:rFonts w:eastAsia="Times New Roman"/>
                <w:sz w:val="20"/>
                <w:szCs w:val="20"/>
              </w:rPr>
              <w:t>0.708</w:t>
            </w:r>
          </w:p>
        </w:tc>
        <w:tc>
          <w:tcPr>
            <w:tcW w:w="381" w:type="pct"/>
            <w:tcBorders>
              <w:top w:val="single" w:sz="4" w:space="0" w:color="auto"/>
              <w:bottom w:val="nil"/>
            </w:tcBorders>
            <w:shd w:val="clear" w:color="auto" w:fill="auto"/>
            <w:noWrap/>
            <w:hideMark/>
          </w:tcPr>
          <w:p w:rsidR="002048E4" w:rsidRPr="002048E4" w:rsidRDefault="002048E4" w:rsidP="002048E4">
            <w:pPr>
              <w:spacing w:after="0" w:line="240" w:lineRule="auto"/>
              <w:jc w:val="right"/>
              <w:rPr>
                <w:rFonts w:eastAsia="Times New Roman"/>
                <w:b/>
                <w:bCs/>
                <w:color w:val="FF0000"/>
                <w:sz w:val="20"/>
                <w:szCs w:val="20"/>
              </w:rPr>
            </w:pPr>
            <w:r w:rsidRPr="002048E4">
              <w:rPr>
                <w:rFonts w:eastAsia="Times New Roman"/>
                <w:b/>
                <w:bCs/>
                <w:sz w:val="20"/>
                <w:szCs w:val="20"/>
              </w:rPr>
              <w:t>0.842</w:t>
            </w:r>
          </w:p>
        </w:tc>
        <w:tc>
          <w:tcPr>
            <w:tcW w:w="405" w:type="pct"/>
            <w:tcBorders>
              <w:top w:val="single" w:sz="4" w:space="0" w:color="auto"/>
              <w:bottom w:val="nil"/>
            </w:tcBorders>
            <w:shd w:val="clear" w:color="auto" w:fill="auto"/>
            <w:noWrap/>
            <w:hideMark/>
          </w:tcPr>
          <w:p w:rsidR="002048E4" w:rsidRPr="002048E4" w:rsidRDefault="002048E4" w:rsidP="002048E4">
            <w:pPr>
              <w:spacing w:after="0" w:line="240" w:lineRule="auto"/>
              <w:rPr>
                <w:rFonts w:eastAsia="Times New Roman"/>
                <w:color w:val="000000"/>
                <w:sz w:val="20"/>
                <w:szCs w:val="20"/>
              </w:rPr>
            </w:pPr>
            <w:r w:rsidRPr="002048E4">
              <w:rPr>
                <w:rFonts w:eastAsia="Times New Roman"/>
                <w:color w:val="000000"/>
                <w:sz w:val="20"/>
                <w:szCs w:val="20"/>
              </w:rPr>
              <w:t> </w:t>
            </w:r>
          </w:p>
        </w:tc>
        <w:tc>
          <w:tcPr>
            <w:tcW w:w="381" w:type="pct"/>
            <w:tcBorders>
              <w:top w:val="single" w:sz="4" w:space="0" w:color="auto"/>
              <w:bottom w:val="nil"/>
            </w:tcBorders>
            <w:shd w:val="clear" w:color="auto" w:fill="auto"/>
            <w:noWrap/>
            <w:hideMark/>
          </w:tcPr>
          <w:p w:rsidR="002048E4" w:rsidRPr="002048E4" w:rsidRDefault="002048E4" w:rsidP="002048E4">
            <w:pPr>
              <w:spacing w:after="0" w:line="240" w:lineRule="auto"/>
              <w:rPr>
                <w:rFonts w:eastAsia="Times New Roman"/>
                <w:color w:val="000000"/>
                <w:sz w:val="20"/>
                <w:szCs w:val="20"/>
              </w:rPr>
            </w:pPr>
            <w:r w:rsidRPr="002048E4">
              <w:rPr>
                <w:rFonts w:eastAsia="Times New Roman"/>
                <w:color w:val="000000"/>
                <w:sz w:val="20"/>
                <w:szCs w:val="20"/>
              </w:rPr>
              <w:t> </w:t>
            </w:r>
          </w:p>
        </w:tc>
        <w:tc>
          <w:tcPr>
            <w:tcW w:w="405" w:type="pct"/>
            <w:tcBorders>
              <w:top w:val="single" w:sz="4" w:space="0" w:color="auto"/>
              <w:bottom w:val="nil"/>
            </w:tcBorders>
            <w:shd w:val="clear" w:color="auto" w:fill="auto"/>
            <w:noWrap/>
            <w:hideMark/>
          </w:tcPr>
          <w:p w:rsidR="002048E4" w:rsidRPr="002048E4" w:rsidRDefault="002048E4" w:rsidP="002048E4">
            <w:pPr>
              <w:spacing w:after="0" w:line="240" w:lineRule="auto"/>
              <w:rPr>
                <w:rFonts w:eastAsia="Times New Roman"/>
                <w:color w:val="000000"/>
                <w:sz w:val="20"/>
                <w:szCs w:val="20"/>
              </w:rPr>
            </w:pPr>
            <w:r w:rsidRPr="002048E4">
              <w:rPr>
                <w:rFonts w:eastAsia="Times New Roman"/>
                <w:color w:val="000000"/>
                <w:sz w:val="20"/>
                <w:szCs w:val="20"/>
              </w:rPr>
              <w:t> </w:t>
            </w:r>
          </w:p>
        </w:tc>
        <w:tc>
          <w:tcPr>
            <w:tcW w:w="381" w:type="pct"/>
            <w:tcBorders>
              <w:top w:val="single" w:sz="4" w:space="0" w:color="auto"/>
              <w:bottom w:val="nil"/>
            </w:tcBorders>
            <w:shd w:val="clear" w:color="auto" w:fill="auto"/>
            <w:noWrap/>
            <w:hideMark/>
          </w:tcPr>
          <w:p w:rsidR="002048E4" w:rsidRPr="002048E4" w:rsidRDefault="002048E4" w:rsidP="002048E4">
            <w:pPr>
              <w:spacing w:after="0" w:line="240" w:lineRule="auto"/>
              <w:rPr>
                <w:rFonts w:eastAsia="Times New Roman"/>
                <w:color w:val="000000"/>
                <w:sz w:val="20"/>
                <w:szCs w:val="20"/>
              </w:rPr>
            </w:pPr>
            <w:r w:rsidRPr="002048E4">
              <w:rPr>
                <w:rFonts w:eastAsia="Times New Roman"/>
                <w:color w:val="000000"/>
                <w:sz w:val="20"/>
                <w:szCs w:val="20"/>
              </w:rPr>
              <w:t> </w:t>
            </w:r>
          </w:p>
        </w:tc>
        <w:tc>
          <w:tcPr>
            <w:tcW w:w="381" w:type="pct"/>
            <w:tcBorders>
              <w:top w:val="single" w:sz="4" w:space="0" w:color="auto"/>
              <w:bottom w:val="nil"/>
            </w:tcBorders>
            <w:shd w:val="clear" w:color="auto" w:fill="auto"/>
            <w:noWrap/>
            <w:hideMark/>
          </w:tcPr>
          <w:p w:rsidR="002048E4" w:rsidRPr="002048E4" w:rsidRDefault="002048E4" w:rsidP="002048E4">
            <w:pPr>
              <w:spacing w:after="0" w:line="240" w:lineRule="auto"/>
              <w:rPr>
                <w:rFonts w:eastAsia="Times New Roman"/>
                <w:color w:val="000000"/>
                <w:sz w:val="20"/>
                <w:szCs w:val="20"/>
              </w:rPr>
            </w:pPr>
            <w:r w:rsidRPr="002048E4">
              <w:rPr>
                <w:rFonts w:eastAsia="Times New Roman"/>
                <w:color w:val="000000"/>
                <w:sz w:val="20"/>
                <w:szCs w:val="20"/>
              </w:rPr>
              <w:t> </w:t>
            </w:r>
          </w:p>
        </w:tc>
        <w:tc>
          <w:tcPr>
            <w:tcW w:w="381" w:type="pct"/>
            <w:tcBorders>
              <w:top w:val="single" w:sz="4" w:space="0" w:color="auto"/>
              <w:bottom w:val="nil"/>
            </w:tcBorders>
            <w:shd w:val="clear" w:color="auto" w:fill="auto"/>
            <w:noWrap/>
            <w:hideMark/>
          </w:tcPr>
          <w:p w:rsidR="002048E4" w:rsidRPr="002048E4" w:rsidRDefault="002048E4" w:rsidP="002048E4">
            <w:pPr>
              <w:spacing w:after="0" w:line="240" w:lineRule="auto"/>
              <w:rPr>
                <w:rFonts w:eastAsia="Times New Roman"/>
                <w:color w:val="000000"/>
                <w:sz w:val="20"/>
                <w:szCs w:val="20"/>
              </w:rPr>
            </w:pPr>
            <w:r w:rsidRPr="002048E4">
              <w:rPr>
                <w:rFonts w:eastAsia="Times New Roman"/>
                <w:color w:val="000000"/>
                <w:sz w:val="20"/>
                <w:szCs w:val="20"/>
              </w:rPr>
              <w:t> </w:t>
            </w:r>
          </w:p>
        </w:tc>
        <w:tc>
          <w:tcPr>
            <w:tcW w:w="381" w:type="pct"/>
            <w:tcBorders>
              <w:top w:val="single" w:sz="4" w:space="0" w:color="auto"/>
              <w:bottom w:val="nil"/>
            </w:tcBorders>
            <w:shd w:val="clear" w:color="auto" w:fill="auto"/>
            <w:noWrap/>
            <w:hideMark/>
          </w:tcPr>
          <w:p w:rsidR="002048E4" w:rsidRPr="002048E4" w:rsidRDefault="002048E4" w:rsidP="002048E4">
            <w:pPr>
              <w:spacing w:after="0" w:line="240" w:lineRule="auto"/>
              <w:rPr>
                <w:rFonts w:eastAsia="Times New Roman"/>
                <w:color w:val="000000"/>
                <w:sz w:val="20"/>
                <w:szCs w:val="20"/>
              </w:rPr>
            </w:pPr>
            <w:r w:rsidRPr="002048E4">
              <w:rPr>
                <w:rFonts w:eastAsia="Times New Roman"/>
                <w:color w:val="000000"/>
                <w:sz w:val="20"/>
                <w:szCs w:val="20"/>
              </w:rPr>
              <w:t> </w:t>
            </w:r>
          </w:p>
        </w:tc>
        <w:tc>
          <w:tcPr>
            <w:tcW w:w="382" w:type="pct"/>
            <w:tcBorders>
              <w:top w:val="single" w:sz="4" w:space="0" w:color="auto"/>
              <w:bottom w:val="nil"/>
            </w:tcBorders>
            <w:shd w:val="clear" w:color="auto" w:fill="auto"/>
            <w:noWrap/>
            <w:hideMark/>
          </w:tcPr>
          <w:p w:rsidR="002048E4" w:rsidRPr="002048E4" w:rsidRDefault="002048E4" w:rsidP="002048E4">
            <w:pPr>
              <w:spacing w:after="0" w:line="240" w:lineRule="auto"/>
              <w:rPr>
                <w:rFonts w:eastAsia="Times New Roman"/>
                <w:color w:val="000000"/>
                <w:sz w:val="20"/>
                <w:szCs w:val="20"/>
              </w:rPr>
            </w:pPr>
            <w:r w:rsidRPr="002048E4">
              <w:rPr>
                <w:rFonts w:eastAsia="Times New Roman"/>
                <w:color w:val="000000"/>
                <w:sz w:val="20"/>
                <w:szCs w:val="20"/>
              </w:rPr>
              <w:t> </w:t>
            </w:r>
          </w:p>
        </w:tc>
        <w:tc>
          <w:tcPr>
            <w:tcW w:w="376" w:type="pct"/>
            <w:tcBorders>
              <w:top w:val="single" w:sz="4" w:space="0" w:color="auto"/>
              <w:bottom w:val="nil"/>
            </w:tcBorders>
            <w:shd w:val="clear" w:color="auto" w:fill="auto"/>
            <w:noWrap/>
            <w:hideMark/>
          </w:tcPr>
          <w:p w:rsidR="002048E4" w:rsidRPr="002048E4" w:rsidRDefault="002048E4" w:rsidP="002048E4">
            <w:pPr>
              <w:spacing w:after="0" w:line="240" w:lineRule="auto"/>
              <w:rPr>
                <w:rFonts w:eastAsia="Times New Roman"/>
                <w:color w:val="000000"/>
                <w:sz w:val="20"/>
                <w:szCs w:val="20"/>
              </w:rPr>
            </w:pPr>
            <w:r w:rsidRPr="002048E4">
              <w:rPr>
                <w:rFonts w:eastAsia="Times New Roman"/>
                <w:color w:val="000000"/>
                <w:sz w:val="20"/>
                <w:szCs w:val="20"/>
              </w:rPr>
              <w:t> </w:t>
            </w:r>
          </w:p>
        </w:tc>
      </w:tr>
      <w:tr w:rsidR="002048E4" w:rsidRPr="002048E4" w:rsidTr="00A7673B">
        <w:trPr>
          <w:trHeight w:val="290"/>
          <w:jc w:val="center"/>
        </w:trPr>
        <w:tc>
          <w:tcPr>
            <w:tcW w:w="381" w:type="pct"/>
            <w:tcBorders>
              <w:top w:val="nil"/>
              <w:bottom w:val="nil"/>
            </w:tcBorders>
            <w:shd w:val="clear" w:color="auto" w:fill="auto"/>
            <w:noWrap/>
            <w:hideMark/>
          </w:tcPr>
          <w:p w:rsidR="002048E4" w:rsidRPr="002048E4" w:rsidRDefault="002048E4" w:rsidP="002048E4">
            <w:pPr>
              <w:spacing w:after="0" w:line="240" w:lineRule="auto"/>
              <w:rPr>
                <w:rFonts w:eastAsia="Times New Roman"/>
                <w:b/>
                <w:bCs/>
                <w:color w:val="000000"/>
                <w:sz w:val="20"/>
                <w:szCs w:val="20"/>
              </w:rPr>
            </w:pPr>
            <w:r w:rsidRPr="002048E4">
              <w:rPr>
                <w:rFonts w:eastAsia="Times New Roman"/>
                <w:b/>
                <w:bCs/>
                <w:color w:val="000000"/>
                <w:sz w:val="20"/>
                <w:szCs w:val="20"/>
              </w:rPr>
              <w:t>OPT</w:t>
            </w:r>
          </w:p>
        </w:tc>
        <w:tc>
          <w:tcPr>
            <w:tcW w:w="381" w:type="pct"/>
            <w:tcBorders>
              <w:top w:val="nil"/>
              <w:bottom w:val="nil"/>
            </w:tcBorders>
            <w:shd w:val="clear" w:color="auto" w:fill="auto"/>
            <w:noWrap/>
            <w:hideMark/>
          </w:tcPr>
          <w:p w:rsidR="002048E4" w:rsidRPr="002048E4" w:rsidRDefault="002048E4" w:rsidP="002048E4">
            <w:pPr>
              <w:spacing w:after="0" w:line="240" w:lineRule="auto"/>
              <w:jc w:val="right"/>
              <w:rPr>
                <w:rFonts w:eastAsia="Times New Roman"/>
                <w:sz w:val="20"/>
                <w:szCs w:val="20"/>
              </w:rPr>
            </w:pPr>
            <w:r w:rsidRPr="002048E4">
              <w:rPr>
                <w:rFonts w:eastAsia="Times New Roman"/>
                <w:sz w:val="20"/>
                <w:szCs w:val="20"/>
              </w:rPr>
              <w:t>0.843</w:t>
            </w:r>
          </w:p>
        </w:tc>
        <w:tc>
          <w:tcPr>
            <w:tcW w:w="381" w:type="pct"/>
            <w:tcBorders>
              <w:top w:val="nil"/>
              <w:bottom w:val="nil"/>
            </w:tcBorders>
            <w:shd w:val="clear" w:color="auto" w:fill="auto"/>
            <w:noWrap/>
            <w:hideMark/>
          </w:tcPr>
          <w:p w:rsidR="002048E4" w:rsidRPr="002048E4" w:rsidRDefault="002048E4" w:rsidP="002048E4">
            <w:pPr>
              <w:spacing w:after="0" w:line="240" w:lineRule="auto"/>
              <w:jc w:val="right"/>
              <w:rPr>
                <w:rFonts w:eastAsia="Times New Roman"/>
                <w:sz w:val="20"/>
                <w:szCs w:val="20"/>
              </w:rPr>
            </w:pPr>
            <w:r w:rsidRPr="002048E4">
              <w:rPr>
                <w:rFonts w:eastAsia="Times New Roman"/>
                <w:sz w:val="20"/>
                <w:szCs w:val="20"/>
              </w:rPr>
              <w:t>0.519</w:t>
            </w:r>
          </w:p>
        </w:tc>
        <w:tc>
          <w:tcPr>
            <w:tcW w:w="381" w:type="pct"/>
            <w:tcBorders>
              <w:top w:val="nil"/>
              <w:bottom w:val="nil"/>
            </w:tcBorders>
            <w:shd w:val="clear" w:color="auto" w:fill="auto"/>
            <w:noWrap/>
            <w:hideMark/>
          </w:tcPr>
          <w:p w:rsidR="002048E4" w:rsidRPr="002048E4" w:rsidRDefault="002048E4" w:rsidP="002048E4">
            <w:pPr>
              <w:spacing w:after="0" w:line="240" w:lineRule="auto"/>
              <w:jc w:val="right"/>
              <w:rPr>
                <w:rFonts w:eastAsia="Times New Roman"/>
                <w:color w:val="000000"/>
                <w:sz w:val="20"/>
                <w:szCs w:val="20"/>
              </w:rPr>
            </w:pPr>
            <w:r w:rsidRPr="002048E4">
              <w:rPr>
                <w:rFonts w:eastAsia="Times New Roman"/>
                <w:color w:val="000000"/>
                <w:sz w:val="20"/>
                <w:szCs w:val="20"/>
              </w:rPr>
              <w:t>0.268</w:t>
            </w:r>
          </w:p>
        </w:tc>
        <w:tc>
          <w:tcPr>
            <w:tcW w:w="405" w:type="pct"/>
            <w:tcBorders>
              <w:top w:val="nil"/>
              <w:bottom w:val="nil"/>
            </w:tcBorders>
            <w:shd w:val="clear" w:color="auto" w:fill="auto"/>
            <w:noWrap/>
            <w:hideMark/>
          </w:tcPr>
          <w:p w:rsidR="002048E4" w:rsidRPr="002048E4" w:rsidRDefault="002048E4" w:rsidP="002048E4">
            <w:pPr>
              <w:spacing w:after="0" w:line="240" w:lineRule="auto"/>
              <w:jc w:val="right"/>
              <w:rPr>
                <w:rFonts w:eastAsia="Times New Roman"/>
                <w:b/>
                <w:bCs/>
                <w:color w:val="FF0000"/>
                <w:sz w:val="20"/>
                <w:szCs w:val="20"/>
              </w:rPr>
            </w:pPr>
            <w:r w:rsidRPr="002048E4">
              <w:rPr>
                <w:rFonts w:eastAsia="Times New Roman"/>
                <w:b/>
                <w:bCs/>
                <w:sz w:val="20"/>
                <w:szCs w:val="20"/>
              </w:rPr>
              <w:t>0.720</w:t>
            </w:r>
          </w:p>
        </w:tc>
        <w:tc>
          <w:tcPr>
            <w:tcW w:w="381" w:type="pct"/>
            <w:tcBorders>
              <w:top w:val="nil"/>
              <w:bottom w:val="nil"/>
            </w:tcBorders>
            <w:shd w:val="clear" w:color="auto" w:fill="auto"/>
            <w:noWrap/>
            <w:hideMark/>
          </w:tcPr>
          <w:p w:rsidR="002048E4" w:rsidRPr="002048E4" w:rsidRDefault="002048E4" w:rsidP="002048E4">
            <w:pPr>
              <w:spacing w:after="0" w:line="240" w:lineRule="auto"/>
              <w:rPr>
                <w:rFonts w:eastAsia="Times New Roman"/>
                <w:color w:val="000000"/>
                <w:sz w:val="20"/>
                <w:szCs w:val="20"/>
              </w:rPr>
            </w:pPr>
            <w:r w:rsidRPr="002048E4">
              <w:rPr>
                <w:rFonts w:eastAsia="Times New Roman"/>
                <w:color w:val="000000"/>
                <w:sz w:val="20"/>
                <w:szCs w:val="20"/>
              </w:rPr>
              <w:t> </w:t>
            </w:r>
          </w:p>
        </w:tc>
        <w:tc>
          <w:tcPr>
            <w:tcW w:w="405" w:type="pct"/>
            <w:tcBorders>
              <w:top w:val="nil"/>
              <w:bottom w:val="nil"/>
            </w:tcBorders>
            <w:shd w:val="clear" w:color="auto" w:fill="auto"/>
            <w:noWrap/>
            <w:hideMark/>
          </w:tcPr>
          <w:p w:rsidR="002048E4" w:rsidRPr="002048E4" w:rsidRDefault="002048E4" w:rsidP="002048E4">
            <w:pPr>
              <w:spacing w:after="0" w:line="240" w:lineRule="auto"/>
              <w:rPr>
                <w:rFonts w:eastAsia="Times New Roman"/>
                <w:color w:val="000000"/>
                <w:sz w:val="20"/>
                <w:szCs w:val="20"/>
              </w:rPr>
            </w:pPr>
            <w:r w:rsidRPr="002048E4">
              <w:rPr>
                <w:rFonts w:eastAsia="Times New Roman"/>
                <w:color w:val="000000"/>
                <w:sz w:val="20"/>
                <w:szCs w:val="20"/>
              </w:rPr>
              <w:t> </w:t>
            </w:r>
          </w:p>
        </w:tc>
        <w:tc>
          <w:tcPr>
            <w:tcW w:w="381" w:type="pct"/>
            <w:tcBorders>
              <w:top w:val="nil"/>
              <w:bottom w:val="nil"/>
            </w:tcBorders>
            <w:shd w:val="clear" w:color="auto" w:fill="auto"/>
            <w:noWrap/>
            <w:hideMark/>
          </w:tcPr>
          <w:p w:rsidR="002048E4" w:rsidRPr="002048E4" w:rsidRDefault="002048E4" w:rsidP="002048E4">
            <w:pPr>
              <w:spacing w:after="0" w:line="240" w:lineRule="auto"/>
              <w:rPr>
                <w:rFonts w:eastAsia="Times New Roman"/>
                <w:color w:val="000000"/>
                <w:sz w:val="20"/>
                <w:szCs w:val="20"/>
              </w:rPr>
            </w:pPr>
            <w:r w:rsidRPr="002048E4">
              <w:rPr>
                <w:rFonts w:eastAsia="Times New Roman"/>
                <w:color w:val="000000"/>
                <w:sz w:val="20"/>
                <w:szCs w:val="20"/>
              </w:rPr>
              <w:t> </w:t>
            </w:r>
          </w:p>
        </w:tc>
        <w:tc>
          <w:tcPr>
            <w:tcW w:w="381" w:type="pct"/>
            <w:tcBorders>
              <w:top w:val="nil"/>
              <w:bottom w:val="nil"/>
            </w:tcBorders>
            <w:shd w:val="clear" w:color="auto" w:fill="auto"/>
            <w:noWrap/>
            <w:hideMark/>
          </w:tcPr>
          <w:p w:rsidR="002048E4" w:rsidRPr="002048E4" w:rsidRDefault="002048E4" w:rsidP="002048E4">
            <w:pPr>
              <w:spacing w:after="0" w:line="240" w:lineRule="auto"/>
              <w:rPr>
                <w:rFonts w:eastAsia="Times New Roman"/>
                <w:color w:val="000000"/>
                <w:sz w:val="20"/>
                <w:szCs w:val="20"/>
              </w:rPr>
            </w:pPr>
            <w:r w:rsidRPr="002048E4">
              <w:rPr>
                <w:rFonts w:eastAsia="Times New Roman"/>
                <w:color w:val="000000"/>
                <w:sz w:val="20"/>
                <w:szCs w:val="20"/>
              </w:rPr>
              <w:t> </w:t>
            </w:r>
          </w:p>
        </w:tc>
        <w:tc>
          <w:tcPr>
            <w:tcW w:w="381" w:type="pct"/>
            <w:tcBorders>
              <w:top w:val="nil"/>
              <w:bottom w:val="nil"/>
            </w:tcBorders>
            <w:shd w:val="clear" w:color="auto" w:fill="auto"/>
            <w:noWrap/>
            <w:hideMark/>
          </w:tcPr>
          <w:p w:rsidR="002048E4" w:rsidRPr="002048E4" w:rsidRDefault="002048E4" w:rsidP="002048E4">
            <w:pPr>
              <w:spacing w:after="0" w:line="240" w:lineRule="auto"/>
              <w:rPr>
                <w:rFonts w:eastAsia="Times New Roman"/>
                <w:color w:val="000000"/>
                <w:sz w:val="20"/>
                <w:szCs w:val="20"/>
              </w:rPr>
            </w:pPr>
            <w:r w:rsidRPr="002048E4">
              <w:rPr>
                <w:rFonts w:eastAsia="Times New Roman"/>
                <w:color w:val="000000"/>
                <w:sz w:val="20"/>
                <w:szCs w:val="20"/>
              </w:rPr>
              <w:t> </w:t>
            </w:r>
          </w:p>
        </w:tc>
        <w:tc>
          <w:tcPr>
            <w:tcW w:w="381" w:type="pct"/>
            <w:tcBorders>
              <w:top w:val="nil"/>
              <w:bottom w:val="nil"/>
            </w:tcBorders>
            <w:shd w:val="clear" w:color="auto" w:fill="auto"/>
            <w:noWrap/>
            <w:hideMark/>
          </w:tcPr>
          <w:p w:rsidR="002048E4" w:rsidRPr="002048E4" w:rsidRDefault="002048E4" w:rsidP="002048E4">
            <w:pPr>
              <w:spacing w:after="0" w:line="240" w:lineRule="auto"/>
              <w:rPr>
                <w:rFonts w:eastAsia="Times New Roman"/>
                <w:color w:val="000000"/>
                <w:sz w:val="20"/>
                <w:szCs w:val="20"/>
              </w:rPr>
            </w:pPr>
            <w:r w:rsidRPr="002048E4">
              <w:rPr>
                <w:rFonts w:eastAsia="Times New Roman"/>
                <w:color w:val="000000"/>
                <w:sz w:val="20"/>
                <w:szCs w:val="20"/>
              </w:rPr>
              <w:t> </w:t>
            </w:r>
          </w:p>
        </w:tc>
        <w:tc>
          <w:tcPr>
            <w:tcW w:w="382" w:type="pct"/>
            <w:tcBorders>
              <w:top w:val="nil"/>
              <w:bottom w:val="nil"/>
            </w:tcBorders>
            <w:shd w:val="clear" w:color="auto" w:fill="auto"/>
            <w:noWrap/>
            <w:hideMark/>
          </w:tcPr>
          <w:p w:rsidR="002048E4" w:rsidRPr="002048E4" w:rsidRDefault="002048E4" w:rsidP="002048E4">
            <w:pPr>
              <w:spacing w:after="0" w:line="240" w:lineRule="auto"/>
              <w:rPr>
                <w:rFonts w:eastAsia="Times New Roman"/>
                <w:color w:val="000000"/>
                <w:sz w:val="20"/>
                <w:szCs w:val="20"/>
              </w:rPr>
            </w:pPr>
            <w:r w:rsidRPr="002048E4">
              <w:rPr>
                <w:rFonts w:eastAsia="Times New Roman"/>
                <w:color w:val="000000"/>
                <w:sz w:val="20"/>
                <w:szCs w:val="20"/>
              </w:rPr>
              <w:t> </w:t>
            </w:r>
          </w:p>
        </w:tc>
        <w:tc>
          <w:tcPr>
            <w:tcW w:w="376" w:type="pct"/>
            <w:tcBorders>
              <w:top w:val="nil"/>
              <w:bottom w:val="nil"/>
            </w:tcBorders>
            <w:shd w:val="clear" w:color="auto" w:fill="auto"/>
            <w:noWrap/>
            <w:hideMark/>
          </w:tcPr>
          <w:p w:rsidR="002048E4" w:rsidRPr="002048E4" w:rsidRDefault="002048E4" w:rsidP="002048E4">
            <w:pPr>
              <w:spacing w:after="0" w:line="240" w:lineRule="auto"/>
              <w:rPr>
                <w:rFonts w:eastAsia="Times New Roman"/>
                <w:color w:val="000000"/>
                <w:sz w:val="20"/>
                <w:szCs w:val="20"/>
              </w:rPr>
            </w:pPr>
            <w:r w:rsidRPr="002048E4">
              <w:rPr>
                <w:rFonts w:eastAsia="Times New Roman"/>
                <w:color w:val="000000"/>
                <w:sz w:val="20"/>
                <w:szCs w:val="20"/>
              </w:rPr>
              <w:t> </w:t>
            </w:r>
          </w:p>
        </w:tc>
      </w:tr>
      <w:tr w:rsidR="002048E4" w:rsidRPr="002048E4" w:rsidTr="00A7673B">
        <w:trPr>
          <w:trHeight w:val="290"/>
          <w:jc w:val="center"/>
        </w:trPr>
        <w:tc>
          <w:tcPr>
            <w:tcW w:w="381" w:type="pct"/>
            <w:tcBorders>
              <w:top w:val="nil"/>
              <w:bottom w:val="nil"/>
            </w:tcBorders>
            <w:shd w:val="clear" w:color="auto" w:fill="auto"/>
            <w:noWrap/>
            <w:hideMark/>
          </w:tcPr>
          <w:p w:rsidR="002048E4" w:rsidRPr="002048E4" w:rsidRDefault="002048E4" w:rsidP="002048E4">
            <w:pPr>
              <w:spacing w:after="0" w:line="240" w:lineRule="auto"/>
              <w:rPr>
                <w:rFonts w:eastAsia="Times New Roman"/>
                <w:b/>
                <w:bCs/>
                <w:color w:val="000000"/>
                <w:sz w:val="20"/>
                <w:szCs w:val="20"/>
              </w:rPr>
            </w:pPr>
            <w:r w:rsidRPr="002048E4">
              <w:rPr>
                <w:rFonts w:eastAsia="Times New Roman"/>
                <w:b/>
                <w:bCs/>
                <w:color w:val="000000"/>
                <w:sz w:val="20"/>
                <w:szCs w:val="20"/>
              </w:rPr>
              <w:t>INN</w:t>
            </w:r>
          </w:p>
        </w:tc>
        <w:tc>
          <w:tcPr>
            <w:tcW w:w="381" w:type="pct"/>
            <w:tcBorders>
              <w:top w:val="nil"/>
              <w:bottom w:val="nil"/>
            </w:tcBorders>
            <w:shd w:val="clear" w:color="auto" w:fill="auto"/>
            <w:noWrap/>
            <w:hideMark/>
          </w:tcPr>
          <w:p w:rsidR="002048E4" w:rsidRPr="002048E4" w:rsidRDefault="002048E4" w:rsidP="002048E4">
            <w:pPr>
              <w:spacing w:after="0" w:line="240" w:lineRule="auto"/>
              <w:jc w:val="right"/>
              <w:rPr>
                <w:rFonts w:eastAsia="Times New Roman"/>
                <w:sz w:val="20"/>
                <w:szCs w:val="20"/>
              </w:rPr>
            </w:pPr>
            <w:r w:rsidRPr="002048E4">
              <w:rPr>
                <w:rFonts w:eastAsia="Times New Roman"/>
                <w:sz w:val="20"/>
                <w:szCs w:val="20"/>
              </w:rPr>
              <w:t>0.816</w:t>
            </w:r>
          </w:p>
        </w:tc>
        <w:tc>
          <w:tcPr>
            <w:tcW w:w="381" w:type="pct"/>
            <w:tcBorders>
              <w:top w:val="nil"/>
              <w:bottom w:val="nil"/>
            </w:tcBorders>
            <w:shd w:val="clear" w:color="auto" w:fill="auto"/>
            <w:noWrap/>
            <w:hideMark/>
          </w:tcPr>
          <w:p w:rsidR="002048E4" w:rsidRPr="002048E4" w:rsidRDefault="002048E4" w:rsidP="002048E4">
            <w:pPr>
              <w:spacing w:after="0" w:line="240" w:lineRule="auto"/>
              <w:jc w:val="right"/>
              <w:rPr>
                <w:rFonts w:eastAsia="Times New Roman"/>
                <w:sz w:val="20"/>
                <w:szCs w:val="20"/>
              </w:rPr>
            </w:pPr>
            <w:r w:rsidRPr="002048E4">
              <w:rPr>
                <w:rFonts w:eastAsia="Times New Roman"/>
                <w:sz w:val="20"/>
                <w:szCs w:val="20"/>
              </w:rPr>
              <w:t>0.472</w:t>
            </w:r>
          </w:p>
        </w:tc>
        <w:tc>
          <w:tcPr>
            <w:tcW w:w="381" w:type="pct"/>
            <w:tcBorders>
              <w:top w:val="nil"/>
              <w:bottom w:val="nil"/>
            </w:tcBorders>
            <w:shd w:val="clear" w:color="auto" w:fill="auto"/>
            <w:noWrap/>
            <w:hideMark/>
          </w:tcPr>
          <w:p w:rsidR="002048E4" w:rsidRPr="002048E4" w:rsidRDefault="002048E4" w:rsidP="002048E4">
            <w:pPr>
              <w:spacing w:after="0" w:line="240" w:lineRule="auto"/>
              <w:jc w:val="right"/>
              <w:rPr>
                <w:rFonts w:eastAsia="Times New Roman"/>
                <w:color w:val="000000"/>
                <w:sz w:val="20"/>
                <w:szCs w:val="20"/>
              </w:rPr>
            </w:pPr>
            <w:r w:rsidRPr="002048E4">
              <w:rPr>
                <w:rFonts w:eastAsia="Times New Roman"/>
                <w:color w:val="000000"/>
                <w:sz w:val="20"/>
                <w:szCs w:val="20"/>
              </w:rPr>
              <w:t>0.193</w:t>
            </w:r>
          </w:p>
        </w:tc>
        <w:tc>
          <w:tcPr>
            <w:tcW w:w="405" w:type="pct"/>
            <w:tcBorders>
              <w:top w:val="nil"/>
              <w:bottom w:val="nil"/>
            </w:tcBorders>
            <w:shd w:val="clear" w:color="auto" w:fill="auto"/>
            <w:noWrap/>
            <w:hideMark/>
          </w:tcPr>
          <w:p w:rsidR="002048E4" w:rsidRPr="002048E4" w:rsidRDefault="002048E4" w:rsidP="002048E4">
            <w:pPr>
              <w:spacing w:after="0" w:line="240" w:lineRule="auto"/>
              <w:jc w:val="right"/>
              <w:rPr>
                <w:rFonts w:eastAsia="Times New Roman"/>
                <w:color w:val="000000"/>
                <w:sz w:val="20"/>
                <w:szCs w:val="20"/>
              </w:rPr>
            </w:pPr>
            <w:r w:rsidRPr="002048E4">
              <w:rPr>
                <w:rFonts w:eastAsia="Times New Roman"/>
                <w:color w:val="000000"/>
                <w:sz w:val="20"/>
                <w:szCs w:val="20"/>
              </w:rPr>
              <w:t>0.614</w:t>
            </w:r>
          </w:p>
        </w:tc>
        <w:tc>
          <w:tcPr>
            <w:tcW w:w="381" w:type="pct"/>
            <w:tcBorders>
              <w:top w:val="nil"/>
              <w:bottom w:val="nil"/>
            </w:tcBorders>
            <w:shd w:val="clear" w:color="auto" w:fill="auto"/>
            <w:noWrap/>
            <w:hideMark/>
          </w:tcPr>
          <w:p w:rsidR="002048E4" w:rsidRPr="002048E4" w:rsidRDefault="002048E4" w:rsidP="002048E4">
            <w:pPr>
              <w:spacing w:after="0" w:line="240" w:lineRule="auto"/>
              <w:jc w:val="right"/>
              <w:rPr>
                <w:rFonts w:eastAsia="Times New Roman"/>
                <w:b/>
                <w:color w:val="000000"/>
                <w:sz w:val="20"/>
                <w:szCs w:val="20"/>
              </w:rPr>
            </w:pPr>
            <w:r w:rsidRPr="002048E4">
              <w:rPr>
                <w:rFonts w:eastAsia="Times New Roman"/>
                <w:b/>
                <w:sz w:val="20"/>
                <w:szCs w:val="20"/>
              </w:rPr>
              <w:t>0.687</w:t>
            </w:r>
          </w:p>
        </w:tc>
        <w:tc>
          <w:tcPr>
            <w:tcW w:w="405" w:type="pct"/>
            <w:tcBorders>
              <w:top w:val="nil"/>
              <w:bottom w:val="nil"/>
            </w:tcBorders>
            <w:shd w:val="clear" w:color="auto" w:fill="auto"/>
            <w:noWrap/>
            <w:hideMark/>
          </w:tcPr>
          <w:p w:rsidR="002048E4" w:rsidRPr="002048E4" w:rsidRDefault="002048E4" w:rsidP="002048E4">
            <w:pPr>
              <w:spacing w:after="0" w:line="240" w:lineRule="auto"/>
              <w:rPr>
                <w:rFonts w:eastAsia="Times New Roman"/>
                <w:color w:val="000000"/>
                <w:sz w:val="20"/>
                <w:szCs w:val="20"/>
              </w:rPr>
            </w:pPr>
            <w:r w:rsidRPr="002048E4">
              <w:rPr>
                <w:rFonts w:eastAsia="Times New Roman"/>
                <w:color w:val="000000"/>
                <w:sz w:val="20"/>
                <w:szCs w:val="20"/>
              </w:rPr>
              <w:t> </w:t>
            </w:r>
          </w:p>
        </w:tc>
        <w:tc>
          <w:tcPr>
            <w:tcW w:w="381" w:type="pct"/>
            <w:tcBorders>
              <w:top w:val="nil"/>
              <w:bottom w:val="nil"/>
            </w:tcBorders>
            <w:shd w:val="clear" w:color="auto" w:fill="auto"/>
            <w:noWrap/>
            <w:hideMark/>
          </w:tcPr>
          <w:p w:rsidR="002048E4" w:rsidRPr="002048E4" w:rsidRDefault="002048E4" w:rsidP="002048E4">
            <w:pPr>
              <w:spacing w:after="0" w:line="240" w:lineRule="auto"/>
              <w:rPr>
                <w:rFonts w:eastAsia="Times New Roman"/>
                <w:color w:val="000000"/>
                <w:sz w:val="20"/>
                <w:szCs w:val="20"/>
              </w:rPr>
            </w:pPr>
            <w:r w:rsidRPr="002048E4">
              <w:rPr>
                <w:noProof/>
                <w:sz w:val="20"/>
                <w:szCs w:val="20"/>
              </w:rPr>
              <mc:AlternateContent>
                <mc:Choice Requires="wps">
                  <w:drawing>
                    <wp:anchor distT="0" distB="0" distL="114300" distR="114300" simplePos="0" relativeHeight="251657728" behindDoc="0" locked="0" layoutInCell="1" allowOverlap="1">
                      <wp:simplePos x="0" y="0"/>
                      <wp:positionH relativeFrom="column">
                        <wp:posOffset>463550</wp:posOffset>
                      </wp:positionH>
                      <wp:positionV relativeFrom="paragraph">
                        <wp:posOffset>50800</wp:posOffset>
                      </wp:positionV>
                      <wp:extent cx="2914650" cy="1130300"/>
                      <wp:effectExtent l="0" t="0" r="0" b="0"/>
                      <wp:wrapNone/>
                      <wp:docPr id="9" name="Rectangle: Rounded Corners 9" hidden="1">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4650" cy="1130300"/>
                              </a:xfrm>
                              <a:prstGeom prst="roundRect">
                                <a:avLst>
                                  <a:gd name="adj" fmla="val 50000"/>
                                </a:avLst>
                              </a:prstGeom>
                              <a:gradFill rotWithShape="1">
                                <a:gsLst>
                                  <a:gs pos="0">
                                    <a:srgbClr val="ED7D31">
                                      <a:satMod val="103000"/>
                                      <a:lumMod val="102000"/>
                                      <a:tint val="94000"/>
                                    </a:srgbClr>
                                  </a:gs>
                                  <a:gs pos="50000">
                                    <a:srgbClr val="ED7D31">
                                      <a:satMod val="110000"/>
                                      <a:lumMod val="100000"/>
                                      <a:shade val="100000"/>
                                    </a:srgbClr>
                                  </a:gs>
                                  <a:gs pos="100000">
                                    <a:srgbClr val="ED7D31">
                                      <a:lumMod val="99000"/>
                                      <a:satMod val="120000"/>
                                      <a:shade val="78000"/>
                                    </a:srgbClr>
                                  </a:gs>
                                </a:gsLst>
                                <a:lin ang="5400000" scaled="0"/>
                              </a:gradFill>
                              <a:ln>
                                <a:noFill/>
                              </a:ln>
                              <a:effectLst>
                                <a:outerShdw blurRad="57150" dist="19050" dir="5400000" algn="ctr" rotWithShape="0">
                                  <a:srgbClr val="000000">
                                    <a:alpha val="63000"/>
                                  </a:srgbClr>
                                </a:outerShdw>
                              </a:effectLst>
                            </wps:spPr>
                            <wps:txbx>
                              <w:txbxContent>
                                <w:p w:rsidR="00723B69" w:rsidRDefault="00723B69" w:rsidP="002048E4">
                                  <w:pPr>
                                    <w:pStyle w:val="NormalWeb"/>
                                    <w:spacing w:after="0" w:line="280" w:lineRule="exact"/>
                                    <w:jc w:val="center"/>
                                  </w:pPr>
                                  <w:r w:rsidRPr="00E270A7">
                                    <w:rPr>
                                      <w:rFonts w:ascii="Calibri" w:hAnsi="Calibri"/>
                                      <w:b/>
                                      <w:bCs/>
                                      <w:color w:val="FFFFFF"/>
                                      <w:sz w:val="32"/>
                                      <w:szCs w:val="32"/>
                                      <w:lang w:val="en-US"/>
                                    </w:rPr>
                                    <w:t>Read Caveats and Assumptions below</w:t>
                                  </w:r>
                                  <w:r w:rsidRPr="00E270A7">
                                    <w:rPr>
                                      <w:rFonts w:ascii="Calibri" w:hAnsi="Calibri"/>
                                      <w:color w:val="FFFFFF"/>
                                      <w:sz w:val="32"/>
                                      <w:szCs w:val="32"/>
                                      <w:lang w:val="en-US"/>
                                    </w:rPr>
                                    <w:t xml:space="preserve">, </w:t>
                                  </w:r>
                                  <w:r w:rsidRPr="00E270A7">
                                    <w:rPr>
                                      <w:rFonts w:ascii="Calibri" w:hAnsi="Calibri"/>
                                      <w:color w:val="FFFFFF"/>
                                      <w:sz w:val="32"/>
                                      <w:szCs w:val="32"/>
                                      <w:lang w:val="en-US"/>
                                    </w:rPr>
                                    <w:br/>
                                    <w:t>and then click me.</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id="Rectangle: Rounded Corners 9" o:spid="_x0000_s1026" style="position:absolute;margin-left:36.5pt;margin-top:4pt;width:229.5pt;height:89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" fillcolor="#f18c55" stroked="f">
                      <v:fill color2="#e56b17" rotate="t" colors="0 #f18c55;.5 #f67b28;1 #e56b17" focus="100%" type="gradient">
                        <o:fill v:ext="view" type="gradientUnscaled"/>
                      </v:fill>
                      <v:shadow on="t" color="black" opacity="41287f" offset="0,1.5pt"/>
                      <v:textbox>
                        <w:txbxContent>
                          <w:p w:rsidR="00723B69" w:rsidRDefault="00723B69" w:rsidP="002048E4">
                            <w:pPr>
                              <w:pStyle w:val="NormalWeb"/>
                              <w:spacing w:after="0" w:line="280" w:lineRule="exact"/>
                              <w:jc w:val="center"/>
                            </w:pPr>
                            <w:r w:rsidRPr="00E270A7">
                              <w:rPr>
                                <w:rFonts w:ascii="Calibri" w:hAnsi="Calibri"/>
                                <w:b/>
                                <w:bCs/>
                                <w:color w:val="FFFFFF"/>
                                <w:sz w:val="32"/>
                                <w:szCs w:val="32"/>
                                <w:lang w:val="en-US"/>
                              </w:rPr>
                              <w:t>Read Caveats and Assumptions below</w:t>
                            </w:r>
                            <w:r w:rsidRPr="00E270A7">
                              <w:rPr>
                                <w:rFonts w:ascii="Calibri" w:hAnsi="Calibri"/>
                                <w:color w:val="FFFFFF"/>
                                <w:sz w:val="32"/>
                                <w:szCs w:val="32"/>
                                <w:lang w:val="en-US"/>
                              </w:rPr>
                              <w:t xml:space="preserve">, </w:t>
                            </w:r>
                            <w:r w:rsidRPr="00E270A7">
                              <w:rPr>
                                <w:rFonts w:ascii="Calibri" w:hAnsi="Calibri"/>
                                <w:color w:val="FFFFFF"/>
                                <w:sz w:val="32"/>
                                <w:szCs w:val="32"/>
                                <w:lang w:val="en-US"/>
                              </w:rPr>
                              <w:br/>
                              <w:t>and then click me.</w:t>
                            </w:r>
                          </w:p>
                        </w:txbxContent>
                      </v:textbox>
                    </v:roundrect>
                  </w:pict>
                </mc:Fallback>
              </mc:AlternateContent>
            </w:r>
            <w:r w:rsidRPr="002048E4">
              <w:rPr>
                <w:rFonts w:eastAsia="Times New Roman"/>
                <w:color w:val="000000"/>
                <w:sz w:val="20"/>
                <w:szCs w:val="20"/>
              </w:rPr>
              <w:t> </w:t>
            </w:r>
          </w:p>
        </w:tc>
        <w:tc>
          <w:tcPr>
            <w:tcW w:w="381" w:type="pct"/>
            <w:tcBorders>
              <w:top w:val="nil"/>
              <w:bottom w:val="nil"/>
            </w:tcBorders>
            <w:shd w:val="clear" w:color="auto" w:fill="auto"/>
            <w:noWrap/>
            <w:hideMark/>
          </w:tcPr>
          <w:p w:rsidR="002048E4" w:rsidRPr="002048E4" w:rsidRDefault="002048E4" w:rsidP="002048E4">
            <w:pPr>
              <w:spacing w:after="0" w:line="240" w:lineRule="auto"/>
              <w:rPr>
                <w:rFonts w:eastAsia="Times New Roman"/>
                <w:color w:val="000000"/>
                <w:sz w:val="20"/>
                <w:szCs w:val="20"/>
              </w:rPr>
            </w:pPr>
            <w:r w:rsidRPr="002048E4">
              <w:rPr>
                <w:rFonts w:eastAsia="Times New Roman"/>
                <w:color w:val="000000"/>
                <w:sz w:val="20"/>
                <w:szCs w:val="20"/>
              </w:rPr>
              <w:t> </w:t>
            </w:r>
          </w:p>
        </w:tc>
        <w:tc>
          <w:tcPr>
            <w:tcW w:w="381" w:type="pct"/>
            <w:tcBorders>
              <w:top w:val="nil"/>
              <w:bottom w:val="nil"/>
            </w:tcBorders>
            <w:shd w:val="clear" w:color="auto" w:fill="auto"/>
            <w:noWrap/>
            <w:hideMark/>
          </w:tcPr>
          <w:p w:rsidR="002048E4" w:rsidRPr="002048E4" w:rsidRDefault="002048E4" w:rsidP="002048E4">
            <w:pPr>
              <w:spacing w:after="0" w:line="240" w:lineRule="auto"/>
              <w:rPr>
                <w:rFonts w:eastAsia="Times New Roman"/>
                <w:color w:val="000000"/>
                <w:sz w:val="20"/>
                <w:szCs w:val="20"/>
              </w:rPr>
            </w:pPr>
            <w:r w:rsidRPr="002048E4">
              <w:rPr>
                <w:rFonts w:eastAsia="Times New Roman"/>
                <w:color w:val="000000"/>
                <w:sz w:val="20"/>
                <w:szCs w:val="20"/>
              </w:rPr>
              <w:t> </w:t>
            </w:r>
          </w:p>
        </w:tc>
        <w:tc>
          <w:tcPr>
            <w:tcW w:w="381" w:type="pct"/>
            <w:tcBorders>
              <w:top w:val="nil"/>
              <w:bottom w:val="nil"/>
            </w:tcBorders>
            <w:shd w:val="clear" w:color="auto" w:fill="auto"/>
            <w:noWrap/>
            <w:hideMark/>
          </w:tcPr>
          <w:p w:rsidR="002048E4" w:rsidRPr="002048E4" w:rsidRDefault="002048E4" w:rsidP="002048E4">
            <w:pPr>
              <w:spacing w:after="0" w:line="240" w:lineRule="auto"/>
              <w:rPr>
                <w:rFonts w:eastAsia="Times New Roman"/>
                <w:color w:val="000000"/>
                <w:sz w:val="20"/>
                <w:szCs w:val="20"/>
              </w:rPr>
            </w:pPr>
            <w:r w:rsidRPr="002048E4">
              <w:rPr>
                <w:rFonts w:eastAsia="Times New Roman"/>
                <w:color w:val="000000"/>
                <w:sz w:val="20"/>
                <w:szCs w:val="20"/>
              </w:rPr>
              <w:t> </w:t>
            </w:r>
          </w:p>
        </w:tc>
        <w:tc>
          <w:tcPr>
            <w:tcW w:w="382" w:type="pct"/>
            <w:tcBorders>
              <w:top w:val="nil"/>
              <w:bottom w:val="nil"/>
            </w:tcBorders>
            <w:shd w:val="clear" w:color="auto" w:fill="auto"/>
            <w:noWrap/>
            <w:hideMark/>
          </w:tcPr>
          <w:p w:rsidR="002048E4" w:rsidRPr="002048E4" w:rsidRDefault="002048E4" w:rsidP="002048E4">
            <w:pPr>
              <w:spacing w:after="0" w:line="240" w:lineRule="auto"/>
              <w:rPr>
                <w:rFonts w:eastAsia="Times New Roman"/>
                <w:color w:val="000000"/>
                <w:sz w:val="20"/>
                <w:szCs w:val="20"/>
              </w:rPr>
            </w:pPr>
            <w:r w:rsidRPr="002048E4">
              <w:rPr>
                <w:rFonts w:eastAsia="Times New Roman"/>
                <w:color w:val="000000"/>
                <w:sz w:val="20"/>
                <w:szCs w:val="20"/>
              </w:rPr>
              <w:t> </w:t>
            </w:r>
          </w:p>
        </w:tc>
        <w:tc>
          <w:tcPr>
            <w:tcW w:w="376" w:type="pct"/>
            <w:tcBorders>
              <w:top w:val="nil"/>
              <w:bottom w:val="nil"/>
            </w:tcBorders>
            <w:shd w:val="clear" w:color="auto" w:fill="auto"/>
            <w:noWrap/>
            <w:hideMark/>
          </w:tcPr>
          <w:p w:rsidR="002048E4" w:rsidRPr="002048E4" w:rsidRDefault="002048E4" w:rsidP="002048E4">
            <w:pPr>
              <w:spacing w:after="0" w:line="240" w:lineRule="auto"/>
              <w:rPr>
                <w:rFonts w:eastAsia="Times New Roman"/>
                <w:color w:val="000000"/>
                <w:sz w:val="20"/>
                <w:szCs w:val="20"/>
              </w:rPr>
            </w:pPr>
            <w:r w:rsidRPr="002048E4">
              <w:rPr>
                <w:rFonts w:eastAsia="Times New Roman"/>
                <w:color w:val="000000"/>
                <w:sz w:val="20"/>
                <w:szCs w:val="20"/>
              </w:rPr>
              <w:t> </w:t>
            </w:r>
          </w:p>
        </w:tc>
      </w:tr>
      <w:tr w:rsidR="002048E4" w:rsidRPr="002048E4" w:rsidTr="00A7673B">
        <w:trPr>
          <w:trHeight w:val="290"/>
          <w:jc w:val="center"/>
        </w:trPr>
        <w:tc>
          <w:tcPr>
            <w:tcW w:w="381" w:type="pct"/>
            <w:tcBorders>
              <w:top w:val="nil"/>
              <w:bottom w:val="nil"/>
            </w:tcBorders>
            <w:shd w:val="clear" w:color="auto" w:fill="auto"/>
            <w:noWrap/>
            <w:hideMark/>
          </w:tcPr>
          <w:p w:rsidR="002048E4" w:rsidRPr="002048E4" w:rsidRDefault="002048E4" w:rsidP="002048E4">
            <w:pPr>
              <w:spacing w:after="0" w:line="240" w:lineRule="auto"/>
              <w:rPr>
                <w:rFonts w:eastAsia="Times New Roman"/>
                <w:b/>
                <w:bCs/>
                <w:color w:val="000000"/>
                <w:sz w:val="20"/>
                <w:szCs w:val="20"/>
              </w:rPr>
            </w:pPr>
            <w:r w:rsidRPr="002048E4">
              <w:rPr>
                <w:rFonts w:eastAsia="Times New Roman"/>
                <w:b/>
                <w:bCs/>
                <w:color w:val="000000"/>
                <w:sz w:val="20"/>
                <w:szCs w:val="20"/>
              </w:rPr>
              <w:t>DIS</w:t>
            </w:r>
          </w:p>
        </w:tc>
        <w:tc>
          <w:tcPr>
            <w:tcW w:w="381" w:type="pct"/>
            <w:tcBorders>
              <w:top w:val="nil"/>
              <w:bottom w:val="nil"/>
            </w:tcBorders>
            <w:shd w:val="clear" w:color="auto" w:fill="auto"/>
            <w:noWrap/>
            <w:hideMark/>
          </w:tcPr>
          <w:p w:rsidR="002048E4" w:rsidRPr="002048E4" w:rsidRDefault="002048E4" w:rsidP="002048E4">
            <w:pPr>
              <w:spacing w:after="0" w:line="240" w:lineRule="auto"/>
              <w:jc w:val="right"/>
              <w:rPr>
                <w:rFonts w:eastAsia="Times New Roman"/>
                <w:sz w:val="20"/>
                <w:szCs w:val="20"/>
              </w:rPr>
            </w:pPr>
            <w:r w:rsidRPr="002048E4">
              <w:rPr>
                <w:rFonts w:eastAsia="Times New Roman"/>
                <w:sz w:val="20"/>
                <w:szCs w:val="20"/>
              </w:rPr>
              <w:t>0.655</w:t>
            </w:r>
          </w:p>
        </w:tc>
        <w:tc>
          <w:tcPr>
            <w:tcW w:w="381" w:type="pct"/>
            <w:tcBorders>
              <w:top w:val="nil"/>
              <w:bottom w:val="nil"/>
            </w:tcBorders>
            <w:shd w:val="clear" w:color="auto" w:fill="auto"/>
            <w:noWrap/>
            <w:hideMark/>
          </w:tcPr>
          <w:p w:rsidR="002048E4" w:rsidRPr="002048E4" w:rsidRDefault="002048E4" w:rsidP="002048E4">
            <w:pPr>
              <w:spacing w:after="0" w:line="240" w:lineRule="auto"/>
              <w:jc w:val="right"/>
              <w:rPr>
                <w:rFonts w:eastAsia="Times New Roman"/>
                <w:sz w:val="20"/>
                <w:szCs w:val="20"/>
              </w:rPr>
            </w:pPr>
            <w:r w:rsidRPr="002048E4">
              <w:rPr>
                <w:rFonts w:eastAsia="Times New Roman"/>
                <w:sz w:val="20"/>
                <w:szCs w:val="20"/>
              </w:rPr>
              <w:t>0.389</w:t>
            </w:r>
          </w:p>
        </w:tc>
        <w:tc>
          <w:tcPr>
            <w:tcW w:w="381" w:type="pct"/>
            <w:tcBorders>
              <w:top w:val="nil"/>
              <w:bottom w:val="nil"/>
            </w:tcBorders>
            <w:shd w:val="clear" w:color="auto" w:fill="auto"/>
            <w:noWrap/>
            <w:hideMark/>
          </w:tcPr>
          <w:p w:rsidR="002048E4" w:rsidRPr="002048E4" w:rsidRDefault="002048E4" w:rsidP="002048E4">
            <w:pPr>
              <w:spacing w:after="0" w:line="240" w:lineRule="auto"/>
              <w:jc w:val="right"/>
              <w:rPr>
                <w:rFonts w:eastAsia="Times New Roman"/>
                <w:color w:val="000000"/>
                <w:sz w:val="20"/>
                <w:szCs w:val="20"/>
              </w:rPr>
            </w:pPr>
            <w:r w:rsidRPr="002048E4">
              <w:rPr>
                <w:rFonts w:eastAsia="Times New Roman"/>
                <w:color w:val="000000"/>
                <w:sz w:val="20"/>
                <w:szCs w:val="20"/>
              </w:rPr>
              <w:t>0.009</w:t>
            </w:r>
          </w:p>
        </w:tc>
        <w:tc>
          <w:tcPr>
            <w:tcW w:w="405" w:type="pct"/>
            <w:tcBorders>
              <w:top w:val="nil"/>
              <w:bottom w:val="nil"/>
            </w:tcBorders>
            <w:shd w:val="clear" w:color="auto" w:fill="auto"/>
            <w:noWrap/>
            <w:hideMark/>
          </w:tcPr>
          <w:p w:rsidR="002048E4" w:rsidRPr="002048E4" w:rsidRDefault="002048E4" w:rsidP="002048E4">
            <w:pPr>
              <w:spacing w:after="0" w:line="240" w:lineRule="auto"/>
              <w:jc w:val="right"/>
              <w:rPr>
                <w:rFonts w:eastAsia="Times New Roman"/>
                <w:color w:val="000000"/>
                <w:sz w:val="20"/>
                <w:szCs w:val="20"/>
              </w:rPr>
            </w:pPr>
            <w:r w:rsidRPr="002048E4">
              <w:rPr>
                <w:rFonts w:eastAsia="Times New Roman"/>
                <w:color w:val="000000"/>
                <w:sz w:val="20"/>
                <w:szCs w:val="20"/>
              </w:rPr>
              <w:t>-0.042</w:t>
            </w:r>
          </w:p>
        </w:tc>
        <w:tc>
          <w:tcPr>
            <w:tcW w:w="381" w:type="pct"/>
            <w:tcBorders>
              <w:top w:val="nil"/>
              <w:bottom w:val="nil"/>
            </w:tcBorders>
            <w:shd w:val="clear" w:color="auto" w:fill="auto"/>
            <w:noWrap/>
            <w:hideMark/>
          </w:tcPr>
          <w:p w:rsidR="002048E4" w:rsidRPr="002048E4" w:rsidRDefault="002048E4" w:rsidP="002048E4">
            <w:pPr>
              <w:spacing w:after="0" w:line="240" w:lineRule="auto"/>
              <w:jc w:val="right"/>
              <w:rPr>
                <w:rFonts w:eastAsia="Times New Roman"/>
                <w:color w:val="000000"/>
                <w:sz w:val="20"/>
                <w:szCs w:val="20"/>
              </w:rPr>
            </w:pPr>
            <w:r w:rsidRPr="002048E4">
              <w:rPr>
                <w:rFonts w:eastAsia="Times New Roman"/>
                <w:color w:val="000000"/>
                <w:sz w:val="20"/>
                <w:szCs w:val="20"/>
              </w:rPr>
              <w:t>0.123</w:t>
            </w:r>
          </w:p>
        </w:tc>
        <w:tc>
          <w:tcPr>
            <w:tcW w:w="405" w:type="pct"/>
            <w:tcBorders>
              <w:top w:val="nil"/>
              <w:bottom w:val="nil"/>
            </w:tcBorders>
            <w:shd w:val="clear" w:color="auto" w:fill="auto"/>
            <w:noWrap/>
            <w:hideMark/>
          </w:tcPr>
          <w:p w:rsidR="002048E4" w:rsidRPr="002048E4" w:rsidRDefault="002048E4" w:rsidP="002048E4">
            <w:pPr>
              <w:spacing w:after="0" w:line="240" w:lineRule="auto"/>
              <w:jc w:val="right"/>
              <w:rPr>
                <w:rFonts w:eastAsia="Times New Roman"/>
                <w:b/>
                <w:sz w:val="20"/>
                <w:szCs w:val="20"/>
              </w:rPr>
            </w:pPr>
            <w:r w:rsidRPr="002048E4">
              <w:rPr>
                <w:rFonts w:eastAsia="Times New Roman"/>
                <w:b/>
                <w:sz w:val="20"/>
                <w:szCs w:val="20"/>
              </w:rPr>
              <w:t>0.624</w:t>
            </w:r>
          </w:p>
        </w:tc>
        <w:tc>
          <w:tcPr>
            <w:tcW w:w="381" w:type="pct"/>
            <w:tcBorders>
              <w:top w:val="nil"/>
              <w:bottom w:val="nil"/>
            </w:tcBorders>
            <w:shd w:val="clear" w:color="auto" w:fill="auto"/>
            <w:noWrap/>
            <w:hideMark/>
          </w:tcPr>
          <w:p w:rsidR="002048E4" w:rsidRPr="002048E4" w:rsidRDefault="002048E4" w:rsidP="002048E4">
            <w:pPr>
              <w:spacing w:after="0" w:line="240" w:lineRule="auto"/>
              <w:rPr>
                <w:rFonts w:eastAsia="Times New Roman"/>
                <w:color w:val="000000"/>
                <w:sz w:val="20"/>
                <w:szCs w:val="20"/>
              </w:rPr>
            </w:pPr>
            <w:r w:rsidRPr="002048E4">
              <w:rPr>
                <w:rFonts w:eastAsia="Times New Roman"/>
                <w:color w:val="000000"/>
                <w:sz w:val="20"/>
                <w:szCs w:val="20"/>
              </w:rPr>
              <w:t> </w:t>
            </w:r>
          </w:p>
        </w:tc>
        <w:tc>
          <w:tcPr>
            <w:tcW w:w="381" w:type="pct"/>
            <w:tcBorders>
              <w:top w:val="nil"/>
              <w:bottom w:val="nil"/>
            </w:tcBorders>
            <w:shd w:val="clear" w:color="auto" w:fill="auto"/>
            <w:noWrap/>
            <w:hideMark/>
          </w:tcPr>
          <w:p w:rsidR="002048E4" w:rsidRPr="002048E4" w:rsidRDefault="002048E4" w:rsidP="002048E4">
            <w:pPr>
              <w:spacing w:after="0" w:line="240" w:lineRule="auto"/>
              <w:rPr>
                <w:rFonts w:eastAsia="Times New Roman"/>
                <w:color w:val="000000"/>
                <w:sz w:val="20"/>
                <w:szCs w:val="20"/>
              </w:rPr>
            </w:pPr>
            <w:r w:rsidRPr="002048E4">
              <w:rPr>
                <w:rFonts w:eastAsia="Times New Roman"/>
                <w:color w:val="000000"/>
                <w:sz w:val="20"/>
                <w:szCs w:val="20"/>
              </w:rPr>
              <w:t> </w:t>
            </w:r>
          </w:p>
        </w:tc>
        <w:tc>
          <w:tcPr>
            <w:tcW w:w="381" w:type="pct"/>
            <w:tcBorders>
              <w:top w:val="nil"/>
              <w:bottom w:val="nil"/>
            </w:tcBorders>
            <w:shd w:val="clear" w:color="auto" w:fill="auto"/>
            <w:noWrap/>
            <w:hideMark/>
          </w:tcPr>
          <w:p w:rsidR="002048E4" w:rsidRPr="002048E4" w:rsidRDefault="002048E4" w:rsidP="002048E4">
            <w:pPr>
              <w:spacing w:after="0" w:line="240" w:lineRule="auto"/>
              <w:rPr>
                <w:rFonts w:eastAsia="Times New Roman"/>
                <w:color w:val="000000"/>
                <w:sz w:val="20"/>
                <w:szCs w:val="20"/>
              </w:rPr>
            </w:pPr>
            <w:r w:rsidRPr="002048E4">
              <w:rPr>
                <w:rFonts w:eastAsia="Times New Roman"/>
                <w:color w:val="000000"/>
                <w:sz w:val="20"/>
                <w:szCs w:val="20"/>
              </w:rPr>
              <w:t> </w:t>
            </w:r>
          </w:p>
        </w:tc>
        <w:tc>
          <w:tcPr>
            <w:tcW w:w="381" w:type="pct"/>
            <w:tcBorders>
              <w:top w:val="nil"/>
              <w:bottom w:val="nil"/>
            </w:tcBorders>
            <w:shd w:val="clear" w:color="auto" w:fill="auto"/>
            <w:noWrap/>
            <w:hideMark/>
          </w:tcPr>
          <w:p w:rsidR="002048E4" w:rsidRPr="002048E4" w:rsidRDefault="002048E4" w:rsidP="002048E4">
            <w:pPr>
              <w:spacing w:after="0" w:line="240" w:lineRule="auto"/>
              <w:rPr>
                <w:rFonts w:eastAsia="Times New Roman"/>
                <w:color w:val="000000"/>
                <w:sz w:val="20"/>
                <w:szCs w:val="20"/>
              </w:rPr>
            </w:pPr>
            <w:r w:rsidRPr="002048E4">
              <w:rPr>
                <w:rFonts w:eastAsia="Times New Roman"/>
                <w:color w:val="000000"/>
                <w:sz w:val="20"/>
                <w:szCs w:val="20"/>
              </w:rPr>
              <w:t> </w:t>
            </w:r>
          </w:p>
        </w:tc>
        <w:tc>
          <w:tcPr>
            <w:tcW w:w="382" w:type="pct"/>
            <w:tcBorders>
              <w:top w:val="nil"/>
              <w:bottom w:val="nil"/>
            </w:tcBorders>
            <w:shd w:val="clear" w:color="auto" w:fill="auto"/>
            <w:noWrap/>
            <w:hideMark/>
          </w:tcPr>
          <w:p w:rsidR="002048E4" w:rsidRPr="002048E4" w:rsidRDefault="002048E4" w:rsidP="002048E4">
            <w:pPr>
              <w:spacing w:after="0" w:line="240" w:lineRule="auto"/>
              <w:rPr>
                <w:rFonts w:eastAsia="Times New Roman"/>
                <w:color w:val="000000"/>
                <w:sz w:val="20"/>
                <w:szCs w:val="20"/>
              </w:rPr>
            </w:pPr>
            <w:r w:rsidRPr="002048E4">
              <w:rPr>
                <w:rFonts w:eastAsia="Times New Roman"/>
                <w:color w:val="000000"/>
                <w:sz w:val="20"/>
                <w:szCs w:val="20"/>
              </w:rPr>
              <w:t> </w:t>
            </w:r>
          </w:p>
        </w:tc>
        <w:tc>
          <w:tcPr>
            <w:tcW w:w="376" w:type="pct"/>
            <w:tcBorders>
              <w:top w:val="nil"/>
              <w:bottom w:val="nil"/>
            </w:tcBorders>
            <w:shd w:val="clear" w:color="auto" w:fill="auto"/>
            <w:noWrap/>
            <w:hideMark/>
          </w:tcPr>
          <w:p w:rsidR="002048E4" w:rsidRPr="002048E4" w:rsidRDefault="002048E4" w:rsidP="002048E4">
            <w:pPr>
              <w:spacing w:after="0" w:line="240" w:lineRule="auto"/>
              <w:rPr>
                <w:rFonts w:eastAsia="Times New Roman"/>
                <w:color w:val="000000"/>
                <w:sz w:val="20"/>
                <w:szCs w:val="20"/>
              </w:rPr>
            </w:pPr>
            <w:r w:rsidRPr="002048E4">
              <w:rPr>
                <w:rFonts w:eastAsia="Times New Roman"/>
                <w:color w:val="000000"/>
                <w:sz w:val="20"/>
                <w:szCs w:val="20"/>
              </w:rPr>
              <w:t> </w:t>
            </w:r>
          </w:p>
        </w:tc>
      </w:tr>
      <w:tr w:rsidR="002048E4" w:rsidRPr="002048E4" w:rsidTr="00A7673B">
        <w:trPr>
          <w:trHeight w:val="290"/>
          <w:jc w:val="center"/>
        </w:trPr>
        <w:tc>
          <w:tcPr>
            <w:tcW w:w="381" w:type="pct"/>
            <w:tcBorders>
              <w:top w:val="nil"/>
              <w:bottom w:val="nil"/>
            </w:tcBorders>
            <w:shd w:val="clear" w:color="auto" w:fill="auto"/>
            <w:noWrap/>
            <w:hideMark/>
          </w:tcPr>
          <w:p w:rsidR="002048E4" w:rsidRPr="002048E4" w:rsidRDefault="002048E4" w:rsidP="002048E4">
            <w:pPr>
              <w:spacing w:after="0" w:line="240" w:lineRule="auto"/>
              <w:rPr>
                <w:rFonts w:eastAsia="Times New Roman"/>
                <w:b/>
                <w:bCs/>
                <w:color w:val="000000"/>
                <w:sz w:val="20"/>
                <w:szCs w:val="20"/>
              </w:rPr>
            </w:pPr>
            <w:r w:rsidRPr="002048E4">
              <w:rPr>
                <w:rFonts w:eastAsia="Times New Roman"/>
                <w:b/>
                <w:bCs/>
                <w:color w:val="000000"/>
                <w:sz w:val="20"/>
                <w:szCs w:val="20"/>
              </w:rPr>
              <w:t>INS</w:t>
            </w:r>
          </w:p>
        </w:tc>
        <w:tc>
          <w:tcPr>
            <w:tcW w:w="381" w:type="pct"/>
            <w:tcBorders>
              <w:top w:val="nil"/>
              <w:bottom w:val="nil"/>
            </w:tcBorders>
            <w:shd w:val="clear" w:color="auto" w:fill="auto"/>
            <w:noWrap/>
            <w:hideMark/>
          </w:tcPr>
          <w:p w:rsidR="002048E4" w:rsidRPr="002048E4" w:rsidRDefault="002048E4" w:rsidP="002048E4">
            <w:pPr>
              <w:spacing w:after="0" w:line="240" w:lineRule="auto"/>
              <w:jc w:val="right"/>
              <w:rPr>
                <w:rFonts w:eastAsia="Times New Roman"/>
                <w:sz w:val="20"/>
                <w:szCs w:val="20"/>
              </w:rPr>
            </w:pPr>
            <w:r w:rsidRPr="002048E4">
              <w:rPr>
                <w:rFonts w:eastAsia="Times New Roman"/>
                <w:sz w:val="20"/>
                <w:szCs w:val="20"/>
              </w:rPr>
              <w:t>0.779</w:t>
            </w:r>
          </w:p>
        </w:tc>
        <w:tc>
          <w:tcPr>
            <w:tcW w:w="381" w:type="pct"/>
            <w:tcBorders>
              <w:top w:val="nil"/>
              <w:bottom w:val="nil"/>
            </w:tcBorders>
            <w:shd w:val="clear" w:color="auto" w:fill="auto"/>
            <w:noWrap/>
            <w:hideMark/>
          </w:tcPr>
          <w:p w:rsidR="002048E4" w:rsidRPr="002048E4" w:rsidRDefault="002048E4" w:rsidP="002048E4">
            <w:pPr>
              <w:spacing w:after="0" w:line="240" w:lineRule="auto"/>
              <w:jc w:val="right"/>
              <w:rPr>
                <w:rFonts w:eastAsia="Times New Roman"/>
                <w:sz w:val="20"/>
                <w:szCs w:val="20"/>
              </w:rPr>
            </w:pPr>
            <w:r w:rsidRPr="002048E4">
              <w:rPr>
                <w:rFonts w:eastAsia="Times New Roman"/>
                <w:sz w:val="20"/>
                <w:szCs w:val="20"/>
              </w:rPr>
              <w:t>0.475</w:t>
            </w:r>
          </w:p>
        </w:tc>
        <w:tc>
          <w:tcPr>
            <w:tcW w:w="381" w:type="pct"/>
            <w:tcBorders>
              <w:top w:val="nil"/>
              <w:bottom w:val="nil"/>
            </w:tcBorders>
            <w:shd w:val="clear" w:color="auto" w:fill="auto"/>
            <w:noWrap/>
            <w:hideMark/>
          </w:tcPr>
          <w:p w:rsidR="002048E4" w:rsidRPr="002048E4" w:rsidRDefault="002048E4" w:rsidP="002048E4">
            <w:pPr>
              <w:spacing w:after="0" w:line="240" w:lineRule="auto"/>
              <w:jc w:val="right"/>
              <w:rPr>
                <w:rFonts w:eastAsia="Times New Roman"/>
                <w:color w:val="000000"/>
                <w:sz w:val="20"/>
                <w:szCs w:val="20"/>
              </w:rPr>
            </w:pPr>
            <w:r w:rsidRPr="002048E4">
              <w:rPr>
                <w:rFonts w:eastAsia="Times New Roman"/>
                <w:color w:val="000000"/>
                <w:sz w:val="20"/>
                <w:szCs w:val="20"/>
              </w:rPr>
              <w:t>0.178</w:t>
            </w:r>
          </w:p>
        </w:tc>
        <w:tc>
          <w:tcPr>
            <w:tcW w:w="405" w:type="pct"/>
            <w:tcBorders>
              <w:top w:val="nil"/>
              <w:bottom w:val="nil"/>
            </w:tcBorders>
            <w:shd w:val="clear" w:color="auto" w:fill="auto"/>
            <w:noWrap/>
            <w:hideMark/>
          </w:tcPr>
          <w:p w:rsidR="002048E4" w:rsidRPr="002048E4" w:rsidRDefault="002048E4" w:rsidP="002048E4">
            <w:pPr>
              <w:spacing w:after="0" w:line="240" w:lineRule="auto"/>
              <w:jc w:val="right"/>
              <w:rPr>
                <w:rFonts w:eastAsia="Times New Roman"/>
                <w:color w:val="000000"/>
                <w:sz w:val="20"/>
                <w:szCs w:val="20"/>
              </w:rPr>
            </w:pPr>
            <w:r w:rsidRPr="002048E4">
              <w:rPr>
                <w:rFonts w:eastAsia="Times New Roman"/>
                <w:color w:val="000000"/>
                <w:sz w:val="20"/>
                <w:szCs w:val="20"/>
              </w:rPr>
              <w:t>0.575</w:t>
            </w:r>
          </w:p>
        </w:tc>
        <w:tc>
          <w:tcPr>
            <w:tcW w:w="381" w:type="pct"/>
            <w:tcBorders>
              <w:top w:val="nil"/>
              <w:bottom w:val="nil"/>
            </w:tcBorders>
            <w:shd w:val="clear" w:color="auto" w:fill="auto"/>
            <w:noWrap/>
            <w:hideMark/>
          </w:tcPr>
          <w:p w:rsidR="002048E4" w:rsidRPr="002048E4" w:rsidRDefault="002048E4" w:rsidP="002048E4">
            <w:pPr>
              <w:spacing w:after="0" w:line="240" w:lineRule="auto"/>
              <w:jc w:val="right"/>
              <w:rPr>
                <w:rFonts w:eastAsia="Times New Roman"/>
                <w:color w:val="000000"/>
                <w:sz w:val="20"/>
                <w:szCs w:val="20"/>
              </w:rPr>
            </w:pPr>
            <w:r w:rsidRPr="002048E4">
              <w:rPr>
                <w:rFonts w:eastAsia="Times New Roman"/>
                <w:color w:val="000000"/>
                <w:sz w:val="20"/>
                <w:szCs w:val="20"/>
              </w:rPr>
              <w:t>0.269</w:t>
            </w:r>
          </w:p>
        </w:tc>
        <w:tc>
          <w:tcPr>
            <w:tcW w:w="405" w:type="pct"/>
            <w:tcBorders>
              <w:top w:val="nil"/>
              <w:bottom w:val="nil"/>
            </w:tcBorders>
            <w:shd w:val="clear" w:color="auto" w:fill="auto"/>
            <w:noWrap/>
            <w:hideMark/>
          </w:tcPr>
          <w:p w:rsidR="002048E4" w:rsidRPr="002048E4" w:rsidRDefault="002048E4" w:rsidP="002048E4">
            <w:pPr>
              <w:spacing w:after="0" w:line="240" w:lineRule="auto"/>
              <w:jc w:val="right"/>
              <w:rPr>
                <w:rFonts w:eastAsia="Times New Roman"/>
                <w:color w:val="000000"/>
                <w:sz w:val="20"/>
                <w:szCs w:val="20"/>
              </w:rPr>
            </w:pPr>
            <w:r w:rsidRPr="002048E4">
              <w:rPr>
                <w:rFonts w:eastAsia="Times New Roman"/>
                <w:color w:val="000000"/>
                <w:sz w:val="20"/>
                <w:szCs w:val="20"/>
              </w:rPr>
              <w:t>0.108</w:t>
            </w:r>
          </w:p>
        </w:tc>
        <w:tc>
          <w:tcPr>
            <w:tcW w:w="381" w:type="pct"/>
            <w:tcBorders>
              <w:top w:val="nil"/>
              <w:bottom w:val="nil"/>
            </w:tcBorders>
            <w:shd w:val="clear" w:color="auto" w:fill="auto"/>
            <w:noWrap/>
            <w:hideMark/>
          </w:tcPr>
          <w:p w:rsidR="002048E4" w:rsidRPr="002048E4" w:rsidRDefault="002048E4" w:rsidP="002048E4">
            <w:pPr>
              <w:spacing w:after="0" w:line="240" w:lineRule="auto"/>
              <w:jc w:val="right"/>
              <w:rPr>
                <w:rFonts w:eastAsia="Times New Roman"/>
                <w:b/>
                <w:color w:val="000000"/>
                <w:sz w:val="20"/>
                <w:szCs w:val="20"/>
              </w:rPr>
            </w:pPr>
            <w:r w:rsidRPr="002048E4">
              <w:rPr>
                <w:rFonts w:eastAsia="Times New Roman"/>
                <w:b/>
                <w:sz w:val="20"/>
                <w:szCs w:val="20"/>
              </w:rPr>
              <w:t>0.689</w:t>
            </w:r>
          </w:p>
        </w:tc>
        <w:tc>
          <w:tcPr>
            <w:tcW w:w="381" w:type="pct"/>
            <w:tcBorders>
              <w:top w:val="nil"/>
              <w:bottom w:val="nil"/>
            </w:tcBorders>
            <w:shd w:val="clear" w:color="auto" w:fill="auto"/>
            <w:noWrap/>
            <w:hideMark/>
          </w:tcPr>
          <w:p w:rsidR="002048E4" w:rsidRPr="002048E4" w:rsidRDefault="002048E4" w:rsidP="002048E4">
            <w:pPr>
              <w:spacing w:after="0" w:line="240" w:lineRule="auto"/>
              <w:rPr>
                <w:rFonts w:eastAsia="Times New Roman"/>
                <w:color w:val="000000"/>
                <w:sz w:val="20"/>
                <w:szCs w:val="20"/>
              </w:rPr>
            </w:pPr>
            <w:r w:rsidRPr="002048E4">
              <w:rPr>
                <w:rFonts w:eastAsia="Times New Roman"/>
                <w:color w:val="000000"/>
                <w:sz w:val="20"/>
                <w:szCs w:val="20"/>
              </w:rPr>
              <w:t> </w:t>
            </w:r>
          </w:p>
        </w:tc>
        <w:tc>
          <w:tcPr>
            <w:tcW w:w="381" w:type="pct"/>
            <w:tcBorders>
              <w:top w:val="nil"/>
              <w:bottom w:val="nil"/>
            </w:tcBorders>
            <w:shd w:val="clear" w:color="auto" w:fill="auto"/>
            <w:noWrap/>
            <w:hideMark/>
          </w:tcPr>
          <w:p w:rsidR="002048E4" w:rsidRPr="002048E4" w:rsidRDefault="002048E4" w:rsidP="002048E4">
            <w:pPr>
              <w:spacing w:after="0" w:line="240" w:lineRule="auto"/>
              <w:rPr>
                <w:rFonts w:eastAsia="Times New Roman"/>
                <w:color w:val="000000"/>
                <w:sz w:val="20"/>
                <w:szCs w:val="20"/>
              </w:rPr>
            </w:pPr>
            <w:r w:rsidRPr="002048E4">
              <w:rPr>
                <w:rFonts w:eastAsia="Times New Roman"/>
                <w:color w:val="000000"/>
                <w:sz w:val="20"/>
                <w:szCs w:val="20"/>
              </w:rPr>
              <w:t> </w:t>
            </w:r>
          </w:p>
        </w:tc>
        <w:tc>
          <w:tcPr>
            <w:tcW w:w="381" w:type="pct"/>
            <w:tcBorders>
              <w:top w:val="nil"/>
              <w:bottom w:val="nil"/>
            </w:tcBorders>
            <w:shd w:val="clear" w:color="auto" w:fill="auto"/>
            <w:noWrap/>
            <w:hideMark/>
          </w:tcPr>
          <w:p w:rsidR="002048E4" w:rsidRPr="002048E4" w:rsidRDefault="002048E4" w:rsidP="002048E4">
            <w:pPr>
              <w:spacing w:after="0" w:line="240" w:lineRule="auto"/>
              <w:rPr>
                <w:rFonts w:eastAsia="Times New Roman"/>
                <w:color w:val="000000"/>
                <w:sz w:val="20"/>
                <w:szCs w:val="20"/>
              </w:rPr>
            </w:pPr>
            <w:r w:rsidRPr="002048E4">
              <w:rPr>
                <w:rFonts w:eastAsia="Times New Roman"/>
                <w:color w:val="000000"/>
                <w:sz w:val="20"/>
                <w:szCs w:val="20"/>
              </w:rPr>
              <w:t> </w:t>
            </w:r>
          </w:p>
        </w:tc>
        <w:tc>
          <w:tcPr>
            <w:tcW w:w="382" w:type="pct"/>
            <w:tcBorders>
              <w:top w:val="nil"/>
              <w:bottom w:val="nil"/>
            </w:tcBorders>
            <w:shd w:val="clear" w:color="auto" w:fill="auto"/>
            <w:noWrap/>
            <w:hideMark/>
          </w:tcPr>
          <w:p w:rsidR="002048E4" w:rsidRPr="002048E4" w:rsidRDefault="002048E4" w:rsidP="002048E4">
            <w:pPr>
              <w:spacing w:after="0" w:line="240" w:lineRule="auto"/>
              <w:rPr>
                <w:rFonts w:eastAsia="Times New Roman"/>
                <w:color w:val="000000"/>
                <w:sz w:val="20"/>
                <w:szCs w:val="20"/>
              </w:rPr>
            </w:pPr>
            <w:r w:rsidRPr="002048E4">
              <w:rPr>
                <w:rFonts w:eastAsia="Times New Roman"/>
                <w:color w:val="000000"/>
                <w:sz w:val="20"/>
                <w:szCs w:val="20"/>
              </w:rPr>
              <w:t> </w:t>
            </w:r>
          </w:p>
        </w:tc>
        <w:tc>
          <w:tcPr>
            <w:tcW w:w="376" w:type="pct"/>
            <w:tcBorders>
              <w:top w:val="nil"/>
              <w:bottom w:val="nil"/>
            </w:tcBorders>
            <w:shd w:val="clear" w:color="auto" w:fill="auto"/>
            <w:noWrap/>
            <w:hideMark/>
          </w:tcPr>
          <w:p w:rsidR="002048E4" w:rsidRPr="002048E4" w:rsidRDefault="002048E4" w:rsidP="002048E4">
            <w:pPr>
              <w:spacing w:after="0" w:line="240" w:lineRule="auto"/>
              <w:rPr>
                <w:rFonts w:eastAsia="Times New Roman"/>
                <w:color w:val="000000"/>
                <w:sz w:val="20"/>
                <w:szCs w:val="20"/>
              </w:rPr>
            </w:pPr>
            <w:r w:rsidRPr="002048E4">
              <w:rPr>
                <w:rFonts w:eastAsia="Times New Roman"/>
                <w:color w:val="000000"/>
                <w:sz w:val="20"/>
                <w:szCs w:val="20"/>
              </w:rPr>
              <w:t> </w:t>
            </w:r>
          </w:p>
        </w:tc>
      </w:tr>
      <w:tr w:rsidR="002048E4" w:rsidRPr="002048E4" w:rsidTr="00A7673B">
        <w:trPr>
          <w:trHeight w:val="290"/>
          <w:jc w:val="center"/>
        </w:trPr>
        <w:tc>
          <w:tcPr>
            <w:tcW w:w="381" w:type="pct"/>
            <w:tcBorders>
              <w:top w:val="nil"/>
              <w:bottom w:val="nil"/>
            </w:tcBorders>
            <w:shd w:val="clear" w:color="auto" w:fill="auto"/>
            <w:noWrap/>
            <w:hideMark/>
          </w:tcPr>
          <w:p w:rsidR="002048E4" w:rsidRPr="002048E4" w:rsidRDefault="002048E4" w:rsidP="002048E4">
            <w:pPr>
              <w:spacing w:after="0" w:line="240" w:lineRule="auto"/>
              <w:rPr>
                <w:rFonts w:eastAsia="Times New Roman"/>
                <w:b/>
                <w:bCs/>
                <w:color w:val="000000"/>
                <w:sz w:val="20"/>
                <w:szCs w:val="20"/>
              </w:rPr>
            </w:pPr>
            <w:r w:rsidRPr="002048E4">
              <w:rPr>
                <w:rFonts w:eastAsia="Times New Roman"/>
                <w:b/>
                <w:bCs/>
                <w:color w:val="000000"/>
                <w:sz w:val="20"/>
                <w:szCs w:val="20"/>
              </w:rPr>
              <w:t>PU</w:t>
            </w:r>
          </w:p>
        </w:tc>
        <w:tc>
          <w:tcPr>
            <w:tcW w:w="381" w:type="pct"/>
            <w:tcBorders>
              <w:top w:val="nil"/>
              <w:bottom w:val="nil"/>
            </w:tcBorders>
            <w:shd w:val="clear" w:color="auto" w:fill="auto"/>
            <w:noWrap/>
            <w:hideMark/>
          </w:tcPr>
          <w:p w:rsidR="002048E4" w:rsidRPr="002048E4" w:rsidRDefault="002048E4" w:rsidP="002048E4">
            <w:pPr>
              <w:spacing w:after="0" w:line="240" w:lineRule="auto"/>
              <w:jc w:val="right"/>
              <w:rPr>
                <w:rFonts w:eastAsia="Times New Roman"/>
                <w:sz w:val="20"/>
                <w:szCs w:val="20"/>
              </w:rPr>
            </w:pPr>
            <w:r w:rsidRPr="002048E4">
              <w:rPr>
                <w:rFonts w:eastAsia="Times New Roman"/>
                <w:sz w:val="20"/>
                <w:szCs w:val="20"/>
              </w:rPr>
              <w:t>0.942</w:t>
            </w:r>
          </w:p>
        </w:tc>
        <w:tc>
          <w:tcPr>
            <w:tcW w:w="381" w:type="pct"/>
            <w:tcBorders>
              <w:top w:val="nil"/>
              <w:bottom w:val="nil"/>
            </w:tcBorders>
            <w:shd w:val="clear" w:color="auto" w:fill="auto"/>
            <w:noWrap/>
            <w:hideMark/>
          </w:tcPr>
          <w:p w:rsidR="002048E4" w:rsidRPr="002048E4" w:rsidRDefault="002048E4" w:rsidP="002048E4">
            <w:pPr>
              <w:spacing w:after="0" w:line="240" w:lineRule="auto"/>
              <w:jc w:val="right"/>
              <w:rPr>
                <w:rFonts w:eastAsia="Times New Roman"/>
                <w:sz w:val="20"/>
                <w:szCs w:val="20"/>
              </w:rPr>
            </w:pPr>
            <w:r w:rsidRPr="002048E4">
              <w:rPr>
                <w:rFonts w:eastAsia="Times New Roman"/>
                <w:sz w:val="20"/>
                <w:szCs w:val="20"/>
              </w:rPr>
              <w:t>0.763</w:t>
            </w:r>
          </w:p>
        </w:tc>
        <w:tc>
          <w:tcPr>
            <w:tcW w:w="381" w:type="pct"/>
            <w:tcBorders>
              <w:top w:val="nil"/>
              <w:bottom w:val="nil"/>
            </w:tcBorders>
            <w:shd w:val="clear" w:color="auto" w:fill="auto"/>
            <w:noWrap/>
            <w:hideMark/>
          </w:tcPr>
          <w:p w:rsidR="002048E4" w:rsidRPr="002048E4" w:rsidRDefault="002048E4" w:rsidP="002048E4">
            <w:pPr>
              <w:spacing w:after="0" w:line="240" w:lineRule="auto"/>
              <w:jc w:val="right"/>
              <w:rPr>
                <w:rFonts w:eastAsia="Times New Roman"/>
                <w:color w:val="000000"/>
                <w:sz w:val="20"/>
                <w:szCs w:val="20"/>
              </w:rPr>
            </w:pPr>
            <w:r w:rsidRPr="002048E4">
              <w:rPr>
                <w:rFonts w:eastAsia="Times New Roman"/>
                <w:color w:val="000000"/>
                <w:sz w:val="20"/>
                <w:szCs w:val="20"/>
              </w:rPr>
              <w:t>0.382</w:t>
            </w:r>
          </w:p>
        </w:tc>
        <w:tc>
          <w:tcPr>
            <w:tcW w:w="405" w:type="pct"/>
            <w:tcBorders>
              <w:top w:val="nil"/>
              <w:bottom w:val="nil"/>
            </w:tcBorders>
            <w:shd w:val="clear" w:color="auto" w:fill="auto"/>
            <w:noWrap/>
            <w:hideMark/>
          </w:tcPr>
          <w:p w:rsidR="002048E4" w:rsidRPr="002048E4" w:rsidRDefault="002048E4" w:rsidP="002048E4">
            <w:pPr>
              <w:spacing w:after="0" w:line="240" w:lineRule="auto"/>
              <w:jc w:val="right"/>
              <w:rPr>
                <w:rFonts w:eastAsia="Times New Roman"/>
                <w:color w:val="000000"/>
                <w:sz w:val="20"/>
                <w:szCs w:val="20"/>
              </w:rPr>
            </w:pPr>
            <w:r w:rsidRPr="002048E4">
              <w:rPr>
                <w:rFonts w:eastAsia="Times New Roman"/>
                <w:color w:val="000000"/>
                <w:sz w:val="20"/>
                <w:szCs w:val="20"/>
              </w:rPr>
              <w:t>0.728</w:t>
            </w:r>
          </w:p>
        </w:tc>
        <w:tc>
          <w:tcPr>
            <w:tcW w:w="381" w:type="pct"/>
            <w:tcBorders>
              <w:top w:val="nil"/>
              <w:bottom w:val="nil"/>
            </w:tcBorders>
            <w:shd w:val="clear" w:color="auto" w:fill="auto"/>
            <w:noWrap/>
            <w:hideMark/>
          </w:tcPr>
          <w:p w:rsidR="002048E4" w:rsidRPr="002048E4" w:rsidRDefault="002048E4" w:rsidP="002048E4">
            <w:pPr>
              <w:spacing w:after="0" w:line="240" w:lineRule="auto"/>
              <w:jc w:val="right"/>
              <w:rPr>
                <w:rFonts w:eastAsia="Times New Roman"/>
                <w:color w:val="000000"/>
                <w:sz w:val="20"/>
                <w:szCs w:val="20"/>
              </w:rPr>
            </w:pPr>
            <w:r w:rsidRPr="002048E4">
              <w:rPr>
                <w:rFonts w:eastAsia="Times New Roman"/>
                <w:color w:val="000000"/>
                <w:sz w:val="20"/>
                <w:szCs w:val="20"/>
              </w:rPr>
              <w:t>0.460</w:t>
            </w:r>
          </w:p>
        </w:tc>
        <w:tc>
          <w:tcPr>
            <w:tcW w:w="405" w:type="pct"/>
            <w:tcBorders>
              <w:top w:val="nil"/>
              <w:bottom w:val="nil"/>
            </w:tcBorders>
            <w:shd w:val="clear" w:color="auto" w:fill="auto"/>
            <w:noWrap/>
            <w:hideMark/>
          </w:tcPr>
          <w:p w:rsidR="002048E4" w:rsidRPr="002048E4" w:rsidRDefault="002048E4" w:rsidP="002048E4">
            <w:pPr>
              <w:spacing w:after="0" w:line="240" w:lineRule="auto"/>
              <w:jc w:val="right"/>
              <w:rPr>
                <w:rFonts w:eastAsia="Times New Roman"/>
                <w:color w:val="000000"/>
                <w:sz w:val="20"/>
                <w:szCs w:val="20"/>
              </w:rPr>
            </w:pPr>
            <w:r w:rsidRPr="002048E4">
              <w:rPr>
                <w:rFonts w:eastAsia="Times New Roman"/>
                <w:color w:val="000000"/>
                <w:sz w:val="20"/>
                <w:szCs w:val="20"/>
              </w:rPr>
              <w:t>-0.018</w:t>
            </w:r>
          </w:p>
        </w:tc>
        <w:tc>
          <w:tcPr>
            <w:tcW w:w="381" w:type="pct"/>
            <w:tcBorders>
              <w:top w:val="nil"/>
              <w:bottom w:val="nil"/>
            </w:tcBorders>
            <w:shd w:val="clear" w:color="auto" w:fill="auto"/>
            <w:noWrap/>
            <w:hideMark/>
          </w:tcPr>
          <w:p w:rsidR="002048E4" w:rsidRPr="002048E4" w:rsidRDefault="002048E4" w:rsidP="002048E4">
            <w:pPr>
              <w:spacing w:after="0" w:line="240" w:lineRule="auto"/>
              <w:jc w:val="right"/>
              <w:rPr>
                <w:rFonts w:eastAsia="Times New Roman"/>
                <w:color w:val="000000"/>
                <w:sz w:val="20"/>
                <w:szCs w:val="20"/>
              </w:rPr>
            </w:pPr>
            <w:r w:rsidRPr="002048E4">
              <w:rPr>
                <w:rFonts w:eastAsia="Times New Roman"/>
                <w:color w:val="000000"/>
                <w:sz w:val="20"/>
                <w:szCs w:val="20"/>
              </w:rPr>
              <w:t>0.602</w:t>
            </w:r>
          </w:p>
        </w:tc>
        <w:tc>
          <w:tcPr>
            <w:tcW w:w="381" w:type="pct"/>
            <w:tcBorders>
              <w:top w:val="nil"/>
              <w:bottom w:val="nil"/>
            </w:tcBorders>
            <w:shd w:val="clear" w:color="auto" w:fill="auto"/>
            <w:noWrap/>
            <w:hideMark/>
          </w:tcPr>
          <w:p w:rsidR="002048E4" w:rsidRPr="002048E4" w:rsidRDefault="002048E4" w:rsidP="002048E4">
            <w:pPr>
              <w:spacing w:after="0" w:line="240" w:lineRule="auto"/>
              <w:jc w:val="right"/>
              <w:rPr>
                <w:rFonts w:eastAsia="Times New Roman"/>
                <w:b/>
                <w:color w:val="000000"/>
                <w:sz w:val="20"/>
                <w:szCs w:val="20"/>
              </w:rPr>
            </w:pPr>
            <w:r w:rsidRPr="002048E4">
              <w:rPr>
                <w:rFonts w:eastAsia="Times New Roman"/>
                <w:b/>
                <w:sz w:val="20"/>
                <w:szCs w:val="20"/>
              </w:rPr>
              <w:t>0.873</w:t>
            </w:r>
          </w:p>
        </w:tc>
        <w:tc>
          <w:tcPr>
            <w:tcW w:w="381" w:type="pct"/>
            <w:tcBorders>
              <w:top w:val="nil"/>
              <w:bottom w:val="nil"/>
            </w:tcBorders>
            <w:shd w:val="clear" w:color="auto" w:fill="auto"/>
            <w:noWrap/>
            <w:hideMark/>
          </w:tcPr>
          <w:p w:rsidR="002048E4" w:rsidRPr="002048E4" w:rsidRDefault="002048E4" w:rsidP="002048E4">
            <w:pPr>
              <w:spacing w:after="0" w:line="240" w:lineRule="auto"/>
              <w:rPr>
                <w:rFonts w:eastAsia="Times New Roman"/>
                <w:color w:val="000000"/>
                <w:sz w:val="20"/>
                <w:szCs w:val="20"/>
              </w:rPr>
            </w:pPr>
            <w:r w:rsidRPr="002048E4">
              <w:rPr>
                <w:rFonts w:eastAsia="Times New Roman"/>
                <w:color w:val="000000"/>
                <w:sz w:val="20"/>
                <w:szCs w:val="20"/>
              </w:rPr>
              <w:t> </w:t>
            </w:r>
          </w:p>
        </w:tc>
        <w:tc>
          <w:tcPr>
            <w:tcW w:w="381" w:type="pct"/>
            <w:tcBorders>
              <w:top w:val="nil"/>
              <w:bottom w:val="nil"/>
            </w:tcBorders>
            <w:shd w:val="clear" w:color="auto" w:fill="auto"/>
            <w:noWrap/>
            <w:hideMark/>
          </w:tcPr>
          <w:p w:rsidR="002048E4" w:rsidRPr="002048E4" w:rsidRDefault="002048E4" w:rsidP="002048E4">
            <w:pPr>
              <w:spacing w:after="0" w:line="240" w:lineRule="auto"/>
              <w:rPr>
                <w:rFonts w:eastAsia="Times New Roman"/>
                <w:color w:val="000000"/>
                <w:sz w:val="20"/>
                <w:szCs w:val="20"/>
              </w:rPr>
            </w:pPr>
            <w:r w:rsidRPr="002048E4">
              <w:rPr>
                <w:rFonts w:eastAsia="Times New Roman"/>
                <w:color w:val="000000"/>
                <w:sz w:val="20"/>
                <w:szCs w:val="20"/>
              </w:rPr>
              <w:t> </w:t>
            </w:r>
          </w:p>
        </w:tc>
        <w:tc>
          <w:tcPr>
            <w:tcW w:w="382" w:type="pct"/>
            <w:tcBorders>
              <w:top w:val="nil"/>
              <w:bottom w:val="nil"/>
            </w:tcBorders>
            <w:shd w:val="clear" w:color="auto" w:fill="auto"/>
            <w:noWrap/>
            <w:hideMark/>
          </w:tcPr>
          <w:p w:rsidR="002048E4" w:rsidRPr="002048E4" w:rsidRDefault="002048E4" w:rsidP="002048E4">
            <w:pPr>
              <w:spacing w:after="0" w:line="240" w:lineRule="auto"/>
              <w:rPr>
                <w:rFonts w:eastAsia="Times New Roman"/>
                <w:color w:val="000000"/>
                <w:sz w:val="20"/>
                <w:szCs w:val="20"/>
              </w:rPr>
            </w:pPr>
            <w:r w:rsidRPr="002048E4">
              <w:rPr>
                <w:rFonts w:eastAsia="Times New Roman"/>
                <w:color w:val="000000"/>
                <w:sz w:val="20"/>
                <w:szCs w:val="20"/>
              </w:rPr>
              <w:t> </w:t>
            </w:r>
          </w:p>
        </w:tc>
        <w:tc>
          <w:tcPr>
            <w:tcW w:w="376" w:type="pct"/>
            <w:tcBorders>
              <w:top w:val="nil"/>
              <w:bottom w:val="nil"/>
            </w:tcBorders>
            <w:shd w:val="clear" w:color="auto" w:fill="auto"/>
            <w:noWrap/>
            <w:hideMark/>
          </w:tcPr>
          <w:p w:rsidR="002048E4" w:rsidRPr="002048E4" w:rsidRDefault="002048E4" w:rsidP="002048E4">
            <w:pPr>
              <w:spacing w:after="0" w:line="240" w:lineRule="auto"/>
              <w:rPr>
                <w:rFonts w:eastAsia="Times New Roman"/>
                <w:color w:val="000000"/>
                <w:sz w:val="20"/>
                <w:szCs w:val="20"/>
              </w:rPr>
            </w:pPr>
            <w:r w:rsidRPr="002048E4">
              <w:rPr>
                <w:rFonts w:eastAsia="Times New Roman"/>
                <w:color w:val="000000"/>
                <w:sz w:val="20"/>
                <w:szCs w:val="20"/>
              </w:rPr>
              <w:t> </w:t>
            </w:r>
          </w:p>
        </w:tc>
      </w:tr>
      <w:tr w:rsidR="002048E4" w:rsidRPr="002048E4" w:rsidTr="00A7673B">
        <w:trPr>
          <w:trHeight w:val="290"/>
          <w:jc w:val="center"/>
        </w:trPr>
        <w:tc>
          <w:tcPr>
            <w:tcW w:w="381" w:type="pct"/>
            <w:tcBorders>
              <w:top w:val="nil"/>
              <w:bottom w:val="nil"/>
            </w:tcBorders>
            <w:shd w:val="clear" w:color="auto" w:fill="auto"/>
            <w:noWrap/>
            <w:hideMark/>
          </w:tcPr>
          <w:p w:rsidR="002048E4" w:rsidRPr="002048E4" w:rsidRDefault="002048E4" w:rsidP="002048E4">
            <w:pPr>
              <w:spacing w:after="0" w:line="240" w:lineRule="auto"/>
              <w:rPr>
                <w:rFonts w:eastAsia="Times New Roman"/>
                <w:b/>
                <w:bCs/>
                <w:color w:val="000000"/>
                <w:sz w:val="20"/>
                <w:szCs w:val="20"/>
              </w:rPr>
            </w:pPr>
            <w:r w:rsidRPr="002048E4">
              <w:rPr>
                <w:rFonts w:eastAsia="Times New Roman"/>
                <w:b/>
                <w:bCs/>
                <w:color w:val="000000"/>
                <w:sz w:val="20"/>
                <w:szCs w:val="20"/>
              </w:rPr>
              <w:t>PEOU</w:t>
            </w:r>
          </w:p>
        </w:tc>
        <w:tc>
          <w:tcPr>
            <w:tcW w:w="381" w:type="pct"/>
            <w:tcBorders>
              <w:top w:val="nil"/>
              <w:bottom w:val="nil"/>
            </w:tcBorders>
            <w:shd w:val="clear" w:color="auto" w:fill="auto"/>
            <w:noWrap/>
            <w:hideMark/>
          </w:tcPr>
          <w:p w:rsidR="002048E4" w:rsidRPr="002048E4" w:rsidRDefault="002048E4" w:rsidP="002048E4">
            <w:pPr>
              <w:spacing w:after="0" w:line="240" w:lineRule="auto"/>
              <w:jc w:val="right"/>
              <w:rPr>
                <w:rFonts w:eastAsia="Times New Roman"/>
                <w:sz w:val="20"/>
                <w:szCs w:val="20"/>
              </w:rPr>
            </w:pPr>
            <w:r w:rsidRPr="002048E4">
              <w:rPr>
                <w:rFonts w:eastAsia="Times New Roman"/>
                <w:sz w:val="20"/>
                <w:szCs w:val="20"/>
              </w:rPr>
              <w:t>0.880</w:t>
            </w:r>
          </w:p>
        </w:tc>
        <w:tc>
          <w:tcPr>
            <w:tcW w:w="381" w:type="pct"/>
            <w:tcBorders>
              <w:top w:val="nil"/>
              <w:bottom w:val="nil"/>
            </w:tcBorders>
            <w:shd w:val="clear" w:color="auto" w:fill="auto"/>
            <w:noWrap/>
            <w:hideMark/>
          </w:tcPr>
          <w:p w:rsidR="002048E4" w:rsidRPr="002048E4" w:rsidRDefault="002048E4" w:rsidP="002048E4">
            <w:pPr>
              <w:spacing w:after="0" w:line="240" w:lineRule="auto"/>
              <w:jc w:val="right"/>
              <w:rPr>
                <w:rFonts w:eastAsia="Times New Roman"/>
                <w:sz w:val="20"/>
                <w:szCs w:val="20"/>
              </w:rPr>
            </w:pPr>
            <w:r w:rsidRPr="002048E4">
              <w:rPr>
                <w:rFonts w:eastAsia="Times New Roman"/>
                <w:sz w:val="20"/>
                <w:szCs w:val="20"/>
              </w:rPr>
              <w:t>0.647</w:t>
            </w:r>
          </w:p>
        </w:tc>
        <w:tc>
          <w:tcPr>
            <w:tcW w:w="381" w:type="pct"/>
            <w:tcBorders>
              <w:top w:val="nil"/>
              <w:bottom w:val="nil"/>
            </w:tcBorders>
            <w:shd w:val="clear" w:color="auto" w:fill="auto"/>
            <w:noWrap/>
            <w:hideMark/>
          </w:tcPr>
          <w:p w:rsidR="002048E4" w:rsidRPr="002048E4" w:rsidRDefault="002048E4" w:rsidP="002048E4">
            <w:pPr>
              <w:spacing w:after="0" w:line="240" w:lineRule="auto"/>
              <w:jc w:val="right"/>
              <w:rPr>
                <w:rFonts w:eastAsia="Times New Roman"/>
                <w:color w:val="000000"/>
                <w:sz w:val="20"/>
                <w:szCs w:val="20"/>
              </w:rPr>
            </w:pPr>
            <w:r w:rsidRPr="002048E4">
              <w:rPr>
                <w:rFonts w:eastAsia="Times New Roman"/>
                <w:color w:val="000000"/>
                <w:sz w:val="20"/>
                <w:szCs w:val="20"/>
              </w:rPr>
              <w:t>0.443</w:t>
            </w:r>
          </w:p>
        </w:tc>
        <w:tc>
          <w:tcPr>
            <w:tcW w:w="405" w:type="pct"/>
            <w:tcBorders>
              <w:top w:val="nil"/>
              <w:bottom w:val="nil"/>
            </w:tcBorders>
            <w:shd w:val="clear" w:color="auto" w:fill="auto"/>
            <w:noWrap/>
            <w:hideMark/>
          </w:tcPr>
          <w:p w:rsidR="002048E4" w:rsidRPr="002048E4" w:rsidRDefault="002048E4" w:rsidP="002048E4">
            <w:pPr>
              <w:spacing w:after="0" w:line="240" w:lineRule="auto"/>
              <w:jc w:val="right"/>
              <w:rPr>
                <w:rFonts w:eastAsia="Times New Roman"/>
                <w:color w:val="000000"/>
                <w:sz w:val="20"/>
                <w:szCs w:val="20"/>
              </w:rPr>
            </w:pPr>
            <w:r w:rsidRPr="002048E4">
              <w:rPr>
                <w:rFonts w:eastAsia="Times New Roman"/>
                <w:color w:val="000000"/>
                <w:sz w:val="20"/>
                <w:szCs w:val="20"/>
              </w:rPr>
              <w:t>0.479</w:t>
            </w:r>
          </w:p>
        </w:tc>
        <w:tc>
          <w:tcPr>
            <w:tcW w:w="381" w:type="pct"/>
            <w:tcBorders>
              <w:top w:val="nil"/>
              <w:bottom w:val="nil"/>
            </w:tcBorders>
            <w:shd w:val="clear" w:color="auto" w:fill="auto"/>
            <w:noWrap/>
            <w:hideMark/>
          </w:tcPr>
          <w:p w:rsidR="002048E4" w:rsidRPr="002048E4" w:rsidRDefault="002048E4" w:rsidP="002048E4">
            <w:pPr>
              <w:spacing w:after="0" w:line="240" w:lineRule="auto"/>
              <w:jc w:val="right"/>
              <w:rPr>
                <w:rFonts w:eastAsia="Times New Roman"/>
                <w:color w:val="000000"/>
                <w:sz w:val="20"/>
                <w:szCs w:val="20"/>
              </w:rPr>
            </w:pPr>
            <w:r w:rsidRPr="002048E4">
              <w:rPr>
                <w:rFonts w:eastAsia="Times New Roman"/>
                <w:color w:val="000000"/>
                <w:sz w:val="20"/>
                <w:szCs w:val="20"/>
              </w:rPr>
              <w:t>0.468</w:t>
            </w:r>
          </w:p>
        </w:tc>
        <w:tc>
          <w:tcPr>
            <w:tcW w:w="405" w:type="pct"/>
            <w:tcBorders>
              <w:top w:val="nil"/>
              <w:bottom w:val="nil"/>
            </w:tcBorders>
            <w:shd w:val="clear" w:color="auto" w:fill="auto"/>
            <w:noWrap/>
            <w:hideMark/>
          </w:tcPr>
          <w:p w:rsidR="002048E4" w:rsidRPr="002048E4" w:rsidRDefault="002048E4" w:rsidP="002048E4">
            <w:pPr>
              <w:spacing w:after="0" w:line="240" w:lineRule="auto"/>
              <w:jc w:val="right"/>
              <w:rPr>
                <w:rFonts w:eastAsia="Times New Roman"/>
                <w:color w:val="000000"/>
                <w:sz w:val="20"/>
                <w:szCs w:val="20"/>
              </w:rPr>
            </w:pPr>
            <w:r w:rsidRPr="002048E4">
              <w:rPr>
                <w:rFonts w:eastAsia="Times New Roman"/>
                <w:color w:val="000000"/>
                <w:sz w:val="20"/>
                <w:szCs w:val="20"/>
              </w:rPr>
              <w:t>0.101</w:t>
            </w:r>
          </w:p>
        </w:tc>
        <w:tc>
          <w:tcPr>
            <w:tcW w:w="381" w:type="pct"/>
            <w:tcBorders>
              <w:top w:val="nil"/>
              <w:bottom w:val="nil"/>
            </w:tcBorders>
            <w:shd w:val="clear" w:color="auto" w:fill="auto"/>
            <w:noWrap/>
            <w:hideMark/>
          </w:tcPr>
          <w:p w:rsidR="002048E4" w:rsidRPr="002048E4" w:rsidRDefault="002048E4" w:rsidP="002048E4">
            <w:pPr>
              <w:spacing w:after="0" w:line="240" w:lineRule="auto"/>
              <w:jc w:val="right"/>
              <w:rPr>
                <w:rFonts w:eastAsia="Times New Roman"/>
                <w:color w:val="000000"/>
                <w:sz w:val="20"/>
                <w:szCs w:val="20"/>
              </w:rPr>
            </w:pPr>
            <w:r w:rsidRPr="002048E4">
              <w:rPr>
                <w:rFonts w:eastAsia="Times New Roman"/>
                <w:color w:val="000000"/>
                <w:sz w:val="20"/>
                <w:szCs w:val="20"/>
              </w:rPr>
              <w:t>0.244</w:t>
            </w:r>
          </w:p>
        </w:tc>
        <w:tc>
          <w:tcPr>
            <w:tcW w:w="381" w:type="pct"/>
            <w:tcBorders>
              <w:top w:val="nil"/>
              <w:bottom w:val="nil"/>
            </w:tcBorders>
            <w:shd w:val="clear" w:color="auto" w:fill="auto"/>
            <w:noWrap/>
            <w:hideMark/>
          </w:tcPr>
          <w:p w:rsidR="002048E4" w:rsidRPr="002048E4" w:rsidRDefault="002048E4" w:rsidP="002048E4">
            <w:pPr>
              <w:spacing w:after="0" w:line="240" w:lineRule="auto"/>
              <w:jc w:val="right"/>
              <w:rPr>
                <w:rFonts w:eastAsia="Times New Roman"/>
                <w:color w:val="000000"/>
                <w:sz w:val="20"/>
                <w:szCs w:val="20"/>
              </w:rPr>
            </w:pPr>
            <w:r w:rsidRPr="002048E4">
              <w:rPr>
                <w:rFonts w:eastAsia="Times New Roman"/>
                <w:color w:val="000000"/>
                <w:sz w:val="20"/>
                <w:szCs w:val="20"/>
              </w:rPr>
              <w:t>0.577</w:t>
            </w:r>
          </w:p>
        </w:tc>
        <w:tc>
          <w:tcPr>
            <w:tcW w:w="381" w:type="pct"/>
            <w:tcBorders>
              <w:top w:val="nil"/>
              <w:bottom w:val="nil"/>
            </w:tcBorders>
            <w:shd w:val="clear" w:color="auto" w:fill="auto"/>
            <w:noWrap/>
            <w:hideMark/>
          </w:tcPr>
          <w:p w:rsidR="002048E4" w:rsidRPr="002048E4" w:rsidRDefault="002048E4" w:rsidP="002048E4">
            <w:pPr>
              <w:spacing w:after="0" w:line="240" w:lineRule="auto"/>
              <w:jc w:val="right"/>
              <w:rPr>
                <w:rFonts w:eastAsia="Times New Roman"/>
                <w:b/>
                <w:color w:val="000000"/>
                <w:sz w:val="20"/>
                <w:szCs w:val="20"/>
              </w:rPr>
            </w:pPr>
            <w:r w:rsidRPr="002048E4">
              <w:rPr>
                <w:rFonts w:eastAsia="Times New Roman"/>
                <w:b/>
                <w:sz w:val="20"/>
                <w:szCs w:val="20"/>
              </w:rPr>
              <w:t>0.804</w:t>
            </w:r>
          </w:p>
        </w:tc>
        <w:tc>
          <w:tcPr>
            <w:tcW w:w="381" w:type="pct"/>
            <w:tcBorders>
              <w:top w:val="nil"/>
              <w:bottom w:val="nil"/>
            </w:tcBorders>
            <w:shd w:val="clear" w:color="auto" w:fill="auto"/>
            <w:noWrap/>
            <w:hideMark/>
          </w:tcPr>
          <w:p w:rsidR="002048E4" w:rsidRPr="002048E4" w:rsidRDefault="002048E4" w:rsidP="002048E4">
            <w:pPr>
              <w:spacing w:after="0" w:line="240" w:lineRule="auto"/>
              <w:rPr>
                <w:rFonts w:eastAsia="Times New Roman"/>
                <w:color w:val="000000"/>
                <w:sz w:val="20"/>
                <w:szCs w:val="20"/>
              </w:rPr>
            </w:pPr>
            <w:r w:rsidRPr="002048E4">
              <w:rPr>
                <w:rFonts w:eastAsia="Times New Roman"/>
                <w:color w:val="000000"/>
                <w:sz w:val="20"/>
                <w:szCs w:val="20"/>
              </w:rPr>
              <w:t> </w:t>
            </w:r>
          </w:p>
        </w:tc>
        <w:tc>
          <w:tcPr>
            <w:tcW w:w="382" w:type="pct"/>
            <w:tcBorders>
              <w:top w:val="nil"/>
              <w:bottom w:val="nil"/>
            </w:tcBorders>
            <w:shd w:val="clear" w:color="auto" w:fill="auto"/>
            <w:noWrap/>
            <w:hideMark/>
          </w:tcPr>
          <w:p w:rsidR="002048E4" w:rsidRPr="002048E4" w:rsidRDefault="002048E4" w:rsidP="002048E4">
            <w:pPr>
              <w:spacing w:after="0" w:line="240" w:lineRule="auto"/>
              <w:rPr>
                <w:rFonts w:eastAsia="Times New Roman"/>
                <w:color w:val="000000"/>
                <w:sz w:val="20"/>
                <w:szCs w:val="20"/>
              </w:rPr>
            </w:pPr>
            <w:r w:rsidRPr="002048E4">
              <w:rPr>
                <w:rFonts w:eastAsia="Times New Roman"/>
                <w:color w:val="000000"/>
                <w:sz w:val="20"/>
                <w:szCs w:val="20"/>
              </w:rPr>
              <w:t> </w:t>
            </w:r>
          </w:p>
        </w:tc>
        <w:tc>
          <w:tcPr>
            <w:tcW w:w="376" w:type="pct"/>
            <w:tcBorders>
              <w:top w:val="nil"/>
              <w:bottom w:val="nil"/>
            </w:tcBorders>
            <w:shd w:val="clear" w:color="auto" w:fill="auto"/>
            <w:noWrap/>
            <w:hideMark/>
          </w:tcPr>
          <w:p w:rsidR="002048E4" w:rsidRPr="002048E4" w:rsidRDefault="002048E4" w:rsidP="002048E4">
            <w:pPr>
              <w:spacing w:after="0" w:line="240" w:lineRule="auto"/>
              <w:rPr>
                <w:rFonts w:eastAsia="Times New Roman"/>
                <w:color w:val="000000"/>
                <w:sz w:val="20"/>
                <w:szCs w:val="20"/>
              </w:rPr>
            </w:pPr>
            <w:r w:rsidRPr="002048E4">
              <w:rPr>
                <w:rFonts w:eastAsia="Times New Roman"/>
                <w:color w:val="000000"/>
                <w:sz w:val="20"/>
                <w:szCs w:val="20"/>
              </w:rPr>
              <w:t> </w:t>
            </w:r>
          </w:p>
        </w:tc>
      </w:tr>
      <w:tr w:rsidR="002048E4" w:rsidRPr="002048E4" w:rsidTr="00A7673B">
        <w:trPr>
          <w:trHeight w:val="290"/>
          <w:jc w:val="center"/>
        </w:trPr>
        <w:tc>
          <w:tcPr>
            <w:tcW w:w="381" w:type="pct"/>
            <w:tcBorders>
              <w:top w:val="nil"/>
              <w:bottom w:val="nil"/>
            </w:tcBorders>
            <w:shd w:val="clear" w:color="auto" w:fill="auto"/>
            <w:noWrap/>
            <w:hideMark/>
          </w:tcPr>
          <w:p w:rsidR="002048E4" w:rsidRPr="002048E4" w:rsidRDefault="002048E4" w:rsidP="002048E4">
            <w:pPr>
              <w:spacing w:after="0" w:line="240" w:lineRule="auto"/>
              <w:rPr>
                <w:rFonts w:eastAsia="Times New Roman"/>
                <w:b/>
                <w:bCs/>
                <w:color w:val="000000"/>
                <w:sz w:val="20"/>
                <w:szCs w:val="20"/>
              </w:rPr>
            </w:pPr>
            <w:r w:rsidRPr="002048E4">
              <w:rPr>
                <w:rFonts w:eastAsia="Times New Roman"/>
                <w:b/>
                <w:bCs/>
                <w:color w:val="000000"/>
                <w:sz w:val="20"/>
                <w:szCs w:val="20"/>
              </w:rPr>
              <w:t>ATT</w:t>
            </w:r>
          </w:p>
        </w:tc>
        <w:tc>
          <w:tcPr>
            <w:tcW w:w="381" w:type="pct"/>
            <w:tcBorders>
              <w:top w:val="nil"/>
              <w:bottom w:val="nil"/>
            </w:tcBorders>
            <w:shd w:val="clear" w:color="auto" w:fill="auto"/>
            <w:noWrap/>
            <w:hideMark/>
          </w:tcPr>
          <w:p w:rsidR="002048E4" w:rsidRPr="002048E4" w:rsidRDefault="002048E4" w:rsidP="002048E4">
            <w:pPr>
              <w:spacing w:after="0" w:line="240" w:lineRule="auto"/>
              <w:jc w:val="right"/>
              <w:rPr>
                <w:rFonts w:eastAsia="Times New Roman"/>
                <w:sz w:val="20"/>
                <w:szCs w:val="20"/>
              </w:rPr>
            </w:pPr>
            <w:r w:rsidRPr="002048E4">
              <w:rPr>
                <w:rFonts w:eastAsia="Times New Roman"/>
                <w:sz w:val="20"/>
                <w:szCs w:val="20"/>
              </w:rPr>
              <w:t>0.960</w:t>
            </w:r>
          </w:p>
        </w:tc>
        <w:tc>
          <w:tcPr>
            <w:tcW w:w="381" w:type="pct"/>
            <w:tcBorders>
              <w:top w:val="nil"/>
              <w:bottom w:val="nil"/>
            </w:tcBorders>
            <w:shd w:val="clear" w:color="auto" w:fill="auto"/>
            <w:noWrap/>
            <w:hideMark/>
          </w:tcPr>
          <w:p w:rsidR="002048E4" w:rsidRPr="002048E4" w:rsidRDefault="002048E4" w:rsidP="002048E4">
            <w:pPr>
              <w:spacing w:after="0" w:line="240" w:lineRule="auto"/>
              <w:jc w:val="right"/>
              <w:rPr>
                <w:rFonts w:eastAsia="Times New Roman"/>
                <w:sz w:val="20"/>
                <w:szCs w:val="20"/>
              </w:rPr>
            </w:pPr>
            <w:r w:rsidRPr="002048E4">
              <w:rPr>
                <w:rFonts w:eastAsia="Times New Roman"/>
                <w:sz w:val="20"/>
                <w:szCs w:val="20"/>
              </w:rPr>
              <w:t>0.827</w:t>
            </w:r>
          </w:p>
        </w:tc>
        <w:tc>
          <w:tcPr>
            <w:tcW w:w="381" w:type="pct"/>
            <w:tcBorders>
              <w:top w:val="nil"/>
              <w:bottom w:val="nil"/>
            </w:tcBorders>
            <w:shd w:val="clear" w:color="auto" w:fill="auto"/>
            <w:noWrap/>
            <w:hideMark/>
          </w:tcPr>
          <w:p w:rsidR="002048E4" w:rsidRPr="002048E4" w:rsidRDefault="002048E4" w:rsidP="002048E4">
            <w:pPr>
              <w:spacing w:after="0" w:line="240" w:lineRule="auto"/>
              <w:jc w:val="right"/>
              <w:rPr>
                <w:rFonts w:eastAsia="Times New Roman"/>
                <w:color w:val="000000"/>
                <w:sz w:val="20"/>
                <w:szCs w:val="20"/>
              </w:rPr>
            </w:pPr>
            <w:r w:rsidRPr="002048E4">
              <w:rPr>
                <w:rFonts w:eastAsia="Times New Roman"/>
                <w:color w:val="000000"/>
                <w:sz w:val="20"/>
                <w:szCs w:val="20"/>
              </w:rPr>
              <w:t>0.600</w:t>
            </w:r>
          </w:p>
        </w:tc>
        <w:tc>
          <w:tcPr>
            <w:tcW w:w="405" w:type="pct"/>
            <w:tcBorders>
              <w:top w:val="nil"/>
              <w:bottom w:val="nil"/>
            </w:tcBorders>
            <w:shd w:val="clear" w:color="auto" w:fill="auto"/>
            <w:noWrap/>
            <w:hideMark/>
          </w:tcPr>
          <w:p w:rsidR="002048E4" w:rsidRPr="002048E4" w:rsidRDefault="002048E4" w:rsidP="002048E4">
            <w:pPr>
              <w:spacing w:after="0" w:line="240" w:lineRule="auto"/>
              <w:jc w:val="right"/>
              <w:rPr>
                <w:rFonts w:eastAsia="Times New Roman"/>
                <w:color w:val="000000"/>
                <w:sz w:val="20"/>
                <w:szCs w:val="20"/>
              </w:rPr>
            </w:pPr>
            <w:r w:rsidRPr="002048E4">
              <w:rPr>
                <w:rFonts w:eastAsia="Times New Roman"/>
                <w:color w:val="000000"/>
                <w:sz w:val="20"/>
                <w:szCs w:val="20"/>
              </w:rPr>
              <w:t>0.279</w:t>
            </w:r>
          </w:p>
        </w:tc>
        <w:tc>
          <w:tcPr>
            <w:tcW w:w="381" w:type="pct"/>
            <w:tcBorders>
              <w:top w:val="nil"/>
              <w:bottom w:val="nil"/>
            </w:tcBorders>
            <w:shd w:val="clear" w:color="auto" w:fill="auto"/>
            <w:noWrap/>
            <w:hideMark/>
          </w:tcPr>
          <w:p w:rsidR="002048E4" w:rsidRPr="002048E4" w:rsidRDefault="002048E4" w:rsidP="002048E4">
            <w:pPr>
              <w:spacing w:after="0" w:line="240" w:lineRule="auto"/>
              <w:jc w:val="right"/>
              <w:rPr>
                <w:rFonts w:eastAsia="Times New Roman"/>
                <w:color w:val="000000"/>
                <w:sz w:val="20"/>
                <w:szCs w:val="20"/>
              </w:rPr>
            </w:pPr>
            <w:r w:rsidRPr="002048E4">
              <w:rPr>
                <w:rFonts w:eastAsia="Times New Roman"/>
                <w:color w:val="000000"/>
                <w:sz w:val="20"/>
                <w:szCs w:val="20"/>
              </w:rPr>
              <w:t>0.239</w:t>
            </w:r>
          </w:p>
        </w:tc>
        <w:tc>
          <w:tcPr>
            <w:tcW w:w="405" w:type="pct"/>
            <w:tcBorders>
              <w:top w:val="nil"/>
              <w:bottom w:val="nil"/>
            </w:tcBorders>
            <w:shd w:val="clear" w:color="auto" w:fill="auto"/>
            <w:noWrap/>
            <w:hideMark/>
          </w:tcPr>
          <w:p w:rsidR="002048E4" w:rsidRPr="002048E4" w:rsidRDefault="002048E4" w:rsidP="002048E4">
            <w:pPr>
              <w:spacing w:after="0" w:line="240" w:lineRule="auto"/>
              <w:jc w:val="right"/>
              <w:rPr>
                <w:rFonts w:eastAsia="Times New Roman"/>
                <w:color w:val="000000"/>
                <w:sz w:val="20"/>
                <w:szCs w:val="20"/>
              </w:rPr>
            </w:pPr>
            <w:r w:rsidRPr="002048E4">
              <w:rPr>
                <w:rFonts w:eastAsia="Times New Roman"/>
                <w:color w:val="000000"/>
                <w:sz w:val="20"/>
                <w:szCs w:val="20"/>
              </w:rPr>
              <w:t>-0.129</w:t>
            </w:r>
          </w:p>
        </w:tc>
        <w:tc>
          <w:tcPr>
            <w:tcW w:w="381" w:type="pct"/>
            <w:tcBorders>
              <w:top w:val="nil"/>
              <w:bottom w:val="nil"/>
            </w:tcBorders>
            <w:shd w:val="clear" w:color="auto" w:fill="auto"/>
            <w:noWrap/>
            <w:hideMark/>
          </w:tcPr>
          <w:p w:rsidR="002048E4" w:rsidRPr="002048E4" w:rsidRDefault="002048E4" w:rsidP="002048E4">
            <w:pPr>
              <w:spacing w:after="0" w:line="240" w:lineRule="auto"/>
              <w:jc w:val="right"/>
              <w:rPr>
                <w:rFonts w:eastAsia="Times New Roman"/>
                <w:color w:val="000000"/>
                <w:sz w:val="20"/>
                <w:szCs w:val="20"/>
              </w:rPr>
            </w:pPr>
            <w:r w:rsidRPr="002048E4">
              <w:rPr>
                <w:rFonts w:eastAsia="Times New Roman"/>
                <w:color w:val="000000"/>
                <w:sz w:val="20"/>
                <w:szCs w:val="20"/>
              </w:rPr>
              <w:t>0.122</w:t>
            </w:r>
          </w:p>
        </w:tc>
        <w:tc>
          <w:tcPr>
            <w:tcW w:w="381" w:type="pct"/>
            <w:tcBorders>
              <w:top w:val="nil"/>
              <w:bottom w:val="nil"/>
            </w:tcBorders>
            <w:shd w:val="clear" w:color="auto" w:fill="auto"/>
            <w:noWrap/>
            <w:hideMark/>
          </w:tcPr>
          <w:p w:rsidR="002048E4" w:rsidRPr="002048E4" w:rsidRDefault="002048E4" w:rsidP="002048E4">
            <w:pPr>
              <w:spacing w:after="0" w:line="240" w:lineRule="auto"/>
              <w:jc w:val="right"/>
              <w:rPr>
                <w:rFonts w:eastAsia="Times New Roman"/>
                <w:color w:val="000000"/>
                <w:sz w:val="20"/>
                <w:szCs w:val="20"/>
              </w:rPr>
            </w:pPr>
            <w:r w:rsidRPr="002048E4">
              <w:rPr>
                <w:rFonts w:eastAsia="Times New Roman"/>
                <w:color w:val="000000"/>
                <w:sz w:val="20"/>
                <w:szCs w:val="20"/>
              </w:rPr>
              <w:t>0.395</w:t>
            </w:r>
          </w:p>
        </w:tc>
        <w:tc>
          <w:tcPr>
            <w:tcW w:w="381" w:type="pct"/>
            <w:tcBorders>
              <w:top w:val="nil"/>
              <w:bottom w:val="nil"/>
            </w:tcBorders>
            <w:shd w:val="clear" w:color="auto" w:fill="auto"/>
            <w:noWrap/>
            <w:hideMark/>
          </w:tcPr>
          <w:p w:rsidR="002048E4" w:rsidRPr="002048E4" w:rsidRDefault="002048E4" w:rsidP="002048E4">
            <w:pPr>
              <w:spacing w:after="0" w:line="240" w:lineRule="auto"/>
              <w:jc w:val="right"/>
              <w:rPr>
                <w:rFonts w:eastAsia="Times New Roman"/>
                <w:color w:val="000000"/>
                <w:sz w:val="20"/>
                <w:szCs w:val="20"/>
              </w:rPr>
            </w:pPr>
            <w:r w:rsidRPr="002048E4">
              <w:rPr>
                <w:rFonts w:eastAsia="Times New Roman"/>
                <w:color w:val="000000"/>
                <w:sz w:val="20"/>
                <w:szCs w:val="20"/>
              </w:rPr>
              <w:t>0.369</w:t>
            </w:r>
          </w:p>
        </w:tc>
        <w:tc>
          <w:tcPr>
            <w:tcW w:w="381" w:type="pct"/>
            <w:tcBorders>
              <w:top w:val="nil"/>
              <w:bottom w:val="nil"/>
            </w:tcBorders>
            <w:shd w:val="clear" w:color="auto" w:fill="auto"/>
            <w:noWrap/>
            <w:hideMark/>
          </w:tcPr>
          <w:p w:rsidR="002048E4" w:rsidRPr="002048E4" w:rsidRDefault="002048E4" w:rsidP="002048E4">
            <w:pPr>
              <w:spacing w:after="0" w:line="240" w:lineRule="auto"/>
              <w:jc w:val="right"/>
              <w:rPr>
                <w:rFonts w:eastAsia="Times New Roman"/>
                <w:b/>
                <w:color w:val="000000"/>
                <w:sz w:val="20"/>
                <w:szCs w:val="20"/>
              </w:rPr>
            </w:pPr>
            <w:r w:rsidRPr="002048E4">
              <w:rPr>
                <w:rFonts w:eastAsia="Times New Roman"/>
                <w:b/>
                <w:sz w:val="20"/>
                <w:szCs w:val="20"/>
              </w:rPr>
              <w:t>0.909</w:t>
            </w:r>
          </w:p>
        </w:tc>
        <w:tc>
          <w:tcPr>
            <w:tcW w:w="382" w:type="pct"/>
            <w:tcBorders>
              <w:top w:val="nil"/>
              <w:bottom w:val="nil"/>
            </w:tcBorders>
            <w:shd w:val="clear" w:color="auto" w:fill="auto"/>
            <w:noWrap/>
            <w:hideMark/>
          </w:tcPr>
          <w:p w:rsidR="002048E4" w:rsidRPr="002048E4" w:rsidRDefault="002048E4" w:rsidP="002048E4">
            <w:pPr>
              <w:spacing w:after="0" w:line="240" w:lineRule="auto"/>
              <w:rPr>
                <w:rFonts w:eastAsia="Times New Roman"/>
                <w:color w:val="000000"/>
                <w:sz w:val="20"/>
                <w:szCs w:val="20"/>
              </w:rPr>
            </w:pPr>
            <w:r w:rsidRPr="002048E4">
              <w:rPr>
                <w:rFonts w:eastAsia="Times New Roman"/>
                <w:color w:val="000000"/>
                <w:sz w:val="20"/>
                <w:szCs w:val="20"/>
              </w:rPr>
              <w:t> </w:t>
            </w:r>
          </w:p>
        </w:tc>
        <w:tc>
          <w:tcPr>
            <w:tcW w:w="376" w:type="pct"/>
            <w:tcBorders>
              <w:top w:val="nil"/>
              <w:bottom w:val="nil"/>
            </w:tcBorders>
            <w:shd w:val="clear" w:color="auto" w:fill="auto"/>
            <w:noWrap/>
            <w:hideMark/>
          </w:tcPr>
          <w:p w:rsidR="002048E4" w:rsidRPr="002048E4" w:rsidRDefault="002048E4" w:rsidP="002048E4">
            <w:pPr>
              <w:spacing w:after="0" w:line="240" w:lineRule="auto"/>
              <w:rPr>
                <w:rFonts w:eastAsia="Times New Roman"/>
                <w:color w:val="000000"/>
                <w:sz w:val="20"/>
                <w:szCs w:val="20"/>
              </w:rPr>
            </w:pPr>
            <w:r w:rsidRPr="002048E4">
              <w:rPr>
                <w:rFonts w:eastAsia="Times New Roman"/>
                <w:color w:val="000000"/>
                <w:sz w:val="20"/>
                <w:szCs w:val="20"/>
              </w:rPr>
              <w:t> </w:t>
            </w:r>
          </w:p>
        </w:tc>
      </w:tr>
      <w:tr w:rsidR="002048E4" w:rsidRPr="002048E4" w:rsidTr="00A7673B">
        <w:trPr>
          <w:trHeight w:val="290"/>
          <w:jc w:val="center"/>
        </w:trPr>
        <w:tc>
          <w:tcPr>
            <w:tcW w:w="381" w:type="pct"/>
            <w:tcBorders>
              <w:top w:val="nil"/>
              <w:bottom w:val="nil"/>
            </w:tcBorders>
            <w:shd w:val="clear" w:color="auto" w:fill="auto"/>
            <w:noWrap/>
            <w:hideMark/>
          </w:tcPr>
          <w:p w:rsidR="002048E4" w:rsidRPr="002048E4" w:rsidRDefault="002048E4" w:rsidP="002048E4">
            <w:pPr>
              <w:spacing w:after="0" w:line="240" w:lineRule="auto"/>
              <w:rPr>
                <w:rFonts w:eastAsia="Times New Roman"/>
                <w:b/>
                <w:bCs/>
                <w:color w:val="000000"/>
                <w:sz w:val="20"/>
                <w:szCs w:val="20"/>
              </w:rPr>
            </w:pPr>
            <w:r w:rsidRPr="002048E4">
              <w:rPr>
                <w:rFonts w:eastAsia="Times New Roman"/>
                <w:b/>
                <w:bCs/>
                <w:color w:val="000000"/>
                <w:sz w:val="20"/>
                <w:szCs w:val="20"/>
              </w:rPr>
              <w:t>INT</w:t>
            </w:r>
          </w:p>
        </w:tc>
        <w:tc>
          <w:tcPr>
            <w:tcW w:w="381" w:type="pct"/>
            <w:tcBorders>
              <w:top w:val="nil"/>
              <w:bottom w:val="nil"/>
            </w:tcBorders>
            <w:shd w:val="clear" w:color="auto" w:fill="auto"/>
            <w:noWrap/>
            <w:hideMark/>
          </w:tcPr>
          <w:p w:rsidR="002048E4" w:rsidRPr="002048E4" w:rsidRDefault="002048E4" w:rsidP="002048E4">
            <w:pPr>
              <w:spacing w:after="0" w:line="240" w:lineRule="auto"/>
              <w:jc w:val="right"/>
              <w:rPr>
                <w:rFonts w:eastAsia="Times New Roman"/>
                <w:color w:val="000000"/>
                <w:sz w:val="20"/>
                <w:szCs w:val="20"/>
              </w:rPr>
            </w:pPr>
            <w:r w:rsidRPr="002048E4">
              <w:rPr>
                <w:rFonts w:eastAsia="Times New Roman"/>
                <w:color w:val="000000"/>
                <w:sz w:val="20"/>
                <w:szCs w:val="20"/>
              </w:rPr>
              <w:t>0.930</w:t>
            </w:r>
          </w:p>
        </w:tc>
        <w:tc>
          <w:tcPr>
            <w:tcW w:w="381" w:type="pct"/>
            <w:tcBorders>
              <w:top w:val="nil"/>
              <w:bottom w:val="nil"/>
            </w:tcBorders>
            <w:shd w:val="clear" w:color="auto" w:fill="auto"/>
            <w:noWrap/>
            <w:hideMark/>
          </w:tcPr>
          <w:p w:rsidR="002048E4" w:rsidRPr="002048E4" w:rsidRDefault="002048E4" w:rsidP="002048E4">
            <w:pPr>
              <w:spacing w:after="0" w:line="240" w:lineRule="auto"/>
              <w:jc w:val="right"/>
              <w:rPr>
                <w:rFonts w:eastAsia="Times New Roman"/>
                <w:color w:val="000000"/>
                <w:sz w:val="20"/>
                <w:szCs w:val="20"/>
              </w:rPr>
            </w:pPr>
            <w:r w:rsidRPr="002048E4">
              <w:rPr>
                <w:rFonts w:eastAsia="Times New Roman"/>
                <w:color w:val="000000"/>
                <w:sz w:val="20"/>
                <w:szCs w:val="20"/>
              </w:rPr>
              <w:t>0.817</w:t>
            </w:r>
          </w:p>
        </w:tc>
        <w:tc>
          <w:tcPr>
            <w:tcW w:w="381" w:type="pct"/>
            <w:tcBorders>
              <w:top w:val="nil"/>
              <w:bottom w:val="nil"/>
            </w:tcBorders>
            <w:shd w:val="clear" w:color="auto" w:fill="auto"/>
            <w:noWrap/>
            <w:hideMark/>
          </w:tcPr>
          <w:p w:rsidR="002048E4" w:rsidRPr="002048E4" w:rsidRDefault="002048E4" w:rsidP="002048E4">
            <w:pPr>
              <w:spacing w:after="0" w:line="240" w:lineRule="auto"/>
              <w:jc w:val="right"/>
              <w:rPr>
                <w:rFonts w:eastAsia="Times New Roman"/>
                <w:color w:val="000000"/>
                <w:sz w:val="20"/>
                <w:szCs w:val="20"/>
              </w:rPr>
            </w:pPr>
            <w:r w:rsidRPr="002048E4">
              <w:rPr>
                <w:rFonts w:eastAsia="Times New Roman"/>
                <w:color w:val="000000"/>
                <w:sz w:val="20"/>
                <w:szCs w:val="20"/>
              </w:rPr>
              <w:t>0.808</w:t>
            </w:r>
          </w:p>
        </w:tc>
        <w:tc>
          <w:tcPr>
            <w:tcW w:w="405" w:type="pct"/>
            <w:tcBorders>
              <w:top w:val="nil"/>
              <w:bottom w:val="nil"/>
            </w:tcBorders>
            <w:shd w:val="clear" w:color="auto" w:fill="auto"/>
            <w:noWrap/>
            <w:hideMark/>
          </w:tcPr>
          <w:p w:rsidR="002048E4" w:rsidRPr="002048E4" w:rsidRDefault="002048E4" w:rsidP="002048E4">
            <w:pPr>
              <w:spacing w:after="0" w:line="240" w:lineRule="auto"/>
              <w:jc w:val="right"/>
              <w:rPr>
                <w:rFonts w:eastAsia="Times New Roman"/>
                <w:color w:val="000000"/>
                <w:sz w:val="20"/>
                <w:szCs w:val="20"/>
              </w:rPr>
            </w:pPr>
            <w:r w:rsidRPr="002048E4">
              <w:rPr>
                <w:rFonts w:eastAsia="Times New Roman"/>
                <w:color w:val="000000"/>
                <w:sz w:val="20"/>
                <w:szCs w:val="20"/>
              </w:rPr>
              <w:t>0.337</w:t>
            </w:r>
          </w:p>
        </w:tc>
        <w:tc>
          <w:tcPr>
            <w:tcW w:w="381" w:type="pct"/>
            <w:tcBorders>
              <w:top w:val="nil"/>
              <w:bottom w:val="nil"/>
            </w:tcBorders>
            <w:shd w:val="clear" w:color="auto" w:fill="auto"/>
            <w:noWrap/>
            <w:hideMark/>
          </w:tcPr>
          <w:p w:rsidR="002048E4" w:rsidRPr="002048E4" w:rsidRDefault="002048E4" w:rsidP="002048E4">
            <w:pPr>
              <w:spacing w:after="0" w:line="240" w:lineRule="auto"/>
              <w:jc w:val="right"/>
              <w:rPr>
                <w:rFonts w:eastAsia="Times New Roman"/>
                <w:color w:val="000000"/>
                <w:sz w:val="20"/>
                <w:szCs w:val="20"/>
              </w:rPr>
            </w:pPr>
            <w:r w:rsidRPr="002048E4">
              <w:rPr>
                <w:rFonts w:eastAsia="Times New Roman"/>
                <w:color w:val="000000"/>
                <w:sz w:val="20"/>
                <w:szCs w:val="20"/>
              </w:rPr>
              <w:t>0.215</w:t>
            </w:r>
          </w:p>
        </w:tc>
        <w:tc>
          <w:tcPr>
            <w:tcW w:w="405" w:type="pct"/>
            <w:tcBorders>
              <w:top w:val="nil"/>
              <w:bottom w:val="nil"/>
            </w:tcBorders>
            <w:shd w:val="clear" w:color="auto" w:fill="auto"/>
            <w:noWrap/>
            <w:hideMark/>
          </w:tcPr>
          <w:p w:rsidR="002048E4" w:rsidRPr="002048E4" w:rsidRDefault="002048E4" w:rsidP="002048E4">
            <w:pPr>
              <w:spacing w:after="0" w:line="240" w:lineRule="auto"/>
              <w:jc w:val="right"/>
              <w:rPr>
                <w:rFonts w:eastAsia="Times New Roman"/>
                <w:color w:val="000000"/>
                <w:sz w:val="20"/>
                <w:szCs w:val="20"/>
              </w:rPr>
            </w:pPr>
            <w:r w:rsidRPr="002048E4">
              <w:rPr>
                <w:rFonts w:eastAsia="Times New Roman"/>
                <w:color w:val="000000"/>
                <w:sz w:val="20"/>
                <w:szCs w:val="20"/>
              </w:rPr>
              <w:t>-0.089</w:t>
            </w:r>
          </w:p>
        </w:tc>
        <w:tc>
          <w:tcPr>
            <w:tcW w:w="381" w:type="pct"/>
            <w:tcBorders>
              <w:top w:val="nil"/>
              <w:bottom w:val="nil"/>
            </w:tcBorders>
            <w:shd w:val="clear" w:color="auto" w:fill="auto"/>
            <w:noWrap/>
            <w:hideMark/>
          </w:tcPr>
          <w:p w:rsidR="002048E4" w:rsidRPr="002048E4" w:rsidRDefault="002048E4" w:rsidP="002048E4">
            <w:pPr>
              <w:spacing w:after="0" w:line="240" w:lineRule="auto"/>
              <w:jc w:val="right"/>
              <w:rPr>
                <w:rFonts w:eastAsia="Times New Roman"/>
                <w:color w:val="000000"/>
                <w:sz w:val="20"/>
                <w:szCs w:val="20"/>
              </w:rPr>
            </w:pPr>
            <w:r w:rsidRPr="002048E4">
              <w:rPr>
                <w:rFonts w:eastAsia="Times New Roman"/>
                <w:color w:val="000000"/>
                <w:sz w:val="20"/>
                <w:szCs w:val="20"/>
              </w:rPr>
              <w:t>0.259</w:t>
            </w:r>
          </w:p>
        </w:tc>
        <w:tc>
          <w:tcPr>
            <w:tcW w:w="381" w:type="pct"/>
            <w:tcBorders>
              <w:top w:val="nil"/>
              <w:bottom w:val="nil"/>
            </w:tcBorders>
            <w:shd w:val="clear" w:color="auto" w:fill="auto"/>
            <w:noWrap/>
            <w:hideMark/>
          </w:tcPr>
          <w:p w:rsidR="002048E4" w:rsidRPr="002048E4" w:rsidRDefault="002048E4" w:rsidP="002048E4">
            <w:pPr>
              <w:spacing w:after="0" w:line="240" w:lineRule="auto"/>
              <w:jc w:val="right"/>
              <w:rPr>
                <w:rFonts w:eastAsia="Times New Roman"/>
                <w:color w:val="000000"/>
                <w:sz w:val="20"/>
                <w:szCs w:val="20"/>
              </w:rPr>
            </w:pPr>
            <w:r w:rsidRPr="002048E4">
              <w:rPr>
                <w:rFonts w:eastAsia="Times New Roman"/>
                <w:color w:val="000000"/>
                <w:sz w:val="20"/>
                <w:szCs w:val="20"/>
              </w:rPr>
              <w:t>0.437</w:t>
            </w:r>
          </w:p>
        </w:tc>
        <w:tc>
          <w:tcPr>
            <w:tcW w:w="381" w:type="pct"/>
            <w:tcBorders>
              <w:top w:val="nil"/>
              <w:bottom w:val="nil"/>
            </w:tcBorders>
            <w:shd w:val="clear" w:color="auto" w:fill="auto"/>
            <w:noWrap/>
            <w:hideMark/>
          </w:tcPr>
          <w:p w:rsidR="002048E4" w:rsidRPr="002048E4" w:rsidRDefault="002048E4" w:rsidP="002048E4">
            <w:pPr>
              <w:spacing w:after="0" w:line="240" w:lineRule="auto"/>
              <w:jc w:val="right"/>
              <w:rPr>
                <w:rFonts w:eastAsia="Times New Roman"/>
                <w:color w:val="000000"/>
                <w:sz w:val="20"/>
                <w:szCs w:val="20"/>
              </w:rPr>
            </w:pPr>
            <w:r w:rsidRPr="002048E4">
              <w:rPr>
                <w:rFonts w:eastAsia="Times New Roman"/>
                <w:color w:val="000000"/>
                <w:sz w:val="20"/>
                <w:szCs w:val="20"/>
              </w:rPr>
              <w:t>0.458</w:t>
            </w:r>
          </w:p>
        </w:tc>
        <w:tc>
          <w:tcPr>
            <w:tcW w:w="381" w:type="pct"/>
            <w:tcBorders>
              <w:top w:val="nil"/>
              <w:bottom w:val="nil"/>
            </w:tcBorders>
            <w:shd w:val="clear" w:color="auto" w:fill="auto"/>
            <w:noWrap/>
            <w:hideMark/>
          </w:tcPr>
          <w:p w:rsidR="002048E4" w:rsidRPr="002048E4" w:rsidRDefault="002048E4" w:rsidP="002048E4">
            <w:pPr>
              <w:spacing w:after="0" w:line="240" w:lineRule="auto"/>
              <w:jc w:val="right"/>
              <w:rPr>
                <w:rFonts w:eastAsia="Times New Roman"/>
                <w:color w:val="000000"/>
                <w:sz w:val="20"/>
                <w:szCs w:val="20"/>
              </w:rPr>
            </w:pPr>
            <w:r w:rsidRPr="002048E4">
              <w:rPr>
                <w:rFonts w:eastAsia="Times New Roman"/>
                <w:color w:val="000000"/>
                <w:sz w:val="20"/>
                <w:szCs w:val="20"/>
              </w:rPr>
              <w:t>0.613</w:t>
            </w:r>
          </w:p>
        </w:tc>
        <w:tc>
          <w:tcPr>
            <w:tcW w:w="382" w:type="pct"/>
            <w:tcBorders>
              <w:top w:val="nil"/>
              <w:bottom w:val="nil"/>
            </w:tcBorders>
            <w:shd w:val="clear" w:color="auto" w:fill="auto"/>
            <w:noWrap/>
            <w:hideMark/>
          </w:tcPr>
          <w:p w:rsidR="002048E4" w:rsidRPr="002048E4" w:rsidRDefault="002048E4" w:rsidP="002048E4">
            <w:pPr>
              <w:spacing w:after="0" w:line="240" w:lineRule="auto"/>
              <w:jc w:val="right"/>
              <w:rPr>
                <w:rFonts w:eastAsia="Times New Roman"/>
                <w:b/>
                <w:color w:val="000000"/>
                <w:sz w:val="20"/>
                <w:szCs w:val="20"/>
              </w:rPr>
            </w:pPr>
            <w:r w:rsidRPr="002048E4">
              <w:rPr>
                <w:rFonts w:eastAsia="Times New Roman"/>
                <w:b/>
                <w:sz w:val="20"/>
                <w:szCs w:val="20"/>
              </w:rPr>
              <w:t>0.904</w:t>
            </w:r>
          </w:p>
        </w:tc>
        <w:tc>
          <w:tcPr>
            <w:tcW w:w="376" w:type="pct"/>
            <w:tcBorders>
              <w:top w:val="nil"/>
              <w:bottom w:val="nil"/>
            </w:tcBorders>
            <w:shd w:val="clear" w:color="auto" w:fill="auto"/>
            <w:noWrap/>
            <w:hideMark/>
          </w:tcPr>
          <w:p w:rsidR="002048E4" w:rsidRPr="002048E4" w:rsidRDefault="002048E4" w:rsidP="002048E4">
            <w:pPr>
              <w:spacing w:after="0" w:line="240" w:lineRule="auto"/>
              <w:rPr>
                <w:rFonts w:eastAsia="Times New Roman"/>
                <w:color w:val="000000"/>
                <w:sz w:val="20"/>
                <w:szCs w:val="20"/>
              </w:rPr>
            </w:pPr>
            <w:r w:rsidRPr="002048E4">
              <w:rPr>
                <w:rFonts w:eastAsia="Times New Roman"/>
                <w:color w:val="000000"/>
                <w:sz w:val="20"/>
                <w:szCs w:val="20"/>
              </w:rPr>
              <w:t> </w:t>
            </w:r>
          </w:p>
        </w:tc>
      </w:tr>
      <w:tr w:rsidR="002048E4" w:rsidRPr="002048E4" w:rsidTr="00A7673B">
        <w:trPr>
          <w:trHeight w:val="290"/>
          <w:jc w:val="center"/>
        </w:trPr>
        <w:tc>
          <w:tcPr>
            <w:tcW w:w="381" w:type="pct"/>
            <w:tcBorders>
              <w:top w:val="nil"/>
              <w:bottom w:val="single" w:sz="4" w:space="0" w:color="auto"/>
            </w:tcBorders>
            <w:shd w:val="clear" w:color="auto" w:fill="auto"/>
            <w:noWrap/>
            <w:hideMark/>
          </w:tcPr>
          <w:p w:rsidR="002048E4" w:rsidRPr="002048E4" w:rsidRDefault="002048E4" w:rsidP="002048E4">
            <w:pPr>
              <w:spacing w:after="0" w:line="240" w:lineRule="auto"/>
              <w:rPr>
                <w:rFonts w:eastAsia="Times New Roman"/>
                <w:b/>
                <w:bCs/>
                <w:color w:val="000000"/>
                <w:sz w:val="20"/>
                <w:szCs w:val="20"/>
              </w:rPr>
            </w:pPr>
            <w:r w:rsidRPr="002048E4">
              <w:rPr>
                <w:rFonts w:eastAsia="Times New Roman"/>
                <w:b/>
                <w:bCs/>
                <w:color w:val="000000"/>
                <w:sz w:val="20"/>
                <w:szCs w:val="20"/>
              </w:rPr>
              <w:t>PBC</w:t>
            </w:r>
          </w:p>
        </w:tc>
        <w:tc>
          <w:tcPr>
            <w:tcW w:w="381" w:type="pct"/>
            <w:tcBorders>
              <w:top w:val="nil"/>
              <w:bottom w:val="single" w:sz="4" w:space="0" w:color="auto"/>
            </w:tcBorders>
            <w:shd w:val="clear" w:color="auto" w:fill="auto"/>
            <w:noWrap/>
            <w:hideMark/>
          </w:tcPr>
          <w:p w:rsidR="002048E4" w:rsidRPr="002048E4" w:rsidRDefault="002048E4" w:rsidP="002048E4">
            <w:pPr>
              <w:spacing w:after="0" w:line="240" w:lineRule="auto"/>
              <w:jc w:val="right"/>
              <w:rPr>
                <w:rFonts w:eastAsia="Times New Roman"/>
                <w:color w:val="000000"/>
                <w:sz w:val="20"/>
                <w:szCs w:val="20"/>
              </w:rPr>
            </w:pPr>
            <w:r w:rsidRPr="002048E4">
              <w:rPr>
                <w:rFonts w:eastAsia="Times New Roman"/>
                <w:color w:val="000000"/>
                <w:sz w:val="20"/>
                <w:szCs w:val="20"/>
              </w:rPr>
              <w:t>0.871</w:t>
            </w:r>
          </w:p>
        </w:tc>
        <w:tc>
          <w:tcPr>
            <w:tcW w:w="381" w:type="pct"/>
            <w:tcBorders>
              <w:top w:val="nil"/>
              <w:bottom w:val="single" w:sz="4" w:space="0" w:color="auto"/>
            </w:tcBorders>
            <w:shd w:val="clear" w:color="auto" w:fill="auto"/>
            <w:noWrap/>
            <w:hideMark/>
          </w:tcPr>
          <w:p w:rsidR="002048E4" w:rsidRPr="002048E4" w:rsidRDefault="002048E4" w:rsidP="002048E4">
            <w:pPr>
              <w:spacing w:after="0" w:line="240" w:lineRule="auto"/>
              <w:jc w:val="right"/>
              <w:rPr>
                <w:rFonts w:eastAsia="Times New Roman"/>
                <w:color w:val="000000"/>
                <w:sz w:val="20"/>
                <w:szCs w:val="20"/>
              </w:rPr>
            </w:pPr>
            <w:r w:rsidRPr="002048E4">
              <w:rPr>
                <w:rFonts w:eastAsia="Times New Roman"/>
                <w:color w:val="000000"/>
                <w:sz w:val="20"/>
                <w:szCs w:val="20"/>
              </w:rPr>
              <w:t>0.694</w:t>
            </w:r>
          </w:p>
        </w:tc>
        <w:tc>
          <w:tcPr>
            <w:tcW w:w="381" w:type="pct"/>
            <w:tcBorders>
              <w:top w:val="nil"/>
              <w:bottom w:val="single" w:sz="4" w:space="0" w:color="auto"/>
            </w:tcBorders>
            <w:shd w:val="clear" w:color="auto" w:fill="auto"/>
            <w:noWrap/>
            <w:hideMark/>
          </w:tcPr>
          <w:p w:rsidR="002048E4" w:rsidRPr="002048E4" w:rsidRDefault="002048E4" w:rsidP="002048E4">
            <w:pPr>
              <w:spacing w:after="0" w:line="240" w:lineRule="auto"/>
              <w:jc w:val="right"/>
              <w:rPr>
                <w:rFonts w:eastAsia="Times New Roman"/>
                <w:color w:val="000000"/>
                <w:sz w:val="20"/>
                <w:szCs w:val="20"/>
              </w:rPr>
            </w:pPr>
            <w:r w:rsidRPr="002048E4">
              <w:rPr>
                <w:rFonts w:eastAsia="Times New Roman"/>
                <w:color w:val="000000"/>
                <w:sz w:val="20"/>
                <w:szCs w:val="20"/>
              </w:rPr>
              <w:t>0.910</w:t>
            </w:r>
          </w:p>
        </w:tc>
        <w:tc>
          <w:tcPr>
            <w:tcW w:w="405" w:type="pct"/>
            <w:tcBorders>
              <w:top w:val="nil"/>
              <w:bottom w:val="single" w:sz="4" w:space="0" w:color="auto"/>
            </w:tcBorders>
            <w:shd w:val="clear" w:color="auto" w:fill="auto"/>
            <w:noWrap/>
            <w:hideMark/>
          </w:tcPr>
          <w:p w:rsidR="002048E4" w:rsidRPr="002048E4" w:rsidRDefault="002048E4" w:rsidP="002048E4">
            <w:pPr>
              <w:spacing w:after="0" w:line="240" w:lineRule="auto"/>
              <w:jc w:val="right"/>
              <w:rPr>
                <w:rFonts w:eastAsia="Times New Roman"/>
                <w:color w:val="000000"/>
                <w:sz w:val="20"/>
                <w:szCs w:val="20"/>
              </w:rPr>
            </w:pPr>
            <w:r w:rsidRPr="002048E4">
              <w:rPr>
                <w:rFonts w:eastAsia="Times New Roman"/>
                <w:color w:val="000000"/>
                <w:sz w:val="20"/>
                <w:szCs w:val="20"/>
              </w:rPr>
              <w:t>0.325</w:t>
            </w:r>
          </w:p>
        </w:tc>
        <w:tc>
          <w:tcPr>
            <w:tcW w:w="381" w:type="pct"/>
            <w:tcBorders>
              <w:top w:val="nil"/>
              <w:bottom w:val="single" w:sz="4" w:space="0" w:color="auto"/>
            </w:tcBorders>
            <w:shd w:val="clear" w:color="auto" w:fill="auto"/>
            <w:noWrap/>
            <w:hideMark/>
          </w:tcPr>
          <w:p w:rsidR="002048E4" w:rsidRPr="002048E4" w:rsidRDefault="002048E4" w:rsidP="002048E4">
            <w:pPr>
              <w:spacing w:after="0" w:line="240" w:lineRule="auto"/>
              <w:jc w:val="right"/>
              <w:rPr>
                <w:rFonts w:eastAsia="Times New Roman"/>
                <w:color w:val="000000"/>
                <w:sz w:val="20"/>
                <w:szCs w:val="20"/>
              </w:rPr>
            </w:pPr>
            <w:r w:rsidRPr="002048E4">
              <w:rPr>
                <w:rFonts w:eastAsia="Times New Roman"/>
                <w:color w:val="000000"/>
                <w:sz w:val="20"/>
                <w:szCs w:val="20"/>
              </w:rPr>
              <w:t>0.232</w:t>
            </w:r>
          </w:p>
        </w:tc>
        <w:tc>
          <w:tcPr>
            <w:tcW w:w="405" w:type="pct"/>
            <w:tcBorders>
              <w:top w:val="nil"/>
              <w:bottom w:val="single" w:sz="4" w:space="0" w:color="auto"/>
            </w:tcBorders>
            <w:shd w:val="clear" w:color="auto" w:fill="auto"/>
            <w:noWrap/>
            <w:hideMark/>
          </w:tcPr>
          <w:p w:rsidR="002048E4" w:rsidRPr="002048E4" w:rsidRDefault="002048E4" w:rsidP="002048E4">
            <w:pPr>
              <w:spacing w:after="0" w:line="240" w:lineRule="auto"/>
              <w:jc w:val="right"/>
              <w:rPr>
                <w:rFonts w:eastAsia="Times New Roman"/>
                <w:color w:val="000000"/>
                <w:sz w:val="20"/>
                <w:szCs w:val="20"/>
              </w:rPr>
            </w:pPr>
            <w:r w:rsidRPr="002048E4">
              <w:rPr>
                <w:rFonts w:eastAsia="Times New Roman"/>
                <w:color w:val="000000"/>
                <w:sz w:val="20"/>
                <w:szCs w:val="20"/>
              </w:rPr>
              <w:t>-0.028</w:t>
            </w:r>
          </w:p>
        </w:tc>
        <w:tc>
          <w:tcPr>
            <w:tcW w:w="381" w:type="pct"/>
            <w:tcBorders>
              <w:top w:val="nil"/>
              <w:bottom w:val="single" w:sz="4" w:space="0" w:color="auto"/>
            </w:tcBorders>
            <w:shd w:val="clear" w:color="auto" w:fill="auto"/>
            <w:noWrap/>
            <w:hideMark/>
          </w:tcPr>
          <w:p w:rsidR="002048E4" w:rsidRPr="002048E4" w:rsidRDefault="002048E4" w:rsidP="002048E4">
            <w:pPr>
              <w:spacing w:after="0" w:line="240" w:lineRule="auto"/>
              <w:jc w:val="right"/>
              <w:rPr>
                <w:rFonts w:eastAsia="Times New Roman"/>
                <w:color w:val="000000"/>
                <w:sz w:val="20"/>
                <w:szCs w:val="20"/>
              </w:rPr>
            </w:pPr>
            <w:r w:rsidRPr="002048E4">
              <w:rPr>
                <w:rFonts w:eastAsia="Times New Roman"/>
                <w:color w:val="000000"/>
                <w:sz w:val="20"/>
                <w:szCs w:val="20"/>
              </w:rPr>
              <w:t>0.236</w:t>
            </w:r>
          </w:p>
        </w:tc>
        <w:tc>
          <w:tcPr>
            <w:tcW w:w="381" w:type="pct"/>
            <w:tcBorders>
              <w:top w:val="nil"/>
              <w:bottom w:val="single" w:sz="4" w:space="0" w:color="auto"/>
            </w:tcBorders>
            <w:shd w:val="clear" w:color="auto" w:fill="auto"/>
            <w:noWrap/>
            <w:hideMark/>
          </w:tcPr>
          <w:p w:rsidR="002048E4" w:rsidRPr="002048E4" w:rsidRDefault="002048E4" w:rsidP="002048E4">
            <w:pPr>
              <w:spacing w:after="0" w:line="240" w:lineRule="auto"/>
              <w:jc w:val="right"/>
              <w:rPr>
                <w:rFonts w:eastAsia="Times New Roman"/>
                <w:color w:val="000000"/>
                <w:sz w:val="20"/>
                <w:szCs w:val="20"/>
              </w:rPr>
            </w:pPr>
            <w:r w:rsidRPr="002048E4">
              <w:rPr>
                <w:rFonts w:eastAsia="Times New Roman"/>
                <w:color w:val="000000"/>
                <w:sz w:val="20"/>
                <w:szCs w:val="20"/>
              </w:rPr>
              <w:t>0.431</w:t>
            </w:r>
          </w:p>
        </w:tc>
        <w:tc>
          <w:tcPr>
            <w:tcW w:w="381" w:type="pct"/>
            <w:tcBorders>
              <w:top w:val="nil"/>
              <w:bottom w:val="single" w:sz="4" w:space="0" w:color="auto"/>
            </w:tcBorders>
            <w:shd w:val="clear" w:color="auto" w:fill="auto"/>
            <w:noWrap/>
            <w:hideMark/>
          </w:tcPr>
          <w:p w:rsidR="002048E4" w:rsidRPr="002048E4" w:rsidRDefault="002048E4" w:rsidP="002048E4">
            <w:pPr>
              <w:spacing w:after="0" w:line="240" w:lineRule="auto"/>
              <w:jc w:val="right"/>
              <w:rPr>
                <w:rFonts w:eastAsia="Times New Roman"/>
                <w:color w:val="000000"/>
                <w:sz w:val="20"/>
                <w:szCs w:val="20"/>
              </w:rPr>
            </w:pPr>
            <w:r w:rsidRPr="002048E4">
              <w:rPr>
                <w:rFonts w:eastAsia="Times New Roman"/>
                <w:color w:val="000000"/>
                <w:sz w:val="20"/>
                <w:szCs w:val="20"/>
              </w:rPr>
              <w:t>0.471</w:t>
            </w:r>
          </w:p>
        </w:tc>
        <w:tc>
          <w:tcPr>
            <w:tcW w:w="381" w:type="pct"/>
            <w:tcBorders>
              <w:top w:val="nil"/>
              <w:bottom w:val="single" w:sz="4" w:space="0" w:color="auto"/>
            </w:tcBorders>
            <w:shd w:val="clear" w:color="auto" w:fill="auto"/>
            <w:noWrap/>
            <w:hideMark/>
          </w:tcPr>
          <w:p w:rsidR="002048E4" w:rsidRPr="002048E4" w:rsidRDefault="002048E4" w:rsidP="002048E4">
            <w:pPr>
              <w:spacing w:after="0" w:line="240" w:lineRule="auto"/>
              <w:jc w:val="right"/>
              <w:rPr>
                <w:rFonts w:eastAsia="Times New Roman"/>
                <w:color w:val="000000"/>
                <w:sz w:val="20"/>
                <w:szCs w:val="20"/>
              </w:rPr>
            </w:pPr>
            <w:r w:rsidRPr="002048E4">
              <w:rPr>
                <w:rFonts w:eastAsia="Times New Roman"/>
                <w:color w:val="000000"/>
                <w:sz w:val="20"/>
                <w:szCs w:val="20"/>
              </w:rPr>
              <w:t>0.639</w:t>
            </w:r>
          </w:p>
        </w:tc>
        <w:tc>
          <w:tcPr>
            <w:tcW w:w="382" w:type="pct"/>
            <w:tcBorders>
              <w:top w:val="nil"/>
              <w:bottom w:val="single" w:sz="4" w:space="0" w:color="auto"/>
            </w:tcBorders>
            <w:shd w:val="clear" w:color="auto" w:fill="auto"/>
            <w:noWrap/>
            <w:hideMark/>
          </w:tcPr>
          <w:p w:rsidR="002048E4" w:rsidRPr="002048E4" w:rsidRDefault="002048E4" w:rsidP="002048E4">
            <w:pPr>
              <w:spacing w:after="0" w:line="240" w:lineRule="auto"/>
              <w:jc w:val="right"/>
              <w:rPr>
                <w:rFonts w:eastAsia="Times New Roman"/>
                <w:color w:val="000000"/>
                <w:sz w:val="20"/>
                <w:szCs w:val="20"/>
              </w:rPr>
            </w:pPr>
            <w:r w:rsidRPr="002048E4">
              <w:rPr>
                <w:rFonts w:eastAsia="Times New Roman"/>
                <w:color w:val="000000"/>
                <w:sz w:val="20"/>
                <w:szCs w:val="20"/>
              </w:rPr>
              <w:t>0.828</w:t>
            </w:r>
          </w:p>
        </w:tc>
        <w:tc>
          <w:tcPr>
            <w:tcW w:w="376" w:type="pct"/>
            <w:tcBorders>
              <w:top w:val="nil"/>
              <w:bottom w:val="single" w:sz="4" w:space="0" w:color="auto"/>
            </w:tcBorders>
            <w:shd w:val="clear" w:color="auto" w:fill="auto"/>
            <w:noWrap/>
            <w:hideMark/>
          </w:tcPr>
          <w:p w:rsidR="002048E4" w:rsidRPr="002048E4" w:rsidRDefault="002048E4" w:rsidP="002048E4">
            <w:pPr>
              <w:spacing w:after="0" w:line="240" w:lineRule="auto"/>
              <w:jc w:val="right"/>
              <w:rPr>
                <w:rFonts w:eastAsia="Times New Roman"/>
                <w:b/>
                <w:color w:val="000000"/>
                <w:sz w:val="20"/>
                <w:szCs w:val="20"/>
              </w:rPr>
            </w:pPr>
            <w:r w:rsidRPr="002048E4">
              <w:rPr>
                <w:rFonts w:eastAsia="Times New Roman"/>
                <w:b/>
                <w:sz w:val="20"/>
                <w:szCs w:val="20"/>
              </w:rPr>
              <w:t>0.833</w:t>
            </w:r>
          </w:p>
        </w:tc>
      </w:tr>
    </w:tbl>
    <w:p w:rsidR="00A7673B" w:rsidRPr="007B2B7F" w:rsidRDefault="00A7673B" w:rsidP="00A7673B">
      <w:pPr>
        <w:spacing w:after="0" w:line="240" w:lineRule="auto"/>
        <w:rPr>
          <w:sz w:val="20"/>
          <w:szCs w:val="24"/>
        </w:rPr>
      </w:pPr>
      <w:r w:rsidRPr="007B2B7F">
        <w:rPr>
          <w:sz w:val="20"/>
          <w:szCs w:val="24"/>
        </w:rPr>
        <w:t xml:space="preserve">The diagonal values are the square roots of AVE and the rest were the inter-construct correlations. </w:t>
      </w:r>
      <w:r>
        <w:rPr>
          <w:sz w:val="20"/>
          <w:szCs w:val="24"/>
        </w:rPr>
        <w:t xml:space="preserve">CR: Composite reliability, AVE: Average variance extracted, SN: Subjective norm, OPT: Optimism, INN: Innovativeness, DIS: Discomfort, INS: Insecurity, PU: Perceived usefulness, PEOU: Perceived ease of use, ATT: Attitude, INT: Intention, PBC: Perceived behavioural control. </w:t>
      </w:r>
    </w:p>
    <w:bookmarkEnd w:id="2"/>
    <w:p w:rsidR="002048E4" w:rsidRDefault="002048E4" w:rsidP="002048E4">
      <w:pPr>
        <w:spacing w:after="0" w:line="240" w:lineRule="auto"/>
        <w:rPr>
          <w:i/>
          <w:sz w:val="24"/>
          <w:szCs w:val="24"/>
        </w:rPr>
      </w:pPr>
    </w:p>
    <w:p w:rsidR="002048E4" w:rsidRPr="002048E4" w:rsidRDefault="002048E4" w:rsidP="002048E4">
      <w:pPr>
        <w:spacing w:after="0" w:line="240" w:lineRule="auto"/>
        <w:rPr>
          <w:i/>
          <w:sz w:val="24"/>
          <w:szCs w:val="24"/>
        </w:rPr>
      </w:pPr>
      <w:r w:rsidRPr="002048E4">
        <w:rPr>
          <w:i/>
          <w:sz w:val="24"/>
          <w:szCs w:val="24"/>
        </w:rPr>
        <w:t xml:space="preserve">Structural Model Equation  </w:t>
      </w:r>
    </w:p>
    <w:p w:rsidR="002048E4" w:rsidRDefault="002048E4" w:rsidP="002048E4">
      <w:pPr>
        <w:spacing w:after="0" w:line="240" w:lineRule="auto"/>
        <w:jc w:val="both"/>
        <w:rPr>
          <w:sz w:val="24"/>
          <w:szCs w:val="24"/>
        </w:rPr>
      </w:pPr>
      <w:r w:rsidRPr="002048E4">
        <w:rPr>
          <w:sz w:val="24"/>
          <w:szCs w:val="24"/>
        </w:rPr>
        <w:t xml:space="preserve">This study examined the direct and indirect relationships among the constructs of the proposed model and tested the fitness between the proposed model and the obtained data. The data was further investigated by employing the SEM. The inter-relationships among the constructs is modelled and the estimated results are reported in Figure </w:t>
      </w:r>
      <w:r>
        <w:rPr>
          <w:sz w:val="24"/>
          <w:szCs w:val="24"/>
        </w:rPr>
        <w:t>3</w:t>
      </w:r>
      <w:r w:rsidRPr="002048E4">
        <w:rPr>
          <w:sz w:val="24"/>
          <w:szCs w:val="24"/>
        </w:rPr>
        <w:t>.</w:t>
      </w:r>
    </w:p>
    <w:p w:rsidR="002048E4" w:rsidRDefault="002048E4" w:rsidP="002048E4">
      <w:pPr>
        <w:spacing w:after="0" w:line="240" w:lineRule="auto"/>
        <w:jc w:val="both"/>
        <w:rPr>
          <w:sz w:val="24"/>
          <w:szCs w:val="24"/>
        </w:rPr>
      </w:pPr>
    </w:p>
    <w:p w:rsidR="002048E4" w:rsidRDefault="002048E4" w:rsidP="002048E4">
      <w:pPr>
        <w:spacing w:after="0" w:line="240" w:lineRule="auto"/>
        <w:jc w:val="both"/>
        <w:rPr>
          <w:sz w:val="24"/>
          <w:szCs w:val="24"/>
        </w:rPr>
      </w:pPr>
      <w:r>
        <w:rPr>
          <w:noProof/>
          <w:sz w:val="24"/>
          <w:szCs w:val="24"/>
        </w:rPr>
        <w:drawing>
          <wp:inline distT="0" distB="0" distL="0" distR="0">
            <wp:extent cx="5760720" cy="403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e3_JHI.tif"/>
                    <pic:cNvPicPr/>
                  </pic:nvPicPr>
                  <pic:blipFill rotWithShape="1">
                    <a:blip r:embed="rId10">
                      <a:extLst>
                        <a:ext uri="{28A0092B-C50C-407E-A947-70E740481C1C}">
                          <a14:useLocalDpi xmlns:a14="http://schemas.microsoft.com/office/drawing/2010/main" val="0"/>
                        </a:ext>
                      </a:extLst>
                    </a:blip>
                    <a:srcRect b="1090"/>
                    <a:stretch/>
                  </pic:blipFill>
                  <pic:spPr bwMode="auto">
                    <a:xfrm>
                      <a:off x="0" y="0"/>
                      <a:ext cx="5760720" cy="4030980"/>
                    </a:xfrm>
                    <a:prstGeom prst="rect">
                      <a:avLst/>
                    </a:prstGeom>
                    <a:ln>
                      <a:noFill/>
                    </a:ln>
                    <a:extLst>
                      <a:ext uri="{53640926-AAD7-44D8-BBD7-CCE9431645EC}">
                        <a14:shadowObscured xmlns:a14="http://schemas.microsoft.com/office/drawing/2010/main"/>
                      </a:ext>
                    </a:extLst>
                  </pic:spPr>
                </pic:pic>
              </a:graphicData>
            </a:graphic>
          </wp:inline>
        </w:drawing>
      </w:r>
    </w:p>
    <w:p w:rsidR="002048E4" w:rsidRDefault="002048E4" w:rsidP="002048E4">
      <w:pPr>
        <w:spacing w:after="0" w:line="240" w:lineRule="auto"/>
        <w:jc w:val="center"/>
        <w:rPr>
          <w:sz w:val="24"/>
          <w:szCs w:val="24"/>
        </w:rPr>
      </w:pPr>
      <w:r w:rsidRPr="002048E4">
        <w:rPr>
          <w:sz w:val="20"/>
          <w:szCs w:val="24"/>
        </w:rPr>
        <w:t>Figure 3. The structural model for telecardiology readiness and acceptance in Malaysia</w:t>
      </w:r>
    </w:p>
    <w:p w:rsidR="002048E4" w:rsidRDefault="002048E4" w:rsidP="002048E4">
      <w:pPr>
        <w:spacing w:after="0" w:line="240" w:lineRule="auto"/>
        <w:jc w:val="both"/>
        <w:rPr>
          <w:sz w:val="24"/>
          <w:szCs w:val="24"/>
        </w:rPr>
      </w:pPr>
    </w:p>
    <w:p w:rsidR="002048E4" w:rsidRDefault="002048E4" w:rsidP="002048E4">
      <w:pPr>
        <w:spacing w:after="0" w:line="240" w:lineRule="auto"/>
        <w:ind w:firstLine="708"/>
        <w:jc w:val="both"/>
        <w:rPr>
          <w:sz w:val="24"/>
          <w:szCs w:val="24"/>
        </w:rPr>
      </w:pPr>
      <w:r w:rsidRPr="002048E4">
        <w:rPr>
          <w:sz w:val="24"/>
          <w:szCs w:val="24"/>
        </w:rPr>
        <w:t xml:space="preserve">The structural model indicated a good and acceptable fit based on the results (RMSEA = .058 &lt; 0.08; GFI = .841 &gt; .80; TLI = .909 &gt;.90; CFI = .916 &gt; .90, Chi-square/df = 2.438 &lt; 3). The </w:t>
      </w:r>
      <w:r w:rsidRPr="002048E4">
        <w:rPr>
          <w:sz w:val="24"/>
          <w:szCs w:val="24"/>
        </w:rPr>
        <w:lastRenderedPageBreak/>
        <w:t>value of R</w:t>
      </w:r>
      <w:r w:rsidRPr="00F43528">
        <w:rPr>
          <w:sz w:val="24"/>
          <w:szCs w:val="24"/>
          <w:vertAlign w:val="superscript"/>
        </w:rPr>
        <w:t>2</w:t>
      </w:r>
      <w:r w:rsidRPr="002048E4">
        <w:rPr>
          <w:sz w:val="24"/>
          <w:szCs w:val="24"/>
        </w:rPr>
        <w:t xml:space="preserve"> for the model obtained was 0.65, indicative of its ability to explain 65% of the total variance in the intention of telecardiology usage by including certain exogenous constructs, namely attitude, subjective norm and perceived behavioural control in the model.</w:t>
      </w:r>
    </w:p>
    <w:p w:rsidR="002048E4" w:rsidRDefault="002048E4" w:rsidP="002048E4">
      <w:pPr>
        <w:spacing w:after="0" w:line="240" w:lineRule="auto"/>
        <w:ind w:firstLine="708"/>
        <w:jc w:val="both"/>
        <w:rPr>
          <w:sz w:val="24"/>
          <w:szCs w:val="24"/>
        </w:rPr>
      </w:pPr>
      <w:bookmarkStart w:id="3" w:name="_GoBack"/>
      <w:bookmarkEnd w:id="3"/>
    </w:p>
    <w:p w:rsidR="002048E4" w:rsidRPr="002048E4" w:rsidRDefault="002048E4" w:rsidP="002048E4">
      <w:pPr>
        <w:spacing w:after="0" w:line="240" w:lineRule="auto"/>
        <w:jc w:val="center"/>
        <w:rPr>
          <w:sz w:val="20"/>
          <w:szCs w:val="24"/>
        </w:rPr>
      </w:pPr>
      <w:bookmarkStart w:id="4" w:name="_Hlk17286984"/>
      <w:r w:rsidRPr="002048E4">
        <w:rPr>
          <w:sz w:val="20"/>
          <w:szCs w:val="24"/>
        </w:rPr>
        <w:t>Table 4. Path Coefficients for Direct Effect</w:t>
      </w:r>
    </w:p>
    <w:tbl>
      <w:tblPr>
        <w:tblW w:w="5000" w:type="pct"/>
        <w:jc w:val="center"/>
        <w:tblBorders>
          <w:top w:val="single" w:sz="4" w:space="0" w:color="7F7F7F"/>
          <w:bottom w:val="single" w:sz="4" w:space="0" w:color="7F7F7F"/>
        </w:tblBorders>
        <w:tblLook w:val="04A0" w:firstRow="1" w:lastRow="0" w:firstColumn="1" w:lastColumn="0" w:noHBand="0" w:noVBand="1"/>
      </w:tblPr>
      <w:tblGrid>
        <w:gridCol w:w="1239"/>
        <w:gridCol w:w="1849"/>
        <w:gridCol w:w="1029"/>
        <w:gridCol w:w="751"/>
        <w:gridCol w:w="844"/>
        <w:gridCol w:w="731"/>
        <w:gridCol w:w="1424"/>
        <w:gridCol w:w="1205"/>
      </w:tblGrid>
      <w:tr w:rsidR="002048E4" w:rsidRPr="002048E4" w:rsidTr="00A7673B">
        <w:trPr>
          <w:jc w:val="center"/>
        </w:trPr>
        <w:tc>
          <w:tcPr>
            <w:tcW w:w="683" w:type="pct"/>
            <w:tcBorders>
              <w:bottom w:val="single" w:sz="4" w:space="0" w:color="auto"/>
            </w:tcBorders>
            <w:shd w:val="clear" w:color="auto" w:fill="auto"/>
            <w:vAlign w:val="center"/>
          </w:tcPr>
          <w:p w:rsidR="002048E4" w:rsidRPr="002048E4" w:rsidRDefault="002048E4" w:rsidP="002048E4">
            <w:pPr>
              <w:spacing w:after="0" w:line="240" w:lineRule="auto"/>
              <w:jc w:val="center"/>
              <w:rPr>
                <w:b/>
                <w:bCs/>
                <w:sz w:val="20"/>
                <w:szCs w:val="20"/>
              </w:rPr>
            </w:pPr>
            <w:bookmarkStart w:id="5" w:name="_Hlk26621278"/>
            <w:r w:rsidRPr="002048E4">
              <w:rPr>
                <w:b/>
                <w:bCs/>
                <w:sz w:val="20"/>
                <w:szCs w:val="20"/>
              </w:rPr>
              <w:t>Hypothesis</w:t>
            </w:r>
          </w:p>
        </w:tc>
        <w:tc>
          <w:tcPr>
            <w:tcW w:w="1019" w:type="pct"/>
            <w:tcBorders>
              <w:bottom w:val="single" w:sz="4" w:space="0" w:color="auto"/>
            </w:tcBorders>
            <w:shd w:val="clear" w:color="auto" w:fill="auto"/>
            <w:vAlign w:val="center"/>
          </w:tcPr>
          <w:p w:rsidR="002048E4" w:rsidRPr="002048E4" w:rsidRDefault="002048E4" w:rsidP="002048E4">
            <w:pPr>
              <w:spacing w:after="0" w:line="240" w:lineRule="auto"/>
              <w:jc w:val="center"/>
              <w:rPr>
                <w:b/>
                <w:bCs/>
                <w:sz w:val="20"/>
                <w:szCs w:val="20"/>
              </w:rPr>
            </w:pPr>
          </w:p>
        </w:tc>
        <w:tc>
          <w:tcPr>
            <w:tcW w:w="567" w:type="pct"/>
            <w:tcBorders>
              <w:bottom w:val="single" w:sz="4" w:space="0" w:color="auto"/>
            </w:tcBorders>
            <w:shd w:val="clear" w:color="auto" w:fill="auto"/>
            <w:vAlign w:val="center"/>
            <w:hideMark/>
          </w:tcPr>
          <w:p w:rsidR="002048E4" w:rsidRPr="002048E4" w:rsidRDefault="002048E4" w:rsidP="002048E4">
            <w:pPr>
              <w:spacing w:after="0" w:line="240" w:lineRule="auto"/>
              <w:jc w:val="center"/>
              <w:rPr>
                <w:b/>
                <w:bCs/>
                <w:sz w:val="20"/>
                <w:szCs w:val="20"/>
              </w:rPr>
            </w:pPr>
            <w:r w:rsidRPr="002048E4">
              <w:rPr>
                <w:b/>
                <w:bCs/>
                <w:sz w:val="20"/>
                <w:szCs w:val="20"/>
              </w:rPr>
              <w:t>Estimate</w:t>
            </w:r>
          </w:p>
        </w:tc>
        <w:tc>
          <w:tcPr>
            <w:tcW w:w="414" w:type="pct"/>
            <w:tcBorders>
              <w:bottom w:val="single" w:sz="4" w:space="0" w:color="auto"/>
            </w:tcBorders>
            <w:shd w:val="clear" w:color="auto" w:fill="auto"/>
            <w:vAlign w:val="center"/>
            <w:hideMark/>
          </w:tcPr>
          <w:p w:rsidR="002048E4" w:rsidRPr="002048E4" w:rsidRDefault="002048E4" w:rsidP="002048E4">
            <w:pPr>
              <w:spacing w:after="0" w:line="240" w:lineRule="auto"/>
              <w:jc w:val="center"/>
              <w:rPr>
                <w:b/>
                <w:bCs/>
                <w:sz w:val="20"/>
                <w:szCs w:val="20"/>
              </w:rPr>
            </w:pPr>
            <w:r w:rsidRPr="002048E4">
              <w:rPr>
                <w:b/>
                <w:bCs/>
                <w:sz w:val="20"/>
                <w:szCs w:val="20"/>
              </w:rPr>
              <w:t>S.E.</w:t>
            </w:r>
          </w:p>
        </w:tc>
        <w:tc>
          <w:tcPr>
            <w:tcW w:w="465" w:type="pct"/>
            <w:tcBorders>
              <w:bottom w:val="single" w:sz="4" w:space="0" w:color="auto"/>
            </w:tcBorders>
            <w:shd w:val="clear" w:color="auto" w:fill="auto"/>
            <w:vAlign w:val="center"/>
            <w:hideMark/>
          </w:tcPr>
          <w:p w:rsidR="002048E4" w:rsidRPr="002048E4" w:rsidRDefault="002048E4" w:rsidP="002048E4">
            <w:pPr>
              <w:spacing w:after="0" w:line="240" w:lineRule="auto"/>
              <w:jc w:val="center"/>
              <w:rPr>
                <w:b/>
                <w:bCs/>
                <w:sz w:val="20"/>
                <w:szCs w:val="20"/>
              </w:rPr>
            </w:pPr>
            <w:r w:rsidRPr="002048E4">
              <w:rPr>
                <w:b/>
                <w:bCs/>
                <w:sz w:val="20"/>
                <w:szCs w:val="20"/>
              </w:rPr>
              <w:t>C.R.</w:t>
            </w:r>
          </w:p>
        </w:tc>
        <w:tc>
          <w:tcPr>
            <w:tcW w:w="403" w:type="pct"/>
            <w:tcBorders>
              <w:bottom w:val="single" w:sz="4" w:space="0" w:color="auto"/>
            </w:tcBorders>
            <w:shd w:val="clear" w:color="auto" w:fill="auto"/>
            <w:vAlign w:val="center"/>
            <w:hideMark/>
          </w:tcPr>
          <w:p w:rsidR="002048E4" w:rsidRPr="002048E4" w:rsidRDefault="002048E4" w:rsidP="002048E4">
            <w:pPr>
              <w:spacing w:after="0" w:line="240" w:lineRule="auto"/>
              <w:jc w:val="center"/>
              <w:rPr>
                <w:b/>
                <w:bCs/>
                <w:sz w:val="20"/>
                <w:szCs w:val="20"/>
              </w:rPr>
            </w:pPr>
            <w:r w:rsidRPr="002048E4">
              <w:rPr>
                <w:b/>
                <w:bCs/>
                <w:sz w:val="20"/>
                <w:szCs w:val="20"/>
              </w:rPr>
              <w:t>P</w:t>
            </w:r>
          </w:p>
        </w:tc>
        <w:tc>
          <w:tcPr>
            <w:tcW w:w="785" w:type="pct"/>
            <w:tcBorders>
              <w:bottom w:val="single" w:sz="4" w:space="0" w:color="auto"/>
            </w:tcBorders>
            <w:shd w:val="clear" w:color="auto" w:fill="auto"/>
            <w:vAlign w:val="center"/>
            <w:hideMark/>
          </w:tcPr>
          <w:p w:rsidR="002048E4" w:rsidRPr="002048E4" w:rsidRDefault="002048E4" w:rsidP="002048E4">
            <w:pPr>
              <w:spacing w:after="0" w:line="240" w:lineRule="auto"/>
              <w:jc w:val="center"/>
              <w:rPr>
                <w:b/>
                <w:bCs/>
                <w:sz w:val="20"/>
                <w:szCs w:val="20"/>
              </w:rPr>
            </w:pPr>
            <w:r w:rsidRPr="002048E4">
              <w:rPr>
                <w:b/>
                <w:bCs/>
                <w:sz w:val="20"/>
                <w:szCs w:val="20"/>
              </w:rPr>
              <w:t>Standardized Regression Weight</w:t>
            </w:r>
          </w:p>
        </w:tc>
        <w:tc>
          <w:tcPr>
            <w:tcW w:w="664" w:type="pct"/>
            <w:tcBorders>
              <w:bottom w:val="single" w:sz="4" w:space="0" w:color="auto"/>
            </w:tcBorders>
            <w:shd w:val="clear" w:color="auto" w:fill="auto"/>
            <w:vAlign w:val="center"/>
            <w:hideMark/>
          </w:tcPr>
          <w:p w:rsidR="002048E4" w:rsidRPr="002048E4" w:rsidRDefault="002048E4" w:rsidP="002048E4">
            <w:pPr>
              <w:spacing w:after="0" w:line="240" w:lineRule="auto"/>
              <w:jc w:val="center"/>
              <w:rPr>
                <w:b/>
                <w:bCs/>
                <w:sz w:val="20"/>
                <w:szCs w:val="20"/>
              </w:rPr>
            </w:pPr>
            <w:r w:rsidRPr="002048E4">
              <w:rPr>
                <w:b/>
                <w:bCs/>
                <w:sz w:val="20"/>
                <w:szCs w:val="20"/>
              </w:rPr>
              <w:t>Support</w:t>
            </w:r>
          </w:p>
        </w:tc>
      </w:tr>
      <w:tr w:rsidR="002048E4" w:rsidRPr="002048E4" w:rsidTr="00A7673B">
        <w:trPr>
          <w:jc w:val="center"/>
        </w:trPr>
        <w:tc>
          <w:tcPr>
            <w:tcW w:w="683" w:type="pct"/>
            <w:tcBorders>
              <w:top w:val="single" w:sz="4" w:space="0" w:color="auto"/>
              <w:bottom w:val="nil"/>
            </w:tcBorders>
            <w:shd w:val="clear" w:color="auto" w:fill="auto"/>
            <w:hideMark/>
          </w:tcPr>
          <w:p w:rsidR="002048E4" w:rsidRPr="002048E4" w:rsidRDefault="002048E4" w:rsidP="002048E4">
            <w:pPr>
              <w:spacing w:after="0" w:line="240" w:lineRule="auto"/>
              <w:jc w:val="center"/>
              <w:rPr>
                <w:bCs/>
                <w:sz w:val="20"/>
                <w:szCs w:val="20"/>
                <w:vertAlign w:val="subscript"/>
              </w:rPr>
            </w:pPr>
            <w:r w:rsidRPr="002048E4">
              <w:rPr>
                <w:bCs/>
                <w:sz w:val="20"/>
                <w:szCs w:val="20"/>
              </w:rPr>
              <w:t>H</w:t>
            </w:r>
            <w:r w:rsidRPr="002048E4">
              <w:rPr>
                <w:bCs/>
                <w:sz w:val="20"/>
                <w:szCs w:val="20"/>
                <w:vertAlign w:val="subscript"/>
              </w:rPr>
              <w:t>1</w:t>
            </w:r>
          </w:p>
        </w:tc>
        <w:tc>
          <w:tcPr>
            <w:tcW w:w="1019" w:type="pct"/>
            <w:tcBorders>
              <w:top w:val="single" w:sz="4" w:space="0" w:color="auto"/>
              <w:bottom w:val="nil"/>
            </w:tcBorders>
            <w:shd w:val="clear" w:color="auto" w:fill="auto"/>
            <w:hideMark/>
          </w:tcPr>
          <w:p w:rsidR="002048E4" w:rsidRPr="002048E4" w:rsidRDefault="002048E4" w:rsidP="002048E4">
            <w:pPr>
              <w:spacing w:after="0" w:line="240" w:lineRule="auto"/>
              <w:jc w:val="both"/>
              <w:rPr>
                <w:sz w:val="20"/>
                <w:szCs w:val="20"/>
              </w:rPr>
            </w:pPr>
            <w:r w:rsidRPr="002048E4">
              <w:rPr>
                <w:sz w:val="20"/>
                <w:szCs w:val="20"/>
              </w:rPr>
              <w:t>OPT → PU</w:t>
            </w:r>
          </w:p>
        </w:tc>
        <w:tc>
          <w:tcPr>
            <w:tcW w:w="567" w:type="pct"/>
            <w:tcBorders>
              <w:top w:val="single" w:sz="4" w:space="0" w:color="auto"/>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.537</w:t>
            </w:r>
          </w:p>
        </w:tc>
        <w:tc>
          <w:tcPr>
            <w:tcW w:w="414" w:type="pct"/>
            <w:tcBorders>
              <w:top w:val="single" w:sz="4" w:space="0" w:color="auto"/>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.066</w:t>
            </w:r>
          </w:p>
        </w:tc>
        <w:tc>
          <w:tcPr>
            <w:tcW w:w="465" w:type="pct"/>
            <w:tcBorders>
              <w:top w:val="single" w:sz="4" w:space="0" w:color="auto"/>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8.176</w:t>
            </w:r>
          </w:p>
        </w:tc>
        <w:tc>
          <w:tcPr>
            <w:tcW w:w="403" w:type="pct"/>
            <w:tcBorders>
              <w:top w:val="single" w:sz="4" w:space="0" w:color="auto"/>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w:t>
            </w:r>
          </w:p>
        </w:tc>
        <w:tc>
          <w:tcPr>
            <w:tcW w:w="785" w:type="pct"/>
            <w:tcBorders>
              <w:top w:val="single" w:sz="4" w:space="0" w:color="auto"/>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.455</w:t>
            </w:r>
          </w:p>
        </w:tc>
        <w:tc>
          <w:tcPr>
            <w:tcW w:w="664" w:type="pct"/>
            <w:tcBorders>
              <w:top w:val="single" w:sz="4" w:space="0" w:color="auto"/>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Yes</w:t>
            </w:r>
          </w:p>
        </w:tc>
      </w:tr>
      <w:tr w:rsidR="002048E4" w:rsidRPr="002048E4" w:rsidTr="00A7673B">
        <w:trPr>
          <w:jc w:val="center"/>
        </w:trPr>
        <w:tc>
          <w:tcPr>
            <w:tcW w:w="683" w:type="pct"/>
            <w:tcBorders>
              <w:top w:val="nil"/>
              <w:bottom w:val="nil"/>
            </w:tcBorders>
            <w:shd w:val="clear" w:color="auto" w:fill="auto"/>
            <w:hideMark/>
          </w:tcPr>
          <w:p w:rsidR="002048E4" w:rsidRPr="002048E4" w:rsidRDefault="002048E4" w:rsidP="002048E4">
            <w:pPr>
              <w:spacing w:after="0" w:line="240" w:lineRule="auto"/>
              <w:jc w:val="center"/>
              <w:rPr>
                <w:bCs/>
                <w:sz w:val="20"/>
                <w:szCs w:val="20"/>
                <w:vertAlign w:val="subscript"/>
              </w:rPr>
            </w:pPr>
            <w:r w:rsidRPr="002048E4">
              <w:rPr>
                <w:bCs/>
                <w:sz w:val="20"/>
                <w:szCs w:val="20"/>
              </w:rPr>
              <w:t>H</w:t>
            </w:r>
            <w:r w:rsidRPr="002048E4">
              <w:rPr>
                <w:bCs/>
                <w:sz w:val="20"/>
                <w:szCs w:val="20"/>
                <w:vertAlign w:val="subscript"/>
              </w:rPr>
              <w:t>2</w:t>
            </w:r>
          </w:p>
        </w:tc>
        <w:tc>
          <w:tcPr>
            <w:tcW w:w="1019" w:type="pct"/>
            <w:tcBorders>
              <w:top w:val="nil"/>
              <w:bottom w:val="nil"/>
            </w:tcBorders>
            <w:shd w:val="clear" w:color="auto" w:fill="auto"/>
            <w:hideMark/>
          </w:tcPr>
          <w:p w:rsidR="002048E4" w:rsidRPr="002048E4" w:rsidRDefault="002048E4" w:rsidP="002048E4">
            <w:pPr>
              <w:spacing w:after="0" w:line="240" w:lineRule="auto"/>
              <w:jc w:val="both"/>
              <w:rPr>
                <w:sz w:val="20"/>
                <w:szCs w:val="20"/>
              </w:rPr>
            </w:pPr>
            <w:r w:rsidRPr="002048E4">
              <w:rPr>
                <w:sz w:val="20"/>
                <w:szCs w:val="20"/>
              </w:rPr>
              <w:t>OPT → PEOU</w:t>
            </w:r>
          </w:p>
        </w:tc>
        <w:tc>
          <w:tcPr>
            <w:tcW w:w="567"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.451</w:t>
            </w:r>
          </w:p>
        </w:tc>
        <w:tc>
          <w:tcPr>
            <w:tcW w:w="414"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.073</w:t>
            </w:r>
          </w:p>
        </w:tc>
        <w:tc>
          <w:tcPr>
            <w:tcW w:w="465"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6.138</w:t>
            </w:r>
          </w:p>
        </w:tc>
        <w:tc>
          <w:tcPr>
            <w:tcW w:w="403"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w:t>
            </w:r>
          </w:p>
        </w:tc>
        <w:tc>
          <w:tcPr>
            <w:tcW w:w="785"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.352</w:t>
            </w:r>
          </w:p>
        </w:tc>
        <w:tc>
          <w:tcPr>
            <w:tcW w:w="664"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Yes</w:t>
            </w:r>
          </w:p>
        </w:tc>
      </w:tr>
      <w:tr w:rsidR="002048E4" w:rsidRPr="002048E4" w:rsidTr="00A7673B">
        <w:trPr>
          <w:jc w:val="center"/>
        </w:trPr>
        <w:tc>
          <w:tcPr>
            <w:tcW w:w="683" w:type="pct"/>
            <w:tcBorders>
              <w:top w:val="nil"/>
              <w:bottom w:val="nil"/>
            </w:tcBorders>
            <w:shd w:val="clear" w:color="auto" w:fill="auto"/>
            <w:hideMark/>
          </w:tcPr>
          <w:p w:rsidR="002048E4" w:rsidRPr="002048E4" w:rsidRDefault="002048E4" w:rsidP="002048E4">
            <w:pPr>
              <w:spacing w:after="0" w:line="240" w:lineRule="auto"/>
              <w:jc w:val="center"/>
              <w:rPr>
                <w:bCs/>
                <w:sz w:val="20"/>
                <w:szCs w:val="20"/>
                <w:vertAlign w:val="subscript"/>
              </w:rPr>
            </w:pPr>
            <w:r w:rsidRPr="002048E4">
              <w:rPr>
                <w:bCs/>
                <w:sz w:val="20"/>
                <w:szCs w:val="20"/>
              </w:rPr>
              <w:t>H</w:t>
            </w:r>
            <w:r w:rsidRPr="002048E4">
              <w:rPr>
                <w:bCs/>
                <w:sz w:val="20"/>
                <w:szCs w:val="20"/>
                <w:vertAlign w:val="subscript"/>
              </w:rPr>
              <w:t>3</w:t>
            </w:r>
          </w:p>
        </w:tc>
        <w:tc>
          <w:tcPr>
            <w:tcW w:w="1019" w:type="pct"/>
            <w:tcBorders>
              <w:top w:val="nil"/>
              <w:bottom w:val="nil"/>
            </w:tcBorders>
            <w:shd w:val="clear" w:color="auto" w:fill="auto"/>
            <w:hideMark/>
          </w:tcPr>
          <w:p w:rsidR="002048E4" w:rsidRPr="002048E4" w:rsidRDefault="002048E4" w:rsidP="002048E4">
            <w:pPr>
              <w:spacing w:after="0" w:line="240" w:lineRule="auto"/>
              <w:jc w:val="both"/>
              <w:rPr>
                <w:sz w:val="20"/>
                <w:szCs w:val="20"/>
              </w:rPr>
            </w:pPr>
            <w:r w:rsidRPr="002048E4">
              <w:rPr>
                <w:sz w:val="20"/>
                <w:szCs w:val="20"/>
              </w:rPr>
              <w:t>INN → PU</w:t>
            </w:r>
          </w:p>
        </w:tc>
        <w:tc>
          <w:tcPr>
            <w:tcW w:w="567"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.038</w:t>
            </w:r>
          </w:p>
        </w:tc>
        <w:tc>
          <w:tcPr>
            <w:tcW w:w="414"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.044</w:t>
            </w:r>
          </w:p>
        </w:tc>
        <w:tc>
          <w:tcPr>
            <w:tcW w:w="465"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.848</w:t>
            </w:r>
          </w:p>
        </w:tc>
        <w:tc>
          <w:tcPr>
            <w:tcW w:w="403"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.396</w:t>
            </w:r>
          </w:p>
        </w:tc>
        <w:tc>
          <w:tcPr>
            <w:tcW w:w="785"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.037</w:t>
            </w:r>
          </w:p>
        </w:tc>
        <w:tc>
          <w:tcPr>
            <w:tcW w:w="664"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No</w:t>
            </w:r>
          </w:p>
        </w:tc>
      </w:tr>
      <w:tr w:rsidR="002048E4" w:rsidRPr="002048E4" w:rsidTr="00A7673B">
        <w:trPr>
          <w:jc w:val="center"/>
        </w:trPr>
        <w:tc>
          <w:tcPr>
            <w:tcW w:w="683" w:type="pct"/>
            <w:tcBorders>
              <w:top w:val="nil"/>
              <w:bottom w:val="nil"/>
            </w:tcBorders>
            <w:shd w:val="clear" w:color="auto" w:fill="auto"/>
            <w:hideMark/>
          </w:tcPr>
          <w:p w:rsidR="002048E4" w:rsidRPr="002048E4" w:rsidRDefault="002048E4" w:rsidP="002048E4">
            <w:pPr>
              <w:spacing w:after="0" w:line="240" w:lineRule="auto"/>
              <w:jc w:val="center"/>
              <w:rPr>
                <w:bCs/>
                <w:sz w:val="20"/>
                <w:szCs w:val="20"/>
                <w:vertAlign w:val="subscript"/>
              </w:rPr>
            </w:pPr>
            <w:r w:rsidRPr="002048E4">
              <w:rPr>
                <w:bCs/>
                <w:sz w:val="20"/>
                <w:szCs w:val="20"/>
              </w:rPr>
              <w:t>H</w:t>
            </w:r>
            <w:r w:rsidRPr="002048E4">
              <w:rPr>
                <w:bCs/>
                <w:sz w:val="20"/>
                <w:szCs w:val="20"/>
                <w:vertAlign w:val="subscript"/>
              </w:rPr>
              <w:t>4</w:t>
            </w:r>
          </w:p>
        </w:tc>
        <w:tc>
          <w:tcPr>
            <w:tcW w:w="1019" w:type="pct"/>
            <w:tcBorders>
              <w:top w:val="nil"/>
              <w:bottom w:val="nil"/>
            </w:tcBorders>
            <w:shd w:val="clear" w:color="auto" w:fill="auto"/>
            <w:hideMark/>
          </w:tcPr>
          <w:p w:rsidR="002048E4" w:rsidRPr="002048E4" w:rsidRDefault="002048E4" w:rsidP="002048E4">
            <w:pPr>
              <w:spacing w:after="0" w:line="240" w:lineRule="auto"/>
              <w:jc w:val="both"/>
              <w:rPr>
                <w:sz w:val="20"/>
                <w:szCs w:val="20"/>
              </w:rPr>
            </w:pPr>
            <w:r w:rsidRPr="002048E4">
              <w:rPr>
                <w:sz w:val="20"/>
                <w:szCs w:val="20"/>
              </w:rPr>
              <w:t>INN → PEOU</w:t>
            </w:r>
          </w:p>
        </w:tc>
        <w:tc>
          <w:tcPr>
            <w:tcW w:w="567"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.324</w:t>
            </w:r>
          </w:p>
        </w:tc>
        <w:tc>
          <w:tcPr>
            <w:tcW w:w="414"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.062</w:t>
            </w:r>
          </w:p>
        </w:tc>
        <w:tc>
          <w:tcPr>
            <w:tcW w:w="465"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5.244</w:t>
            </w:r>
          </w:p>
        </w:tc>
        <w:tc>
          <w:tcPr>
            <w:tcW w:w="403"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w:t>
            </w:r>
          </w:p>
        </w:tc>
        <w:tc>
          <w:tcPr>
            <w:tcW w:w="785"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.294</w:t>
            </w:r>
          </w:p>
        </w:tc>
        <w:tc>
          <w:tcPr>
            <w:tcW w:w="664"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Yes</w:t>
            </w:r>
          </w:p>
        </w:tc>
      </w:tr>
      <w:tr w:rsidR="002048E4" w:rsidRPr="002048E4" w:rsidTr="00A7673B">
        <w:trPr>
          <w:jc w:val="center"/>
        </w:trPr>
        <w:tc>
          <w:tcPr>
            <w:tcW w:w="683" w:type="pct"/>
            <w:tcBorders>
              <w:top w:val="nil"/>
              <w:bottom w:val="nil"/>
            </w:tcBorders>
            <w:shd w:val="clear" w:color="auto" w:fill="auto"/>
            <w:hideMark/>
          </w:tcPr>
          <w:p w:rsidR="002048E4" w:rsidRPr="002048E4" w:rsidRDefault="002048E4" w:rsidP="002048E4">
            <w:pPr>
              <w:spacing w:after="0" w:line="240" w:lineRule="auto"/>
              <w:jc w:val="center"/>
              <w:rPr>
                <w:bCs/>
                <w:sz w:val="20"/>
                <w:szCs w:val="20"/>
                <w:vertAlign w:val="subscript"/>
              </w:rPr>
            </w:pPr>
            <w:r w:rsidRPr="002048E4">
              <w:rPr>
                <w:bCs/>
                <w:sz w:val="20"/>
                <w:szCs w:val="20"/>
              </w:rPr>
              <w:t>H</w:t>
            </w:r>
            <w:r w:rsidRPr="002048E4">
              <w:rPr>
                <w:bCs/>
                <w:sz w:val="20"/>
                <w:szCs w:val="20"/>
                <w:vertAlign w:val="subscript"/>
              </w:rPr>
              <w:t>5</w:t>
            </w:r>
          </w:p>
        </w:tc>
        <w:tc>
          <w:tcPr>
            <w:tcW w:w="1019" w:type="pct"/>
            <w:tcBorders>
              <w:top w:val="nil"/>
              <w:bottom w:val="nil"/>
            </w:tcBorders>
            <w:shd w:val="clear" w:color="auto" w:fill="auto"/>
            <w:hideMark/>
          </w:tcPr>
          <w:p w:rsidR="002048E4" w:rsidRPr="002048E4" w:rsidRDefault="002048E4" w:rsidP="002048E4">
            <w:pPr>
              <w:spacing w:after="0" w:line="240" w:lineRule="auto"/>
              <w:jc w:val="both"/>
              <w:rPr>
                <w:sz w:val="20"/>
                <w:szCs w:val="20"/>
              </w:rPr>
            </w:pPr>
            <w:r w:rsidRPr="002048E4">
              <w:rPr>
                <w:sz w:val="20"/>
                <w:szCs w:val="20"/>
              </w:rPr>
              <w:t>DIS → PU</w:t>
            </w:r>
          </w:p>
        </w:tc>
        <w:tc>
          <w:tcPr>
            <w:tcW w:w="567"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-.052</w:t>
            </w:r>
          </w:p>
        </w:tc>
        <w:tc>
          <w:tcPr>
            <w:tcW w:w="414"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.040</w:t>
            </w:r>
          </w:p>
        </w:tc>
        <w:tc>
          <w:tcPr>
            <w:tcW w:w="465"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-1.305</w:t>
            </w:r>
          </w:p>
        </w:tc>
        <w:tc>
          <w:tcPr>
            <w:tcW w:w="403"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.192</w:t>
            </w:r>
          </w:p>
        </w:tc>
        <w:tc>
          <w:tcPr>
            <w:tcW w:w="785"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-.059</w:t>
            </w:r>
          </w:p>
        </w:tc>
        <w:tc>
          <w:tcPr>
            <w:tcW w:w="664"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No</w:t>
            </w:r>
          </w:p>
        </w:tc>
      </w:tr>
      <w:tr w:rsidR="002048E4" w:rsidRPr="002048E4" w:rsidTr="00A7673B">
        <w:trPr>
          <w:jc w:val="center"/>
        </w:trPr>
        <w:tc>
          <w:tcPr>
            <w:tcW w:w="683" w:type="pct"/>
            <w:tcBorders>
              <w:top w:val="nil"/>
              <w:bottom w:val="nil"/>
            </w:tcBorders>
            <w:shd w:val="clear" w:color="auto" w:fill="auto"/>
            <w:hideMark/>
          </w:tcPr>
          <w:p w:rsidR="002048E4" w:rsidRPr="002048E4" w:rsidRDefault="002048E4" w:rsidP="002048E4">
            <w:pPr>
              <w:spacing w:after="0" w:line="240" w:lineRule="auto"/>
              <w:jc w:val="center"/>
              <w:rPr>
                <w:bCs/>
                <w:sz w:val="20"/>
                <w:szCs w:val="20"/>
                <w:vertAlign w:val="subscript"/>
              </w:rPr>
            </w:pPr>
            <w:r w:rsidRPr="002048E4">
              <w:rPr>
                <w:bCs/>
                <w:sz w:val="20"/>
                <w:szCs w:val="20"/>
              </w:rPr>
              <w:t>H</w:t>
            </w:r>
            <w:r w:rsidRPr="002048E4">
              <w:rPr>
                <w:bCs/>
                <w:sz w:val="20"/>
                <w:szCs w:val="20"/>
                <w:vertAlign w:val="subscript"/>
              </w:rPr>
              <w:t>6</w:t>
            </w:r>
          </w:p>
        </w:tc>
        <w:tc>
          <w:tcPr>
            <w:tcW w:w="1019" w:type="pct"/>
            <w:tcBorders>
              <w:top w:val="nil"/>
              <w:bottom w:val="nil"/>
            </w:tcBorders>
            <w:shd w:val="clear" w:color="auto" w:fill="auto"/>
            <w:hideMark/>
          </w:tcPr>
          <w:p w:rsidR="002048E4" w:rsidRPr="002048E4" w:rsidRDefault="002048E4" w:rsidP="002048E4">
            <w:pPr>
              <w:spacing w:after="0" w:line="240" w:lineRule="auto"/>
              <w:jc w:val="both"/>
              <w:rPr>
                <w:sz w:val="20"/>
                <w:szCs w:val="20"/>
              </w:rPr>
            </w:pPr>
            <w:r w:rsidRPr="002048E4">
              <w:rPr>
                <w:sz w:val="20"/>
                <w:szCs w:val="20"/>
              </w:rPr>
              <w:t>DIS → PEOU</w:t>
            </w:r>
          </w:p>
        </w:tc>
        <w:tc>
          <w:tcPr>
            <w:tcW w:w="567"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.059</w:t>
            </w:r>
          </w:p>
        </w:tc>
        <w:tc>
          <w:tcPr>
            <w:tcW w:w="414"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.056</w:t>
            </w:r>
          </w:p>
        </w:tc>
        <w:tc>
          <w:tcPr>
            <w:tcW w:w="465"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1.058</w:t>
            </w:r>
          </w:p>
        </w:tc>
        <w:tc>
          <w:tcPr>
            <w:tcW w:w="403"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.290</w:t>
            </w:r>
          </w:p>
        </w:tc>
        <w:tc>
          <w:tcPr>
            <w:tcW w:w="785"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.062</w:t>
            </w:r>
          </w:p>
        </w:tc>
        <w:tc>
          <w:tcPr>
            <w:tcW w:w="664"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No</w:t>
            </w:r>
          </w:p>
        </w:tc>
      </w:tr>
      <w:tr w:rsidR="002048E4" w:rsidRPr="002048E4" w:rsidTr="00A7673B">
        <w:trPr>
          <w:jc w:val="center"/>
        </w:trPr>
        <w:tc>
          <w:tcPr>
            <w:tcW w:w="683" w:type="pct"/>
            <w:tcBorders>
              <w:top w:val="nil"/>
              <w:bottom w:val="nil"/>
            </w:tcBorders>
            <w:shd w:val="clear" w:color="auto" w:fill="auto"/>
            <w:hideMark/>
          </w:tcPr>
          <w:p w:rsidR="002048E4" w:rsidRPr="002048E4" w:rsidRDefault="002048E4" w:rsidP="002048E4">
            <w:pPr>
              <w:spacing w:after="0" w:line="240" w:lineRule="auto"/>
              <w:jc w:val="center"/>
              <w:rPr>
                <w:bCs/>
                <w:sz w:val="20"/>
                <w:szCs w:val="20"/>
                <w:vertAlign w:val="subscript"/>
              </w:rPr>
            </w:pPr>
            <w:r w:rsidRPr="002048E4">
              <w:rPr>
                <w:bCs/>
                <w:sz w:val="20"/>
                <w:szCs w:val="20"/>
              </w:rPr>
              <w:t>H</w:t>
            </w:r>
            <w:r w:rsidRPr="002048E4">
              <w:rPr>
                <w:bCs/>
                <w:sz w:val="20"/>
                <w:szCs w:val="20"/>
                <w:vertAlign w:val="subscript"/>
              </w:rPr>
              <w:t>7</w:t>
            </w:r>
          </w:p>
        </w:tc>
        <w:tc>
          <w:tcPr>
            <w:tcW w:w="1019" w:type="pct"/>
            <w:tcBorders>
              <w:top w:val="nil"/>
              <w:bottom w:val="nil"/>
            </w:tcBorders>
            <w:shd w:val="clear" w:color="auto" w:fill="auto"/>
            <w:hideMark/>
          </w:tcPr>
          <w:p w:rsidR="002048E4" w:rsidRPr="002048E4" w:rsidRDefault="002048E4" w:rsidP="002048E4">
            <w:pPr>
              <w:spacing w:after="0" w:line="240" w:lineRule="auto"/>
              <w:jc w:val="both"/>
              <w:rPr>
                <w:sz w:val="20"/>
                <w:szCs w:val="20"/>
              </w:rPr>
            </w:pPr>
            <w:r w:rsidRPr="002048E4">
              <w:rPr>
                <w:sz w:val="20"/>
                <w:szCs w:val="20"/>
              </w:rPr>
              <w:t>INS → PU</w:t>
            </w:r>
          </w:p>
        </w:tc>
        <w:tc>
          <w:tcPr>
            <w:tcW w:w="567"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.317</w:t>
            </w:r>
          </w:p>
        </w:tc>
        <w:tc>
          <w:tcPr>
            <w:tcW w:w="414"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.042</w:t>
            </w:r>
          </w:p>
        </w:tc>
        <w:tc>
          <w:tcPr>
            <w:tcW w:w="465"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7.606</w:t>
            </w:r>
          </w:p>
        </w:tc>
        <w:tc>
          <w:tcPr>
            <w:tcW w:w="403"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w:t>
            </w:r>
          </w:p>
        </w:tc>
        <w:tc>
          <w:tcPr>
            <w:tcW w:w="785"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.358</w:t>
            </w:r>
          </w:p>
        </w:tc>
        <w:tc>
          <w:tcPr>
            <w:tcW w:w="664"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Yes</w:t>
            </w:r>
          </w:p>
        </w:tc>
      </w:tr>
      <w:tr w:rsidR="002048E4" w:rsidRPr="002048E4" w:rsidTr="00A7673B">
        <w:trPr>
          <w:jc w:val="center"/>
        </w:trPr>
        <w:tc>
          <w:tcPr>
            <w:tcW w:w="683" w:type="pct"/>
            <w:tcBorders>
              <w:top w:val="nil"/>
              <w:bottom w:val="nil"/>
            </w:tcBorders>
            <w:shd w:val="clear" w:color="auto" w:fill="auto"/>
            <w:hideMark/>
          </w:tcPr>
          <w:p w:rsidR="002048E4" w:rsidRPr="002048E4" w:rsidRDefault="002048E4" w:rsidP="002048E4">
            <w:pPr>
              <w:spacing w:after="0" w:line="240" w:lineRule="auto"/>
              <w:jc w:val="center"/>
              <w:rPr>
                <w:bCs/>
                <w:sz w:val="20"/>
                <w:szCs w:val="20"/>
              </w:rPr>
            </w:pPr>
            <w:r w:rsidRPr="002048E4">
              <w:rPr>
                <w:bCs/>
                <w:sz w:val="20"/>
                <w:szCs w:val="20"/>
              </w:rPr>
              <w:t>H</w:t>
            </w:r>
            <w:r w:rsidRPr="002048E4">
              <w:rPr>
                <w:bCs/>
                <w:sz w:val="20"/>
                <w:szCs w:val="20"/>
                <w:vertAlign w:val="subscript"/>
              </w:rPr>
              <w:t>8</w:t>
            </w:r>
          </w:p>
        </w:tc>
        <w:tc>
          <w:tcPr>
            <w:tcW w:w="1019" w:type="pct"/>
            <w:tcBorders>
              <w:top w:val="nil"/>
              <w:bottom w:val="nil"/>
            </w:tcBorders>
            <w:shd w:val="clear" w:color="auto" w:fill="auto"/>
            <w:hideMark/>
          </w:tcPr>
          <w:p w:rsidR="002048E4" w:rsidRPr="002048E4" w:rsidRDefault="002048E4" w:rsidP="002048E4">
            <w:pPr>
              <w:spacing w:after="0" w:line="240" w:lineRule="auto"/>
              <w:jc w:val="both"/>
              <w:rPr>
                <w:sz w:val="20"/>
                <w:szCs w:val="20"/>
              </w:rPr>
            </w:pPr>
            <w:r w:rsidRPr="002048E4">
              <w:rPr>
                <w:sz w:val="20"/>
                <w:szCs w:val="20"/>
              </w:rPr>
              <w:t>INS → PEOU</w:t>
            </w:r>
          </w:p>
        </w:tc>
        <w:tc>
          <w:tcPr>
            <w:tcW w:w="567"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.022</w:t>
            </w:r>
          </w:p>
        </w:tc>
        <w:tc>
          <w:tcPr>
            <w:tcW w:w="414"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.051</w:t>
            </w:r>
          </w:p>
        </w:tc>
        <w:tc>
          <w:tcPr>
            <w:tcW w:w="465"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.424</w:t>
            </w:r>
          </w:p>
        </w:tc>
        <w:tc>
          <w:tcPr>
            <w:tcW w:w="403"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.672</w:t>
            </w:r>
          </w:p>
        </w:tc>
        <w:tc>
          <w:tcPr>
            <w:tcW w:w="785"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.032</w:t>
            </w:r>
          </w:p>
        </w:tc>
        <w:tc>
          <w:tcPr>
            <w:tcW w:w="664"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No</w:t>
            </w:r>
          </w:p>
        </w:tc>
      </w:tr>
      <w:tr w:rsidR="002048E4" w:rsidRPr="002048E4" w:rsidTr="00A7673B">
        <w:trPr>
          <w:jc w:val="center"/>
        </w:trPr>
        <w:tc>
          <w:tcPr>
            <w:tcW w:w="683" w:type="pct"/>
            <w:tcBorders>
              <w:top w:val="nil"/>
              <w:bottom w:val="nil"/>
            </w:tcBorders>
            <w:shd w:val="clear" w:color="auto" w:fill="auto"/>
            <w:hideMark/>
          </w:tcPr>
          <w:p w:rsidR="002048E4" w:rsidRPr="002048E4" w:rsidRDefault="002048E4" w:rsidP="002048E4">
            <w:pPr>
              <w:spacing w:after="0" w:line="240" w:lineRule="auto"/>
              <w:jc w:val="center"/>
              <w:rPr>
                <w:bCs/>
                <w:sz w:val="20"/>
                <w:szCs w:val="20"/>
              </w:rPr>
            </w:pPr>
            <w:r w:rsidRPr="002048E4">
              <w:rPr>
                <w:bCs/>
                <w:sz w:val="20"/>
                <w:szCs w:val="20"/>
              </w:rPr>
              <w:t>H</w:t>
            </w:r>
            <w:r w:rsidRPr="002048E4">
              <w:rPr>
                <w:bCs/>
                <w:sz w:val="20"/>
                <w:szCs w:val="20"/>
                <w:vertAlign w:val="subscript"/>
              </w:rPr>
              <w:t>9</w:t>
            </w:r>
          </w:p>
        </w:tc>
        <w:tc>
          <w:tcPr>
            <w:tcW w:w="1019" w:type="pct"/>
            <w:tcBorders>
              <w:top w:val="nil"/>
              <w:bottom w:val="nil"/>
            </w:tcBorders>
            <w:shd w:val="clear" w:color="auto" w:fill="auto"/>
            <w:hideMark/>
          </w:tcPr>
          <w:p w:rsidR="002048E4" w:rsidRPr="002048E4" w:rsidRDefault="002048E4" w:rsidP="002048E4">
            <w:pPr>
              <w:spacing w:after="0" w:line="240" w:lineRule="auto"/>
              <w:jc w:val="both"/>
              <w:rPr>
                <w:sz w:val="20"/>
                <w:szCs w:val="20"/>
              </w:rPr>
            </w:pPr>
            <w:r w:rsidRPr="002048E4">
              <w:rPr>
                <w:sz w:val="20"/>
                <w:szCs w:val="20"/>
              </w:rPr>
              <w:t>PEOU → PU</w:t>
            </w:r>
          </w:p>
        </w:tc>
        <w:tc>
          <w:tcPr>
            <w:tcW w:w="567"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.313</w:t>
            </w:r>
          </w:p>
        </w:tc>
        <w:tc>
          <w:tcPr>
            <w:tcW w:w="414"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.045</w:t>
            </w:r>
          </w:p>
        </w:tc>
        <w:tc>
          <w:tcPr>
            <w:tcW w:w="465"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6.900</w:t>
            </w:r>
          </w:p>
        </w:tc>
        <w:tc>
          <w:tcPr>
            <w:tcW w:w="403"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w:t>
            </w:r>
          </w:p>
        </w:tc>
        <w:tc>
          <w:tcPr>
            <w:tcW w:w="785"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.340</w:t>
            </w:r>
          </w:p>
        </w:tc>
        <w:tc>
          <w:tcPr>
            <w:tcW w:w="664"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Yes</w:t>
            </w:r>
          </w:p>
        </w:tc>
      </w:tr>
      <w:tr w:rsidR="002048E4" w:rsidRPr="002048E4" w:rsidTr="00A7673B">
        <w:trPr>
          <w:jc w:val="center"/>
        </w:trPr>
        <w:tc>
          <w:tcPr>
            <w:tcW w:w="683" w:type="pct"/>
            <w:tcBorders>
              <w:top w:val="nil"/>
              <w:bottom w:val="nil"/>
            </w:tcBorders>
            <w:shd w:val="clear" w:color="auto" w:fill="auto"/>
            <w:hideMark/>
          </w:tcPr>
          <w:p w:rsidR="002048E4" w:rsidRPr="002048E4" w:rsidRDefault="002048E4" w:rsidP="002048E4">
            <w:pPr>
              <w:spacing w:after="0" w:line="240" w:lineRule="auto"/>
              <w:jc w:val="center"/>
              <w:rPr>
                <w:bCs/>
                <w:sz w:val="20"/>
                <w:szCs w:val="20"/>
              </w:rPr>
            </w:pPr>
            <w:r w:rsidRPr="002048E4">
              <w:rPr>
                <w:bCs/>
                <w:sz w:val="20"/>
                <w:szCs w:val="20"/>
              </w:rPr>
              <w:t>H</w:t>
            </w:r>
            <w:r w:rsidRPr="002048E4">
              <w:rPr>
                <w:bCs/>
                <w:sz w:val="20"/>
                <w:szCs w:val="20"/>
                <w:vertAlign w:val="subscript"/>
              </w:rPr>
              <w:t>10</w:t>
            </w:r>
          </w:p>
        </w:tc>
        <w:tc>
          <w:tcPr>
            <w:tcW w:w="1019" w:type="pct"/>
            <w:tcBorders>
              <w:top w:val="nil"/>
              <w:bottom w:val="nil"/>
            </w:tcBorders>
            <w:shd w:val="clear" w:color="auto" w:fill="auto"/>
            <w:hideMark/>
          </w:tcPr>
          <w:p w:rsidR="002048E4" w:rsidRPr="002048E4" w:rsidRDefault="002048E4" w:rsidP="002048E4">
            <w:pPr>
              <w:spacing w:after="0" w:line="240" w:lineRule="auto"/>
              <w:jc w:val="both"/>
              <w:rPr>
                <w:sz w:val="20"/>
                <w:szCs w:val="20"/>
              </w:rPr>
            </w:pPr>
            <w:r w:rsidRPr="002048E4">
              <w:rPr>
                <w:sz w:val="20"/>
                <w:szCs w:val="20"/>
              </w:rPr>
              <w:t>PEOU → ATT</w:t>
            </w:r>
          </w:p>
        </w:tc>
        <w:tc>
          <w:tcPr>
            <w:tcW w:w="567"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.236</w:t>
            </w:r>
          </w:p>
        </w:tc>
        <w:tc>
          <w:tcPr>
            <w:tcW w:w="414"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.063</w:t>
            </w:r>
          </w:p>
        </w:tc>
        <w:tc>
          <w:tcPr>
            <w:tcW w:w="465"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3.732</w:t>
            </w:r>
          </w:p>
        </w:tc>
        <w:tc>
          <w:tcPr>
            <w:tcW w:w="403"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w:t>
            </w:r>
          </w:p>
        </w:tc>
        <w:tc>
          <w:tcPr>
            <w:tcW w:w="785"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.224</w:t>
            </w:r>
          </w:p>
        </w:tc>
        <w:tc>
          <w:tcPr>
            <w:tcW w:w="664"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Yes</w:t>
            </w:r>
          </w:p>
        </w:tc>
      </w:tr>
      <w:tr w:rsidR="002048E4" w:rsidRPr="002048E4" w:rsidTr="00A7673B">
        <w:trPr>
          <w:jc w:val="center"/>
        </w:trPr>
        <w:tc>
          <w:tcPr>
            <w:tcW w:w="683" w:type="pct"/>
            <w:tcBorders>
              <w:top w:val="nil"/>
              <w:bottom w:val="nil"/>
            </w:tcBorders>
            <w:shd w:val="clear" w:color="auto" w:fill="auto"/>
            <w:hideMark/>
          </w:tcPr>
          <w:p w:rsidR="002048E4" w:rsidRPr="002048E4" w:rsidRDefault="002048E4" w:rsidP="002048E4">
            <w:pPr>
              <w:spacing w:after="0" w:line="240" w:lineRule="auto"/>
              <w:jc w:val="center"/>
              <w:rPr>
                <w:bCs/>
                <w:sz w:val="20"/>
                <w:szCs w:val="20"/>
              </w:rPr>
            </w:pPr>
            <w:r w:rsidRPr="002048E4">
              <w:rPr>
                <w:bCs/>
                <w:sz w:val="20"/>
                <w:szCs w:val="20"/>
              </w:rPr>
              <w:t>H</w:t>
            </w:r>
            <w:r w:rsidRPr="002048E4">
              <w:rPr>
                <w:bCs/>
                <w:sz w:val="20"/>
                <w:szCs w:val="20"/>
                <w:vertAlign w:val="subscript"/>
              </w:rPr>
              <w:t>11</w:t>
            </w:r>
          </w:p>
        </w:tc>
        <w:tc>
          <w:tcPr>
            <w:tcW w:w="1019" w:type="pct"/>
            <w:tcBorders>
              <w:top w:val="nil"/>
              <w:bottom w:val="nil"/>
            </w:tcBorders>
            <w:shd w:val="clear" w:color="auto" w:fill="auto"/>
            <w:hideMark/>
          </w:tcPr>
          <w:p w:rsidR="002048E4" w:rsidRPr="002048E4" w:rsidRDefault="002048E4" w:rsidP="002048E4">
            <w:pPr>
              <w:spacing w:after="0" w:line="240" w:lineRule="auto"/>
              <w:jc w:val="both"/>
              <w:rPr>
                <w:sz w:val="20"/>
                <w:szCs w:val="20"/>
              </w:rPr>
            </w:pPr>
            <w:r w:rsidRPr="002048E4">
              <w:rPr>
                <w:sz w:val="20"/>
                <w:szCs w:val="20"/>
              </w:rPr>
              <w:t>PU → ATT</w:t>
            </w:r>
          </w:p>
        </w:tc>
        <w:tc>
          <w:tcPr>
            <w:tcW w:w="567"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.268</w:t>
            </w:r>
          </w:p>
        </w:tc>
        <w:tc>
          <w:tcPr>
            <w:tcW w:w="414"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.067</w:t>
            </w:r>
          </w:p>
        </w:tc>
        <w:tc>
          <w:tcPr>
            <w:tcW w:w="465"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4.017</w:t>
            </w:r>
          </w:p>
        </w:tc>
        <w:tc>
          <w:tcPr>
            <w:tcW w:w="403"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w:t>
            </w:r>
          </w:p>
        </w:tc>
        <w:tc>
          <w:tcPr>
            <w:tcW w:w="785"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.234</w:t>
            </w:r>
          </w:p>
        </w:tc>
        <w:tc>
          <w:tcPr>
            <w:tcW w:w="664"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Yes</w:t>
            </w:r>
          </w:p>
        </w:tc>
      </w:tr>
      <w:tr w:rsidR="002048E4" w:rsidRPr="002048E4" w:rsidTr="00A7673B">
        <w:trPr>
          <w:jc w:val="center"/>
        </w:trPr>
        <w:tc>
          <w:tcPr>
            <w:tcW w:w="683" w:type="pct"/>
            <w:tcBorders>
              <w:top w:val="nil"/>
              <w:bottom w:val="nil"/>
            </w:tcBorders>
            <w:shd w:val="clear" w:color="auto" w:fill="auto"/>
            <w:hideMark/>
          </w:tcPr>
          <w:p w:rsidR="002048E4" w:rsidRPr="002048E4" w:rsidRDefault="002048E4" w:rsidP="002048E4">
            <w:pPr>
              <w:spacing w:after="0" w:line="240" w:lineRule="auto"/>
              <w:jc w:val="center"/>
              <w:rPr>
                <w:bCs/>
                <w:sz w:val="20"/>
                <w:szCs w:val="20"/>
              </w:rPr>
            </w:pPr>
            <w:r w:rsidRPr="002048E4">
              <w:rPr>
                <w:bCs/>
                <w:sz w:val="20"/>
                <w:szCs w:val="20"/>
              </w:rPr>
              <w:t>H</w:t>
            </w:r>
            <w:r w:rsidRPr="002048E4">
              <w:rPr>
                <w:bCs/>
                <w:sz w:val="20"/>
                <w:szCs w:val="20"/>
                <w:vertAlign w:val="subscript"/>
              </w:rPr>
              <w:t>12</w:t>
            </w:r>
          </w:p>
        </w:tc>
        <w:tc>
          <w:tcPr>
            <w:tcW w:w="1019" w:type="pct"/>
            <w:tcBorders>
              <w:top w:val="nil"/>
              <w:bottom w:val="nil"/>
            </w:tcBorders>
            <w:shd w:val="clear" w:color="auto" w:fill="auto"/>
            <w:hideMark/>
          </w:tcPr>
          <w:p w:rsidR="002048E4" w:rsidRPr="002048E4" w:rsidRDefault="002048E4" w:rsidP="002048E4">
            <w:pPr>
              <w:spacing w:after="0" w:line="240" w:lineRule="auto"/>
              <w:jc w:val="both"/>
              <w:rPr>
                <w:sz w:val="20"/>
                <w:szCs w:val="20"/>
              </w:rPr>
            </w:pPr>
            <w:r w:rsidRPr="002048E4">
              <w:rPr>
                <w:sz w:val="20"/>
                <w:szCs w:val="20"/>
              </w:rPr>
              <w:t>PU → INT</w:t>
            </w:r>
          </w:p>
        </w:tc>
        <w:tc>
          <w:tcPr>
            <w:tcW w:w="567"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.095</w:t>
            </w:r>
          </w:p>
        </w:tc>
        <w:tc>
          <w:tcPr>
            <w:tcW w:w="414"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.050</w:t>
            </w:r>
          </w:p>
        </w:tc>
        <w:tc>
          <w:tcPr>
            <w:tcW w:w="465"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1.906</w:t>
            </w:r>
          </w:p>
        </w:tc>
        <w:tc>
          <w:tcPr>
            <w:tcW w:w="403"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.057</w:t>
            </w:r>
          </w:p>
        </w:tc>
        <w:tc>
          <w:tcPr>
            <w:tcW w:w="785"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.083</w:t>
            </w:r>
          </w:p>
        </w:tc>
        <w:tc>
          <w:tcPr>
            <w:tcW w:w="664"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No</w:t>
            </w:r>
          </w:p>
        </w:tc>
      </w:tr>
      <w:tr w:rsidR="002048E4" w:rsidRPr="002048E4" w:rsidTr="00A7673B">
        <w:trPr>
          <w:jc w:val="center"/>
        </w:trPr>
        <w:tc>
          <w:tcPr>
            <w:tcW w:w="683" w:type="pct"/>
            <w:tcBorders>
              <w:top w:val="nil"/>
              <w:bottom w:val="nil"/>
            </w:tcBorders>
            <w:shd w:val="clear" w:color="auto" w:fill="auto"/>
            <w:hideMark/>
          </w:tcPr>
          <w:p w:rsidR="002048E4" w:rsidRPr="002048E4" w:rsidRDefault="002048E4" w:rsidP="002048E4">
            <w:pPr>
              <w:spacing w:after="0" w:line="240" w:lineRule="auto"/>
              <w:jc w:val="center"/>
              <w:rPr>
                <w:bCs/>
                <w:sz w:val="20"/>
                <w:szCs w:val="20"/>
              </w:rPr>
            </w:pPr>
            <w:r w:rsidRPr="002048E4">
              <w:rPr>
                <w:bCs/>
                <w:sz w:val="20"/>
                <w:szCs w:val="20"/>
              </w:rPr>
              <w:t>H</w:t>
            </w:r>
            <w:r w:rsidRPr="002048E4">
              <w:rPr>
                <w:bCs/>
                <w:sz w:val="20"/>
                <w:szCs w:val="20"/>
                <w:vertAlign w:val="subscript"/>
              </w:rPr>
              <w:t>13</w:t>
            </w:r>
          </w:p>
        </w:tc>
        <w:tc>
          <w:tcPr>
            <w:tcW w:w="1019" w:type="pct"/>
            <w:tcBorders>
              <w:top w:val="nil"/>
              <w:bottom w:val="nil"/>
            </w:tcBorders>
            <w:shd w:val="clear" w:color="auto" w:fill="auto"/>
            <w:hideMark/>
          </w:tcPr>
          <w:p w:rsidR="002048E4" w:rsidRPr="002048E4" w:rsidRDefault="002048E4" w:rsidP="002048E4">
            <w:pPr>
              <w:spacing w:after="0" w:line="240" w:lineRule="auto"/>
              <w:jc w:val="both"/>
              <w:rPr>
                <w:sz w:val="20"/>
                <w:szCs w:val="20"/>
              </w:rPr>
            </w:pPr>
            <w:r w:rsidRPr="002048E4">
              <w:rPr>
                <w:sz w:val="20"/>
                <w:szCs w:val="20"/>
              </w:rPr>
              <w:t>PEOU → INT</w:t>
            </w:r>
          </w:p>
        </w:tc>
        <w:tc>
          <w:tcPr>
            <w:tcW w:w="567"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.049</w:t>
            </w:r>
          </w:p>
        </w:tc>
        <w:tc>
          <w:tcPr>
            <w:tcW w:w="414"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.048</w:t>
            </w:r>
          </w:p>
        </w:tc>
        <w:tc>
          <w:tcPr>
            <w:tcW w:w="465"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1.021</w:t>
            </w:r>
          </w:p>
        </w:tc>
        <w:tc>
          <w:tcPr>
            <w:tcW w:w="403"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.307</w:t>
            </w:r>
          </w:p>
        </w:tc>
        <w:tc>
          <w:tcPr>
            <w:tcW w:w="785"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.046</w:t>
            </w:r>
          </w:p>
        </w:tc>
        <w:tc>
          <w:tcPr>
            <w:tcW w:w="664"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No</w:t>
            </w:r>
          </w:p>
        </w:tc>
      </w:tr>
      <w:tr w:rsidR="002048E4" w:rsidRPr="002048E4" w:rsidTr="00A7673B">
        <w:trPr>
          <w:jc w:val="center"/>
        </w:trPr>
        <w:tc>
          <w:tcPr>
            <w:tcW w:w="683" w:type="pct"/>
            <w:tcBorders>
              <w:top w:val="nil"/>
              <w:bottom w:val="nil"/>
            </w:tcBorders>
            <w:shd w:val="clear" w:color="auto" w:fill="auto"/>
            <w:hideMark/>
          </w:tcPr>
          <w:p w:rsidR="002048E4" w:rsidRPr="002048E4" w:rsidRDefault="002048E4" w:rsidP="002048E4">
            <w:pPr>
              <w:spacing w:after="0" w:line="240" w:lineRule="auto"/>
              <w:jc w:val="center"/>
              <w:rPr>
                <w:bCs/>
                <w:sz w:val="20"/>
                <w:szCs w:val="20"/>
              </w:rPr>
            </w:pPr>
            <w:r w:rsidRPr="002048E4">
              <w:rPr>
                <w:bCs/>
                <w:sz w:val="20"/>
                <w:szCs w:val="20"/>
              </w:rPr>
              <w:t>H</w:t>
            </w:r>
            <w:r w:rsidRPr="002048E4">
              <w:rPr>
                <w:bCs/>
                <w:sz w:val="20"/>
                <w:szCs w:val="20"/>
                <w:vertAlign w:val="subscript"/>
              </w:rPr>
              <w:t>14</w:t>
            </w:r>
          </w:p>
        </w:tc>
        <w:tc>
          <w:tcPr>
            <w:tcW w:w="1019" w:type="pct"/>
            <w:tcBorders>
              <w:top w:val="nil"/>
              <w:bottom w:val="nil"/>
            </w:tcBorders>
            <w:shd w:val="clear" w:color="auto" w:fill="auto"/>
            <w:hideMark/>
          </w:tcPr>
          <w:p w:rsidR="002048E4" w:rsidRPr="002048E4" w:rsidRDefault="002048E4" w:rsidP="002048E4">
            <w:pPr>
              <w:spacing w:after="0" w:line="240" w:lineRule="auto"/>
              <w:jc w:val="both"/>
              <w:rPr>
                <w:sz w:val="20"/>
                <w:szCs w:val="20"/>
              </w:rPr>
            </w:pPr>
            <w:r w:rsidRPr="002048E4">
              <w:rPr>
                <w:sz w:val="20"/>
                <w:szCs w:val="20"/>
              </w:rPr>
              <w:t>ATT → INT</w:t>
            </w:r>
          </w:p>
        </w:tc>
        <w:tc>
          <w:tcPr>
            <w:tcW w:w="567"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.177</w:t>
            </w:r>
          </w:p>
        </w:tc>
        <w:tc>
          <w:tcPr>
            <w:tcW w:w="414"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.039</w:t>
            </w:r>
          </w:p>
        </w:tc>
        <w:tc>
          <w:tcPr>
            <w:tcW w:w="465"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4.574</w:t>
            </w:r>
          </w:p>
        </w:tc>
        <w:tc>
          <w:tcPr>
            <w:tcW w:w="403"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w:t>
            </w:r>
          </w:p>
        </w:tc>
        <w:tc>
          <w:tcPr>
            <w:tcW w:w="785"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.176</w:t>
            </w:r>
          </w:p>
        </w:tc>
        <w:tc>
          <w:tcPr>
            <w:tcW w:w="664"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Yes</w:t>
            </w:r>
          </w:p>
        </w:tc>
      </w:tr>
      <w:tr w:rsidR="002048E4" w:rsidRPr="002048E4" w:rsidTr="00A7673B">
        <w:trPr>
          <w:jc w:val="center"/>
        </w:trPr>
        <w:tc>
          <w:tcPr>
            <w:tcW w:w="683" w:type="pct"/>
            <w:tcBorders>
              <w:top w:val="nil"/>
              <w:bottom w:val="nil"/>
            </w:tcBorders>
            <w:shd w:val="clear" w:color="auto" w:fill="auto"/>
            <w:hideMark/>
          </w:tcPr>
          <w:p w:rsidR="002048E4" w:rsidRPr="002048E4" w:rsidRDefault="002048E4" w:rsidP="002048E4">
            <w:pPr>
              <w:spacing w:after="0" w:line="240" w:lineRule="auto"/>
              <w:jc w:val="center"/>
              <w:rPr>
                <w:bCs/>
                <w:sz w:val="20"/>
                <w:szCs w:val="20"/>
              </w:rPr>
            </w:pPr>
            <w:r w:rsidRPr="002048E4">
              <w:rPr>
                <w:bCs/>
                <w:sz w:val="20"/>
                <w:szCs w:val="20"/>
              </w:rPr>
              <w:t>H</w:t>
            </w:r>
            <w:r w:rsidRPr="002048E4">
              <w:rPr>
                <w:bCs/>
                <w:sz w:val="20"/>
                <w:szCs w:val="20"/>
                <w:vertAlign w:val="subscript"/>
              </w:rPr>
              <w:t>15</w:t>
            </w:r>
          </w:p>
        </w:tc>
        <w:tc>
          <w:tcPr>
            <w:tcW w:w="1019" w:type="pct"/>
            <w:tcBorders>
              <w:top w:val="nil"/>
              <w:bottom w:val="nil"/>
            </w:tcBorders>
            <w:shd w:val="clear" w:color="auto" w:fill="auto"/>
            <w:hideMark/>
          </w:tcPr>
          <w:p w:rsidR="002048E4" w:rsidRPr="002048E4" w:rsidRDefault="002048E4" w:rsidP="002048E4">
            <w:pPr>
              <w:spacing w:after="0" w:line="240" w:lineRule="auto"/>
              <w:jc w:val="both"/>
              <w:rPr>
                <w:sz w:val="20"/>
                <w:szCs w:val="20"/>
              </w:rPr>
            </w:pPr>
            <w:r w:rsidRPr="002048E4">
              <w:rPr>
                <w:sz w:val="20"/>
                <w:szCs w:val="20"/>
              </w:rPr>
              <w:t>SN → INT</w:t>
            </w:r>
          </w:p>
        </w:tc>
        <w:tc>
          <w:tcPr>
            <w:tcW w:w="567"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.332</w:t>
            </w:r>
          </w:p>
        </w:tc>
        <w:tc>
          <w:tcPr>
            <w:tcW w:w="414"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.143</w:t>
            </w:r>
          </w:p>
        </w:tc>
        <w:tc>
          <w:tcPr>
            <w:tcW w:w="465"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2.327</w:t>
            </w:r>
          </w:p>
        </w:tc>
        <w:tc>
          <w:tcPr>
            <w:tcW w:w="403"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w:t>
            </w:r>
          </w:p>
        </w:tc>
        <w:tc>
          <w:tcPr>
            <w:tcW w:w="785"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.330</w:t>
            </w:r>
          </w:p>
        </w:tc>
        <w:tc>
          <w:tcPr>
            <w:tcW w:w="664"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Yes</w:t>
            </w:r>
          </w:p>
        </w:tc>
      </w:tr>
      <w:tr w:rsidR="002048E4" w:rsidRPr="002048E4" w:rsidTr="00A7673B">
        <w:trPr>
          <w:jc w:val="center"/>
        </w:trPr>
        <w:tc>
          <w:tcPr>
            <w:tcW w:w="683" w:type="pct"/>
            <w:tcBorders>
              <w:top w:val="nil"/>
              <w:bottom w:val="nil"/>
            </w:tcBorders>
            <w:shd w:val="clear" w:color="auto" w:fill="auto"/>
            <w:hideMark/>
          </w:tcPr>
          <w:p w:rsidR="002048E4" w:rsidRPr="002048E4" w:rsidRDefault="002048E4" w:rsidP="002048E4">
            <w:pPr>
              <w:spacing w:after="0" w:line="240" w:lineRule="auto"/>
              <w:jc w:val="center"/>
              <w:rPr>
                <w:bCs/>
                <w:sz w:val="20"/>
                <w:szCs w:val="20"/>
              </w:rPr>
            </w:pPr>
            <w:r w:rsidRPr="002048E4">
              <w:rPr>
                <w:bCs/>
                <w:sz w:val="20"/>
                <w:szCs w:val="20"/>
              </w:rPr>
              <w:t>H</w:t>
            </w:r>
            <w:r w:rsidRPr="002048E4">
              <w:rPr>
                <w:bCs/>
                <w:sz w:val="20"/>
                <w:szCs w:val="20"/>
                <w:vertAlign w:val="subscript"/>
              </w:rPr>
              <w:t>16</w:t>
            </w:r>
          </w:p>
        </w:tc>
        <w:tc>
          <w:tcPr>
            <w:tcW w:w="1019" w:type="pct"/>
            <w:tcBorders>
              <w:top w:val="nil"/>
              <w:bottom w:val="nil"/>
            </w:tcBorders>
            <w:shd w:val="clear" w:color="auto" w:fill="auto"/>
            <w:hideMark/>
          </w:tcPr>
          <w:p w:rsidR="002048E4" w:rsidRPr="002048E4" w:rsidRDefault="002048E4" w:rsidP="002048E4">
            <w:pPr>
              <w:spacing w:after="0" w:line="240" w:lineRule="auto"/>
              <w:jc w:val="both"/>
              <w:rPr>
                <w:sz w:val="20"/>
                <w:szCs w:val="20"/>
              </w:rPr>
            </w:pPr>
            <w:r w:rsidRPr="002048E4">
              <w:rPr>
                <w:sz w:val="20"/>
                <w:szCs w:val="20"/>
              </w:rPr>
              <w:t>PBC → INT</w:t>
            </w:r>
          </w:p>
        </w:tc>
        <w:tc>
          <w:tcPr>
            <w:tcW w:w="567"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.524</w:t>
            </w:r>
          </w:p>
        </w:tc>
        <w:tc>
          <w:tcPr>
            <w:tcW w:w="414"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.163</w:t>
            </w:r>
          </w:p>
        </w:tc>
        <w:tc>
          <w:tcPr>
            <w:tcW w:w="465"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3.208</w:t>
            </w:r>
          </w:p>
        </w:tc>
        <w:tc>
          <w:tcPr>
            <w:tcW w:w="403"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w:t>
            </w:r>
          </w:p>
        </w:tc>
        <w:tc>
          <w:tcPr>
            <w:tcW w:w="785"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.453</w:t>
            </w:r>
          </w:p>
        </w:tc>
        <w:tc>
          <w:tcPr>
            <w:tcW w:w="664" w:type="pct"/>
            <w:tcBorders>
              <w:top w:val="nil"/>
              <w:bottom w:val="nil"/>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Yes</w:t>
            </w:r>
          </w:p>
        </w:tc>
      </w:tr>
      <w:tr w:rsidR="002048E4" w:rsidRPr="002048E4" w:rsidTr="00A7673B">
        <w:trPr>
          <w:jc w:val="center"/>
        </w:trPr>
        <w:tc>
          <w:tcPr>
            <w:tcW w:w="683" w:type="pct"/>
            <w:tcBorders>
              <w:top w:val="nil"/>
              <w:bottom w:val="single" w:sz="4" w:space="0" w:color="auto"/>
            </w:tcBorders>
            <w:shd w:val="clear" w:color="auto" w:fill="auto"/>
            <w:hideMark/>
          </w:tcPr>
          <w:p w:rsidR="002048E4" w:rsidRPr="002048E4" w:rsidRDefault="002048E4" w:rsidP="002048E4">
            <w:pPr>
              <w:spacing w:after="0" w:line="240" w:lineRule="auto"/>
              <w:jc w:val="center"/>
              <w:rPr>
                <w:bCs/>
                <w:sz w:val="20"/>
                <w:szCs w:val="20"/>
              </w:rPr>
            </w:pPr>
            <w:r w:rsidRPr="002048E4">
              <w:rPr>
                <w:bCs/>
                <w:sz w:val="20"/>
                <w:szCs w:val="20"/>
              </w:rPr>
              <w:t>H</w:t>
            </w:r>
            <w:r w:rsidRPr="002048E4">
              <w:rPr>
                <w:bCs/>
                <w:sz w:val="20"/>
                <w:szCs w:val="20"/>
                <w:vertAlign w:val="subscript"/>
              </w:rPr>
              <w:t>17</w:t>
            </w:r>
          </w:p>
        </w:tc>
        <w:tc>
          <w:tcPr>
            <w:tcW w:w="1019" w:type="pct"/>
            <w:tcBorders>
              <w:top w:val="nil"/>
              <w:bottom w:val="single" w:sz="4" w:space="0" w:color="auto"/>
            </w:tcBorders>
            <w:shd w:val="clear" w:color="auto" w:fill="auto"/>
            <w:hideMark/>
          </w:tcPr>
          <w:p w:rsidR="002048E4" w:rsidRPr="002048E4" w:rsidRDefault="002048E4" w:rsidP="002048E4">
            <w:pPr>
              <w:spacing w:after="0" w:line="240" w:lineRule="auto"/>
              <w:jc w:val="both"/>
              <w:rPr>
                <w:sz w:val="20"/>
                <w:szCs w:val="20"/>
              </w:rPr>
            </w:pPr>
            <w:r w:rsidRPr="002048E4">
              <w:rPr>
                <w:sz w:val="20"/>
                <w:szCs w:val="20"/>
              </w:rPr>
              <w:t>SN → PBC</w:t>
            </w:r>
          </w:p>
        </w:tc>
        <w:tc>
          <w:tcPr>
            <w:tcW w:w="567" w:type="pct"/>
            <w:tcBorders>
              <w:top w:val="nil"/>
              <w:bottom w:val="single" w:sz="4" w:space="0" w:color="auto"/>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.792</w:t>
            </w:r>
          </w:p>
        </w:tc>
        <w:tc>
          <w:tcPr>
            <w:tcW w:w="414" w:type="pct"/>
            <w:tcBorders>
              <w:top w:val="nil"/>
              <w:bottom w:val="single" w:sz="4" w:space="0" w:color="auto"/>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.057</w:t>
            </w:r>
          </w:p>
        </w:tc>
        <w:tc>
          <w:tcPr>
            <w:tcW w:w="465" w:type="pct"/>
            <w:tcBorders>
              <w:top w:val="nil"/>
              <w:bottom w:val="single" w:sz="4" w:space="0" w:color="auto"/>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13.951</w:t>
            </w:r>
          </w:p>
        </w:tc>
        <w:tc>
          <w:tcPr>
            <w:tcW w:w="403" w:type="pct"/>
            <w:tcBorders>
              <w:top w:val="nil"/>
              <w:bottom w:val="single" w:sz="4" w:space="0" w:color="auto"/>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w:t>
            </w:r>
          </w:p>
        </w:tc>
        <w:tc>
          <w:tcPr>
            <w:tcW w:w="785" w:type="pct"/>
            <w:tcBorders>
              <w:top w:val="nil"/>
              <w:bottom w:val="single" w:sz="4" w:space="0" w:color="auto"/>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.911</w:t>
            </w:r>
          </w:p>
        </w:tc>
        <w:tc>
          <w:tcPr>
            <w:tcW w:w="664" w:type="pct"/>
            <w:tcBorders>
              <w:top w:val="nil"/>
              <w:bottom w:val="single" w:sz="4" w:space="0" w:color="auto"/>
            </w:tcBorders>
            <w:shd w:val="clear" w:color="auto" w:fill="auto"/>
            <w:hideMark/>
          </w:tcPr>
          <w:p w:rsidR="002048E4" w:rsidRPr="002048E4" w:rsidRDefault="002048E4" w:rsidP="002048E4">
            <w:pPr>
              <w:spacing w:after="0" w:line="240" w:lineRule="auto"/>
              <w:jc w:val="center"/>
              <w:rPr>
                <w:sz w:val="20"/>
                <w:szCs w:val="20"/>
              </w:rPr>
            </w:pPr>
            <w:r w:rsidRPr="002048E4">
              <w:rPr>
                <w:sz w:val="20"/>
                <w:szCs w:val="20"/>
              </w:rPr>
              <w:t>Yes</w:t>
            </w:r>
          </w:p>
        </w:tc>
      </w:tr>
    </w:tbl>
    <w:bookmarkEnd w:id="5"/>
    <w:p w:rsidR="00A7673B" w:rsidRPr="007B2B7F" w:rsidRDefault="00A7673B" w:rsidP="00A7673B">
      <w:pPr>
        <w:spacing w:after="0" w:line="240" w:lineRule="auto"/>
        <w:rPr>
          <w:sz w:val="20"/>
          <w:szCs w:val="24"/>
        </w:rPr>
      </w:pPr>
      <w:r>
        <w:rPr>
          <w:sz w:val="20"/>
          <w:szCs w:val="24"/>
        </w:rPr>
        <w:t>S.E.: Standard error,</w:t>
      </w:r>
      <w:r w:rsidR="00780B97">
        <w:rPr>
          <w:sz w:val="20"/>
          <w:szCs w:val="24"/>
        </w:rPr>
        <w:t xml:space="preserve"> C.R.: Critical Ratio,</w:t>
      </w:r>
      <w:r>
        <w:rPr>
          <w:sz w:val="20"/>
          <w:szCs w:val="24"/>
        </w:rPr>
        <w:t xml:space="preserve"> </w:t>
      </w:r>
      <w:r>
        <w:rPr>
          <w:sz w:val="20"/>
          <w:szCs w:val="24"/>
        </w:rPr>
        <w:t xml:space="preserve">OPT: Optimism, INN: Innovativeness, DIS: Discomfort, INS: Insecurity, PU: Perceived usefulness, PEOU: Perceived ease of use, ATT: Attitude, INT: Intention, SN: Subjective norm, PBC: Perceived behavioural control. </w:t>
      </w:r>
    </w:p>
    <w:p w:rsidR="002048E4" w:rsidRPr="002048E4" w:rsidRDefault="002048E4" w:rsidP="00A7673B">
      <w:pPr>
        <w:spacing w:after="0" w:line="240" w:lineRule="auto"/>
        <w:rPr>
          <w:sz w:val="20"/>
          <w:szCs w:val="20"/>
        </w:rPr>
      </w:pPr>
      <w:r w:rsidRPr="002048E4">
        <w:rPr>
          <w:sz w:val="20"/>
          <w:szCs w:val="20"/>
        </w:rPr>
        <w:t>*p&lt;0.05, **P&lt;0.01, *** p &lt; .001</w:t>
      </w:r>
    </w:p>
    <w:bookmarkEnd w:id="4"/>
    <w:p w:rsidR="002048E4" w:rsidRDefault="002048E4" w:rsidP="002048E4">
      <w:pPr>
        <w:spacing w:after="0" w:line="240" w:lineRule="auto"/>
        <w:ind w:firstLine="708"/>
        <w:jc w:val="both"/>
        <w:rPr>
          <w:sz w:val="24"/>
          <w:szCs w:val="24"/>
        </w:rPr>
      </w:pPr>
    </w:p>
    <w:p w:rsidR="002048E4" w:rsidRPr="002048E4" w:rsidRDefault="002048E4" w:rsidP="002048E4">
      <w:pPr>
        <w:spacing w:after="0" w:line="240" w:lineRule="auto"/>
        <w:ind w:firstLine="708"/>
        <w:jc w:val="both"/>
        <w:rPr>
          <w:sz w:val="24"/>
          <w:szCs w:val="24"/>
        </w:rPr>
      </w:pPr>
      <w:r w:rsidRPr="002048E4">
        <w:rPr>
          <w:sz w:val="24"/>
          <w:szCs w:val="24"/>
        </w:rPr>
        <w:t xml:space="preserve">The SEM results revealed that three variables (attitude, subjective norm and </w:t>
      </w:r>
      <w:r w:rsidR="00826983">
        <w:rPr>
          <w:sz w:val="24"/>
          <w:szCs w:val="24"/>
        </w:rPr>
        <w:t>p</w:t>
      </w:r>
      <w:r w:rsidR="00826983">
        <w:rPr>
          <w:sz w:val="24"/>
          <w:szCs w:val="24"/>
        </w:rPr>
        <w:t>erceived behavioural control</w:t>
      </w:r>
      <w:r w:rsidRPr="002048E4">
        <w:rPr>
          <w:sz w:val="24"/>
          <w:szCs w:val="24"/>
        </w:rPr>
        <w:t>) posed a significant effect on the respondents’ intention. The results indicated that optimism (</w:t>
      </w:r>
      <w:r w:rsidR="00481B53">
        <w:rPr>
          <w:rFonts w:cstheme="minorHAnsi"/>
          <w:sz w:val="24"/>
          <w:szCs w:val="24"/>
        </w:rPr>
        <w:t>β</w:t>
      </w:r>
      <w:r w:rsidRPr="002048E4">
        <w:rPr>
          <w:sz w:val="24"/>
          <w:szCs w:val="24"/>
        </w:rPr>
        <w:t xml:space="preserve">=.455; </w:t>
      </w:r>
      <w:r w:rsidR="00481B53">
        <w:rPr>
          <w:rFonts w:cstheme="minorHAnsi"/>
          <w:sz w:val="24"/>
          <w:szCs w:val="24"/>
        </w:rPr>
        <w:t>β</w:t>
      </w:r>
      <w:r w:rsidRPr="002048E4">
        <w:rPr>
          <w:sz w:val="24"/>
          <w:szCs w:val="24"/>
        </w:rPr>
        <w:t xml:space="preserve">=.352, p&lt;.001) displayed a positive effect on both technology beliefs of </w:t>
      </w:r>
      <w:r w:rsidR="00826983">
        <w:rPr>
          <w:sz w:val="24"/>
          <w:szCs w:val="24"/>
        </w:rPr>
        <w:t xml:space="preserve">perceived usefulness </w:t>
      </w:r>
      <w:r w:rsidRPr="002048E4">
        <w:rPr>
          <w:sz w:val="24"/>
          <w:szCs w:val="24"/>
        </w:rPr>
        <w:t xml:space="preserve">and </w:t>
      </w:r>
      <w:r w:rsidR="00F43528">
        <w:rPr>
          <w:sz w:val="24"/>
          <w:szCs w:val="24"/>
        </w:rPr>
        <w:t>perceived ease of use</w:t>
      </w:r>
      <w:r w:rsidRPr="002048E4">
        <w:rPr>
          <w:sz w:val="24"/>
          <w:szCs w:val="24"/>
        </w:rPr>
        <w:t>. Innovativeness (</w:t>
      </w:r>
      <w:r w:rsidR="00481B53">
        <w:rPr>
          <w:rFonts w:cstheme="minorHAnsi"/>
          <w:sz w:val="24"/>
          <w:szCs w:val="24"/>
        </w:rPr>
        <w:t>β</w:t>
      </w:r>
      <w:r w:rsidRPr="002048E4">
        <w:rPr>
          <w:sz w:val="24"/>
          <w:szCs w:val="24"/>
        </w:rPr>
        <w:t xml:space="preserve">=.294, p&lt;.001) were found to influence </w:t>
      </w:r>
      <w:r w:rsidR="00F43528">
        <w:rPr>
          <w:sz w:val="24"/>
          <w:szCs w:val="24"/>
        </w:rPr>
        <w:t>perceived ease of use</w:t>
      </w:r>
      <w:r w:rsidRPr="002048E4">
        <w:rPr>
          <w:sz w:val="24"/>
          <w:szCs w:val="24"/>
        </w:rPr>
        <w:t xml:space="preserve"> significantly whereas insecurity (</w:t>
      </w:r>
      <w:r w:rsidR="00481B53">
        <w:rPr>
          <w:rFonts w:cstheme="minorHAnsi"/>
          <w:sz w:val="24"/>
          <w:szCs w:val="24"/>
        </w:rPr>
        <w:t>β</w:t>
      </w:r>
      <w:r w:rsidR="00481B53" w:rsidRPr="002048E4">
        <w:rPr>
          <w:sz w:val="24"/>
          <w:szCs w:val="24"/>
        </w:rPr>
        <w:t>=</w:t>
      </w:r>
      <w:r w:rsidRPr="002048E4">
        <w:rPr>
          <w:sz w:val="24"/>
          <w:szCs w:val="24"/>
        </w:rPr>
        <w:t xml:space="preserve">.358, p&lt;.001) influenced </w:t>
      </w:r>
      <w:r w:rsidR="00826983">
        <w:rPr>
          <w:sz w:val="24"/>
          <w:szCs w:val="24"/>
        </w:rPr>
        <w:t>perceived usefulness</w:t>
      </w:r>
      <w:r w:rsidRPr="002048E4">
        <w:rPr>
          <w:sz w:val="24"/>
          <w:szCs w:val="24"/>
        </w:rPr>
        <w:t xml:space="preserve"> significantly only. </w:t>
      </w:r>
    </w:p>
    <w:p w:rsidR="002048E4" w:rsidRDefault="002048E4" w:rsidP="002048E4">
      <w:pPr>
        <w:spacing w:after="0" w:line="240" w:lineRule="auto"/>
        <w:ind w:firstLine="708"/>
        <w:jc w:val="both"/>
        <w:rPr>
          <w:sz w:val="24"/>
          <w:szCs w:val="24"/>
        </w:rPr>
      </w:pPr>
      <w:r w:rsidRPr="002048E4">
        <w:rPr>
          <w:sz w:val="24"/>
          <w:szCs w:val="24"/>
        </w:rPr>
        <w:t xml:space="preserve">As expected, </w:t>
      </w:r>
      <w:r w:rsidR="00F43528">
        <w:rPr>
          <w:sz w:val="24"/>
          <w:szCs w:val="24"/>
        </w:rPr>
        <w:t>perceived ease of use</w:t>
      </w:r>
      <w:r w:rsidRPr="002048E4">
        <w:rPr>
          <w:sz w:val="24"/>
          <w:szCs w:val="24"/>
        </w:rPr>
        <w:t xml:space="preserve"> (</w:t>
      </w:r>
      <w:r w:rsidR="00481B53">
        <w:rPr>
          <w:rFonts w:cstheme="minorHAnsi"/>
          <w:sz w:val="24"/>
          <w:szCs w:val="24"/>
        </w:rPr>
        <w:t>β</w:t>
      </w:r>
      <w:r w:rsidR="00481B53" w:rsidRPr="002048E4">
        <w:rPr>
          <w:sz w:val="24"/>
          <w:szCs w:val="24"/>
        </w:rPr>
        <w:t>=</w:t>
      </w:r>
      <w:r w:rsidRPr="002048E4">
        <w:rPr>
          <w:sz w:val="24"/>
          <w:szCs w:val="24"/>
        </w:rPr>
        <w:t xml:space="preserve">.340, p&lt;.001) had significant effect on </w:t>
      </w:r>
      <w:r w:rsidR="00826983">
        <w:rPr>
          <w:sz w:val="24"/>
          <w:szCs w:val="24"/>
        </w:rPr>
        <w:t>perceived usefulness</w:t>
      </w:r>
      <w:r w:rsidRPr="002048E4">
        <w:rPr>
          <w:sz w:val="24"/>
          <w:szCs w:val="24"/>
        </w:rPr>
        <w:t xml:space="preserve">. Both </w:t>
      </w:r>
      <w:r w:rsidR="00F43528">
        <w:rPr>
          <w:sz w:val="24"/>
          <w:szCs w:val="24"/>
        </w:rPr>
        <w:t>perceived ease of use</w:t>
      </w:r>
      <w:r w:rsidRPr="002048E4">
        <w:rPr>
          <w:sz w:val="24"/>
          <w:szCs w:val="24"/>
        </w:rPr>
        <w:t xml:space="preserve"> (</w:t>
      </w:r>
      <w:r w:rsidR="00481B53">
        <w:rPr>
          <w:rFonts w:cstheme="minorHAnsi"/>
          <w:sz w:val="24"/>
          <w:szCs w:val="24"/>
        </w:rPr>
        <w:t>β</w:t>
      </w:r>
      <w:r w:rsidR="00481B53" w:rsidRPr="002048E4">
        <w:rPr>
          <w:sz w:val="24"/>
          <w:szCs w:val="24"/>
        </w:rPr>
        <w:t>=</w:t>
      </w:r>
      <w:r w:rsidRPr="002048E4">
        <w:rPr>
          <w:sz w:val="24"/>
          <w:szCs w:val="24"/>
        </w:rPr>
        <w:t xml:space="preserve">.224, p&lt;.001) and </w:t>
      </w:r>
      <w:r w:rsidR="00826983" w:rsidRPr="00826983">
        <w:rPr>
          <w:sz w:val="24"/>
          <w:szCs w:val="24"/>
        </w:rPr>
        <w:t>perceived usefulness</w:t>
      </w:r>
      <w:r w:rsidRPr="002048E4">
        <w:rPr>
          <w:sz w:val="24"/>
          <w:szCs w:val="24"/>
        </w:rPr>
        <w:t xml:space="preserve"> (</w:t>
      </w:r>
      <w:r w:rsidR="00481B53">
        <w:rPr>
          <w:rFonts w:cstheme="minorHAnsi"/>
          <w:sz w:val="24"/>
          <w:szCs w:val="24"/>
        </w:rPr>
        <w:t>β</w:t>
      </w:r>
      <w:r w:rsidR="00481B53" w:rsidRPr="002048E4">
        <w:rPr>
          <w:sz w:val="24"/>
          <w:szCs w:val="24"/>
        </w:rPr>
        <w:t>=</w:t>
      </w:r>
      <w:r w:rsidRPr="002048E4">
        <w:rPr>
          <w:sz w:val="24"/>
          <w:szCs w:val="24"/>
        </w:rPr>
        <w:t>.234, p&lt;.001) were significant determinants of attitude. Intention was found to be significantly determined by attitude (</w:t>
      </w:r>
      <w:r w:rsidR="00481B53">
        <w:rPr>
          <w:rFonts w:cstheme="minorHAnsi"/>
          <w:sz w:val="24"/>
          <w:szCs w:val="24"/>
        </w:rPr>
        <w:t>β</w:t>
      </w:r>
      <w:r w:rsidR="00481B53" w:rsidRPr="002048E4">
        <w:rPr>
          <w:sz w:val="24"/>
          <w:szCs w:val="24"/>
        </w:rPr>
        <w:t>=</w:t>
      </w:r>
      <w:r w:rsidRPr="002048E4">
        <w:rPr>
          <w:sz w:val="24"/>
          <w:szCs w:val="24"/>
        </w:rPr>
        <w:t>.177, p&lt;.001), subjective norm (</w:t>
      </w:r>
      <w:r w:rsidR="00481B53">
        <w:rPr>
          <w:rFonts w:cstheme="minorHAnsi"/>
          <w:sz w:val="24"/>
          <w:szCs w:val="24"/>
        </w:rPr>
        <w:t>β</w:t>
      </w:r>
      <w:r w:rsidR="00481B53" w:rsidRPr="002048E4">
        <w:rPr>
          <w:sz w:val="24"/>
          <w:szCs w:val="24"/>
        </w:rPr>
        <w:t>=</w:t>
      </w:r>
      <w:r w:rsidRPr="002048E4">
        <w:rPr>
          <w:sz w:val="24"/>
          <w:szCs w:val="24"/>
        </w:rPr>
        <w:t xml:space="preserve">.332, p&lt;.05) and </w:t>
      </w:r>
      <w:r w:rsidR="00826983">
        <w:rPr>
          <w:sz w:val="24"/>
          <w:szCs w:val="24"/>
        </w:rPr>
        <w:t>p</w:t>
      </w:r>
      <w:r w:rsidR="00826983" w:rsidRPr="00826983">
        <w:rPr>
          <w:sz w:val="24"/>
          <w:szCs w:val="24"/>
        </w:rPr>
        <w:t>erceived behavioural control</w:t>
      </w:r>
      <w:r w:rsidRPr="002048E4">
        <w:rPr>
          <w:sz w:val="24"/>
          <w:szCs w:val="24"/>
        </w:rPr>
        <w:t xml:space="preserve"> (</w:t>
      </w:r>
      <w:r w:rsidR="00481B53">
        <w:rPr>
          <w:rFonts w:cstheme="minorHAnsi"/>
          <w:sz w:val="24"/>
          <w:szCs w:val="24"/>
        </w:rPr>
        <w:t>β</w:t>
      </w:r>
      <w:r w:rsidR="00481B53" w:rsidRPr="002048E4">
        <w:rPr>
          <w:sz w:val="24"/>
          <w:szCs w:val="24"/>
        </w:rPr>
        <w:t>=</w:t>
      </w:r>
      <w:r w:rsidRPr="002048E4">
        <w:rPr>
          <w:sz w:val="24"/>
          <w:szCs w:val="24"/>
        </w:rPr>
        <w:t>.524, p&lt;.001), which were collectively accounted for 65% of the variance in telecardiology use intention. Moreover, the results also supported that subjective norm (</w:t>
      </w:r>
      <w:r w:rsidR="00481B53">
        <w:rPr>
          <w:rFonts w:cstheme="minorHAnsi"/>
          <w:sz w:val="24"/>
          <w:szCs w:val="24"/>
        </w:rPr>
        <w:t>β</w:t>
      </w:r>
      <w:r w:rsidR="00481B53" w:rsidRPr="002048E4">
        <w:rPr>
          <w:sz w:val="24"/>
          <w:szCs w:val="24"/>
        </w:rPr>
        <w:t>=</w:t>
      </w:r>
      <w:r w:rsidRPr="002048E4">
        <w:rPr>
          <w:sz w:val="24"/>
          <w:szCs w:val="24"/>
        </w:rPr>
        <w:t>.911, p&lt;.001) having a significant effect on subjective norm.</w:t>
      </w:r>
    </w:p>
    <w:p w:rsidR="002048E4" w:rsidRDefault="002048E4" w:rsidP="002048E4">
      <w:pPr>
        <w:spacing w:after="0" w:line="240" w:lineRule="auto"/>
        <w:ind w:firstLine="708"/>
        <w:jc w:val="both"/>
        <w:rPr>
          <w:sz w:val="24"/>
          <w:szCs w:val="24"/>
        </w:rPr>
      </w:pPr>
    </w:p>
    <w:p w:rsidR="00481B53" w:rsidRDefault="005B27AF" w:rsidP="00481B53">
      <w:pPr>
        <w:spacing w:after="0" w:line="240" w:lineRule="auto"/>
        <w:ind w:firstLine="708"/>
        <w:jc w:val="center"/>
        <w:rPr>
          <w:sz w:val="24"/>
          <w:szCs w:val="24"/>
        </w:rPr>
      </w:pPr>
      <w:r>
        <w:rPr>
          <w:sz w:val="24"/>
          <w:szCs w:val="24"/>
        </w:rPr>
        <w:t xml:space="preserve">DISCUSSION </w:t>
      </w:r>
    </w:p>
    <w:p w:rsidR="00481B53" w:rsidRPr="00481B53" w:rsidRDefault="00481B53" w:rsidP="00481B53">
      <w:pPr>
        <w:spacing w:after="0" w:line="240" w:lineRule="auto"/>
        <w:jc w:val="both"/>
        <w:rPr>
          <w:sz w:val="24"/>
          <w:szCs w:val="24"/>
        </w:rPr>
      </w:pPr>
      <w:r w:rsidRPr="00481B53">
        <w:rPr>
          <w:sz w:val="24"/>
          <w:szCs w:val="24"/>
        </w:rPr>
        <w:t>This study aim</w:t>
      </w:r>
      <w:r w:rsidR="00343D24">
        <w:rPr>
          <w:sz w:val="24"/>
          <w:szCs w:val="24"/>
        </w:rPr>
        <w:t>ed</w:t>
      </w:r>
      <w:r w:rsidRPr="00481B53">
        <w:rPr>
          <w:sz w:val="24"/>
          <w:szCs w:val="24"/>
        </w:rPr>
        <w:t xml:space="preserve"> to assess the factors that influence healthcare receivers’ and providers’ intention in telecardiology adoption and determine the underlying causal relationships among the factors using the proposed model. The results indicated that attitude</w:t>
      </w:r>
      <w:r w:rsidR="00343D24">
        <w:rPr>
          <w:sz w:val="24"/>
          <w:szCs w:val="24"/>
        </w:rPr>
        <w:t xml:space="preserve"> towards telecardiology use</w:t>
      </w:r>
      <w:r w:rsidRPr="00481B53">
        <w:rPr>
          <w:sz w:val="24"/>
          <w:szCs w:val="24"/>
        </w:rPr>
        <w:t xml:space="preserve">, subjective norm and </w:t>
      </w:r>
      <w:r w:rsidR="00826983">
        <w:rPr>
          <w:sz w:val="24"/>
          <w:szCs w:val="24"/>
        </w:rPr>
        <w:t>p</w:t>
      </w:r>
      <w:r w:rsidR="00826983" w:rsidRPr="00826983">
        <w:rPr>
          <w:sz w:val="24"/>
          <w:szCs w:val="24"/>
        </w:rPr>
        <w:t>erceived behavioural control</w:t>
      </w:r>
      <w:r w:rsidRPr="00481B53">
        <w:rPr>
          <w:sz w:val="24"/>
          <w:szCs w:val="24"/>
        </w:rPr>
        <w:t xml:space="preserve"> significantly influence the respondents’ intention towards the adoption of telecardiology which are consistent with prior research (Hsieh, 2015; Hung, Ku, &amp; Chien, 2012). Individuals with favorable attitude </w:t>
      </w:r>
      <w:r w:rsidRPr="00481B53">
        <w:rPr>
          <w:sz w:val="24"/>
          <w:szCs w:val="24"/>
        </w:rPr>
        <w:lastRenderedPageBreak/>
        <w:t xml:space="preserve">towards telecardiology are more likely to develop the intention to use the innovation, thus leading to the actual user behavior. The results suggested that the respondents valued the perceptions of the people deemed as important to them in adopting healthcare innovations. </w:t>
      </w:r>
    </w:p>
    <w:p w:rsidR="00481B53" w:rsidRPr="00481B53" w:rsidRDefault="00826983" w:rsidP="00481B53">
      <w:pPr>
        <w:spacing w:after="0" w:line="240" w:lineRule="auto"/>
        <w:ind w:firstLine="708"/>
        <w:jc w:val="both"/>
        <w:rPr>
          <w:sz w:val="24"/>
          <w:szCs w:val="24"/>
        </w:rPr>
      </w:pPr>
      <w:r w:rsidRPr="00826983">
        <w:rPr>
          <w:sz w:val="24"/>
          <w:szCs w:val="24"/>
        </w:rPr>
        <w:t xml:space="preserve">Perceived behavioural control </w:t>
      </w:r>
      <w:r w:rsidR="00481B53" w:rsidRPr="00481B53">
        <w:rPr>
          <w:sz w:val="24"/>
          <w:szCs w:val="24"/>
        </w:rPr>
        <w:t xml:space="preserve">is underlined as the most influential predictor of telecardiology use intention in this model, which is consistent with the findings from previous studies (Hsieh, 2015; Hung et al., 2012). The respondents emphasized the capabilities, such as the financial power and knowledge needed to own or operate the technology. In the context of healthcare, self-efficacy is the judgement of the people regarding their capabilities for utilizing telecardiology, whereas the facilitating conditions refer to the resources available to access and operate telecardiology. Thus, it is important for the implementers to concentrate on providing adequate training and campaigns to expose and educate the potential users about the benefits of telecardiology adoption to promote their acceptance and utilisation of telecardiology in the near future. Fleury and Lee  provided evidence highlighting social norms as the psychosocial factor that influences health behaviours, which is capable of improving the self-efficacy of an individual (Fleury &amp; Lee, 2006). In this study, the results suggested that subjective norm affects the </w:t>
      </w:r>
      <w:r>
        <w:rPr>
          <w:sz w:val="24"/>
          <w:szCs w:val="24"/>
        </w:rPr>
        <w:t>p</w:t>
      </w:r>
      <w:r w:rsidRPr="00826983">
        <w:rPr>
          <w:sz w:val="24"/>
          <w:szCs w:val="24"/>
        </w:rPr>
        <w:t>erceived behavioural control</w:t>
      </w:r>
      <w:r w:rsidR="00481B53" w:rsidRPr="00481B53">
        <w:rPr>
          <w:sz w:val="24"/>
          <w:szCs w:val="24"/>
        </w:rPr>
        <w:t xml:space="preserve"> towards telecardiology use. In other words, the perceptions of the potential user’s peers, co-workers and superiors could significantly affect the users’ belief regarding their own capabilities to utilize telecardiology. </w:t>
      </w:r>
    </w:p>
    <w:p w:rsidR="00481B53" w:rsidRPr="00481B53" w:rsidRDefault="00826983" w:rsidP="00481B53">
      <w:pPr>
        <w:spacing w:after="0" w:line="240" w:lineRule="auto"/>
        <w:ind w:firstLine="708"/>
        <w:jc w:val="both"/>
        <w:rPr>
          <w:sz w:val="24"/>
          <w:szCs w:val="24"/>
        </w:rPr>
      </w:pPr>
      <w:r>
        <w:rPr>
          <w:sz w:val="24"/>
          <w:szCs w:val="24"/>
        </w:rPr>
        <w:t>P</w:t>
      </w:r>
      <w:r w:rsidRPr="00826983">
        <w:rPr>
          <w:sz w:val="24"/>
          <w:szCs w:val="24"/>
        </w:rPr>
        <w:t>erceived usefulness</w:t>
      </w:r>
      <w:r w:rsidR="00481B53" w:rsidRPr="00481B53">
        <w:rPr>
          <w:sz w:val="24"/>
          <w:szCs w:val="24"/>
        </w:rPr>
        <w:t xml:space="preserve"> and </w:t>
      </w:r>
      <w:r w:rsidR="00F43528">
        <w:rPr>
          <w:sz w:val="24"/>
          <w:szCs w:val="24"/>
        </w:rPr>
        <w:t>perceived ease of use</w:t>
      </w:r>
      <w:r w:rsidR="00481B53" w:rsidRPr="00481B53">
        <w:rPr>
          <w:sz w:val="24"/>
          <w:szCs w:val="24"/>
        </w:rPr>
        <w:t xml:space="preserve"> were the significant predictors of the respondents’ attitude towards telecardiology use. The users are more likely to develop favorable attitude towards a technology if they perceive the technology to be beneficial and easy to use. Similar results were also observed in studies which assess the acceptance of healthcare technology (Kim &amp; Park, 2012). Additionally, the results showed that </w:t>
      </w:r>
      <w:r w:rsidR="00F43528">
        <w:rPr>
          <w:sz w:val="24"/>
          <w:szCs w:val="24"/>
        </w:rPr>
        <w:t>perceived ease of use</w:t>
      </w:r>
      <w:r w:rsidR="00481B53" w:rsidRPr="00481B53">
        <w:rPr>
          <w:sz w:val="24"/>
          <w:szCs w:val="24"/>
        </w:rPr>
        <w:t xml:space="preserve"> significantly influence </w:t>
      </w:r>
      <w:r>
        <w:rPr>
          <w:sz w:val="24"/>
          <w:szCs w:val="24"/>
        </w:rPr>
        <w:t>perceived usefulness</w:t>
      </w:r>
      <w:r w:rsidR="00481B53" w:rsidRPr="00481B53">
        <w:rPr>
          <w:sz w:val="24"/>
          <w:szCs w:val="24"/>
        </w:rPr>
        <w:t xml:space="preserve">. This finding aligned with a prior study that indicated that the users perceive the technology is more useful when it is easier to use (Deng, Zhang, &amp; Zhang, 2012). Gefen and Straub highlighted that </w:t>
      </w:r>
      <w:r w:rsidR="00F43528">
        <w:rPr>
          <w:sz w:val="24"/>
          <w:szCs w:val="24"/>
        </w:rPr>
        <w:t>perceived ease of use</w:t>
      </w:r>
      <w:r w:rsidR="00481B53" w:rsidRPr="00481B53">
        <w:rPr>
          <w:sz w:val="24"/>
          <w:szCs w:val="24"/>
        </w:rPr>
        <w:t xml:space="preserve"> captures the intrinsic motivation of using a technology, such as ease of use, ease of learning, flexibility, clarity of the interface and the experiences during the process of using the technology (Gefen &amp; Straub, 2000). This implies </w:t>
      </w:r>
      <w:r w:rsidR="00F43528">
        <w:rPr>
          <w:sz w:val="24"/>
          <w:szCs w:val="24"/>
        </w:rPr>
        <w:t>perceived ease of use</w:t>
      </w:r>
      <w:r w:rsidR="00481B53" w:rsidRPr="00481B53">
        <w:rPr>
          <w:sz w:val="24"/>
          <w:szCs w:val="24"/>
        </w:rPr>
        <w:t xml:space="preserve"> does not contribute directly to the adoption of technology. Instead, it affects technology adoption when the intrinsic characteristics of technology add to the values of the extrinsic aspects of technology which can be examined through </w:t>
      </w:r>
      <w:r>
        <w:rPr>
          <w:sz w:val="24"/>
          <w:szCs w:val="24"/>
        </w:rPr>
        <w:t>perceived usefulness</w:t>
      </w:r>
      <w:r w:rsidR="00481B53" w:rsidRPr="00481B53">
        <w:rPr>
          <w:sz w:val="24"/>
          <w:szCs w:val="24"/>
        </w:rPr>
        <w:t xml:space="preserve">. </w:t>
      </w:r>
    </w:p>
    <w:p w:rsidR="00481B53" w:rsidRPr="00481B53" w:rsidRDefault="00481B53" w:rsidP="00481B53">
      <w:pPr>
        <w:spacing w:after="0" w:line="240" w:lineRule="auto"/>
        <w:ind w:firstLine="708"/>
        <w:jc w:val="both"/>
        <w:rPr>
          <w:sz w:val="24"/>
          <w:szCs w:val="24"/>
        </w:rPr>
      </w:pPr>
      <w:r w:rsidRPr="00481B53">
        <w:rPr>
          <w:sz w:val="24"/>
          <w:szCs w:val="24"/>
        </w:rPr>
        <w:t xml:space="preserve">As mentioned before, much research had investigated the determinants of technology use based on TAM and TPB. However, the personality traits were usually ignored and not integrated into the model of technology acceptance research. Personality traits are the antecedents of the </w:t>
      </w:r>
      <w:r w:rsidR="00826983">
        <w:rPr>
          <w:sz w:val="24"/>
          <w:szCs w:val="24"/>
        </w:rPr>
        <w:t>perceived usefulness</w:t>
      </w:r>
      <w:r w:rsidRPr="00481B53">
        <w:rPr>
          <w:sz w:val="24"/>
          <w:szCs w:val="24"/>
        </w:rPr>
        <w:t xml:space="preserve"> and </w:t>
      </w:r>
      <w:r w:rsidR="00F43528">
        <w:rPr>
          <w:sz w:val="24"/>
          <w:szCs w:val="24"/>
        </w:rPr>
        <w:t>perceived ease of use</w:t>
      </w:r>
      <w:r w:rsidRPr="00481B53">
        <w:rPr>
          <w:sz w:val="24"/>
          <w:szCs w:val="24"/>
        </w:rPr>
        <w:t xml:space="preserve"> (Lin &amp; Chang, 2011; Walczuch, Lemmink, &amp; Streukens, 2007). The results of this study indicated that optimism significantly influenced both determinants, which suggested that an optimist seems to confront telecardiology more openly and perceive the technology as more useful and easier to be used, as they focus less on the potential negative outcomes. Consistent with a prior study, innovativeness is a significant predictor of </w:t>
      </w:r>
      <w:r w:rsidR="00F43528">
        <w:rPr>
          <w:sz w:val="24"/>
          <w:szCs w:val="24"/>
        </w:rPr>
        <w:t>perceived ease of use</w:t>
      </w:r>
      <w:r w:rsidRPr="00481B53">
        <w:rPr>
          <w:sz w:val="24"/>
          <w:szCs w:val="24"/>
        </w:rPr>
        <w:t xml:space="preserve"> but not </w:t>
      </w:r>
      <w:r w:rsidR="00826983">
        <w:rPr>
          <w:sz w:val="24"/>
          <w:szCs w:val="24"/>
        </w:rPr>
        <w:t>perceived usefulness</w:t>
      </w:r>
      <w:r w:rsidRPr="00481B53">
        <w:rPr>
          <w:sz w:val="24"/>
          <w:szCs w:val="24"/>
        </w:rPr>
        <w:t xml:space="preserve"> (Koivisto et al., 2016). The individuals with high innovativeness are often those early adopters, and they have less complex belief sets about new technology (Karahanna, Straub, &amp; Chervany, 1999). Thus, they perceived the technology is easier to be used. Surprisingly, discomfort was found to have positive effect on </w:t>
      </w:r>
      <w:r w:rsidR="00826983">
        <w:rPr>
          <w:sz w:val="24"/>
          <w:szCs w:val="24"/>
        </w:rPr>
        <w:t>perceived usefulness</w:t>
      </w:r>
      <w:r w:rsidRPr="00481B53">
        <w:rPr>
          <w:sz w:val="24"/>
          <w:szCs w:val="24"/>
        </w:rPr>
        <w:t xml:space="preserve">. The users with high level of discomfort often consider technology as complicated and tend to have anxiety in using new technology (Kuo, Liu, &amp; Ma, 2013). However, the result of this study </w:t>
      </w:r>
      <w:r w:rsidRPr="00481B53">
        <w:rPr>
          <w:sz w:val="24"/>
          <w:szCs w:val="24"/>
        </w:rPr>
        <w:lastRenderedPageBreak/>
        <w:t xml:space="preserve">implies that although the respondents worry about the complexity of telecardiology adoption, they also desire its benefits. The anxiety towards the technology is due to telecardiology that is still considered as a new technology in Malaysia, one that the public unfamiliar with. By providing more information related to telecardiology, the potential users could develop positive beliefs towards the technology and eventually minimize their anxiety in telecardiology adoption (Underwood, 2002). </w:t>
      </w:r>
    </w:p>
    <w:p w:rsidR="00481B53" w:rsidRDefault="00481B53" w:rsidP="00481B53">
      <w:pPr>
        <w:spacing w:after="0" w:line="240" w:lineRule="auto"/>
        <w:ind w:firstLine="708"/>
        <w:jc w:val="both"/>
        <w:rPr>
          <w:sz w:val="24"/>
          <w:szCs w:val="24"/>
        </w:rPr>
      </w:pPr>
      <w:r w:rsidRPr="00481B53">
        <w:rPr>
          <w:sz w:val="24"/>
          <w:szCs w:val="24"/>
        </w:rPr>
        <w:t xml:space="preserve">The outbreak of COVID-19 had become a pandemic that affecting about 24 millions people and more than 82,000 lives had lost (as of 28th August 2020) due to the COVID-19 (WHO, 2020). The pandemic had brought huge impacts to the world and affects almost every aspects of people lives. Most of the nations had taken containment measures such as lockdowns, quarantines and imposed movement restrictions to prevent the spread of COVID-19. The provision of public health services had been negatively affected, hospital visitation without urgency, follow-up and non-urgent hospitalization were suspended due to the containment measures of the nations. Thus, the use of telemedicine had become an alternative to face-to-face consultation during the pandemic. Statistics showed that the use of telemedicine service had increased massively in the past few months. During the pandemic, telemedicine platforms users in Singapore rose more than doubled and the number of active users of telemedicine platforms in China, Indonesia and Australia also experienced obvious surge (Kapur &amp; Boulton, 2020). De Simone et al. further indicated that use of telecardiology minimize the risk of exposure to COVID-19 for both healthcare providers and patients as well as maintain the high procedural standards in providing medical services and consultations which are essential in treatment of cardiovascular diseases (De Simone et al., 2020). The current global health crisis had accelerates the adoption of telemedicine and wider use of telemedicine can subsequently leads to higher user acceptance of telecardiology among both healthcare providers and healthcare receivers.  </w:t>
      </w:r>
    </w:p>
    <w:p w:rsidR="002048E4" w:rsidRDefault="002048E4" w:rsidP="002048E4">
      <w:pPr>
        <w:spacing w:after="0" w:line="240" w:lineRule="auto"/>
        <w:ind w:firstLine="708"/>
        <w:rPr>
          <w:sz w:val="24"/>
          <w:szCs w:val="24"/>
        </w:rPr>
      </w:pPr>
    </w:p>
    <w:p w:rsidR="000173C2" w:rsidRDefault="000173C2" w:rsidP="002048E4">
      <w:pPr>
        <w:spacing w:after="0" w:line="240" w:lineRule="auto"/>
        <w:ind w:firstLine="708"/>
        <w:rPr>
          <w:sz w:val="24"/>
          <w:szCs w:val="24"/>
        </w:rPr>
      </w:pPr>
    </w:p>
    <w:p w:rsidR="00E67A03" w:rsidRDefault="00E67A03" w:rsidP="00481B53">
      <w:pPr>
        <w:spacing w:after="0" w:line="240" w:lineRule="auto"/>
        <w:jc w:val="center"/>
        <w:rPr>
          <w:sz w:val="24"/>
          <w:szCs w:val="24"/>
        </w:rPr>
      </w:pPr>
      <w:r w:rsidRPr="00E67A03">
        <w:rPr>
          <w:sz w:val="24"/>
          <w:szCs w:val="24"/>
        </w:rPr>
        <w:t>CONCLUSION</w:t>
      </w:r>
    </w:p>
    <w:p w:rsidR="00481B53" w:rsidRPr="00E67A03" w:rsidRDefault="00481B53" w:rsidP="00481B53">
      <w:pPr>
        <w:spacing w:after="0" w:line="240" w:lineRule="auto"/>
        <w:jc w:val="both"/>
        <w:rPr>
          <w:sz w:val="24"/>
          <w:szCs w:val="24"/>
        </w:rPr>
      </w:pPr>
      <w:r w:rsidRPr="00481B53">
        <w:rPr>
          <w:sz w:val="24"/>
          <w:szCs w:val="24"/>
        </w:rPr>
        <w:t xml:space="preserve">Examination of the potential users’ acceptance is necessary in telecardiology adoption, as the implementation of innovation is a complex process which required a large amount of effort and cost. Implementation failures of the healthcare technology could cost millions and becomes a burden to the nation. This study provided insight into the determinants of telecardiology use intention in Malaysia by testing an integration model of TRI, TAM and TPB using structural equation modelling. The results suggested that attitude, subjective norm and </w:t>
      </w:r>
      <w:r w:rsidR="00826983">
        <w:rPr>
          <w:sz w:val="24"/>
          <w:szCs w:val="24"/>
        </w:rPr>
        <w:t>p</w:t>
      </w:r>
      <w:r w:rsidR="00826983" w:rsidRPr="00826983">
        <w:rPr>
          <w:sz w:val="24"/>
          <w:szCs w:val="24"/>
        </w:rPr>
        <w:t>erceived behavioural control</w:t>
      </w:r>
      <w:r w:rsidRPr="00481B53">
        <w:rPr>
          <w:sz w:val="24"/>
          <w:szCs w:val="24"/>
        </w:rPr>
        <w:t xml:space="preserve"> were the significant predictors of the intention of telecardiology use. Despite the fact that this model explained 65% of the variance, the research model has not accounted for over 30% of the variance. There may be other factors that could be contributed to the remaining variance, and future study is recommended to explore the constructs to gain a better understanding of the intention of telecardiology use. Besides, the results of this study were obtained using cross-sectional, self-reported data which is susceptible to response bias. Moreover, cross-sectional data makes the determination of causality among the construct to be difficult and difficult to assess whether changes in prevalence reflect a trend. From the theoretical point of view, this study contributes to the body of literature and fill the gap of telecardiology acceptance in Malaysia context. The proposed model is an extension of TPB and provides a more comprehensive set of antecedents that better explain the intention to telecardiology application. In addition, this study also provides insight into the determinants that could contribute to the successful implementation </w:t>
      </w:r>
      <w:r w:rsidRPr="00481B53">
        <w:rPr>
          <w:sz w:val="24"/>
          <w:szCs w:val="24"/>
        </w:rPr>
        <w:lastRenderedPageBreak/>
        <w:t>of telecardiology which could assist the implementers and policymakers in designing strategies to promote healthcare technology.</w:t>
      </w:r>
    </w:p>
    <w:p w:rsidR="00E67A03" w:rsidRPr="00E67A03" w:rsidRDefault="00E67A03" w:rsidP="00DB717B">
      <w:pPr>
        <w:spacing w:after="0" w:line="240" w:lineRule="auto"/>
        <w:jc w:val="center"/>
        <w:rPr>
          <w:sz w:val="24"/>
          <w:szCs w:val="24"/>
        </w:rPr>
      </w:pPr>
    </w:p>
    <w:p w:rsidR="00E67A03" w:rsidRDefault="00E67A03" w:rsidP="00DB717B">
      <w:pPr>
        <w:spacing w:after="0" w:line="240" w:lineRule="auto"/>
        <w:jc w:val="center"/>
        <w:rPr>
          <w:sz w:val="24"/>
          <w:szCs w:val="24"/>
        </w:rPr>
      </w:pPr>
      <w:r w:rsidRPr="00E67A03">
        <w:rPr>
          <w:sz w:val="24"/>
          <w:szCs w:val="24"/>
        </w:rPr>
        <w:t xml:space="preserve">ACKNOWLEDGEMENT </w:t>
      </w:r>
    </w:p>
    <w:p w:rsidR="00481B53" w:rsidRPr="00E67A03" w:rsidRDefault="00481B53" w:rsidP="00481B53">
      <w:pPr>
        <w:spacing w:after="0" w:line="240" w:lineRule="auto"/>
        <w:jc w:val="both"/>
        <w:rPr>
          <w:sz w:val="24"/>
          <w:szCs w:val="24"/>
        </w:rPr>
      </w:pPr>
      <w:r>
        <w:rPr>
          <w:sz w:val="24"/>
          <w:szCs w:val="24"/>
        </w:rPr>
        <w:t>The research is supported by the</w:t>
      </w:r>
      <w:r w:rsidRPr="00481B53">
        <w:rPr>
          <w:sz w:val="24"/>
          <w:szCs w:val="24"/>
        </w:rPr>
        <w:t xml:space="preserve"> Ministry of Higher Education (MOHE), Trans Disciplinary Research Grant Scheme (TRGS): PY/2016/06027 cost centre: R.J130000.7831.4L848 (</w:t>
      </w:r>
      <w:hyperlink r:id="rId11" w:history="1">
        <w:r w:rsidRPr="00401E9D">
          <w:rPr>
            <w:rStyle w:val="Hyperlink"/>
            <w:sz w:val="24"/>
            <w:szCs w:val="24"/>
          </w:rPr>
          <w:t>https://mastic.mestecc.gov.my/en/sti-incentives-fund/trans-disciplinary-research-grant-scheme-trgs</w:t>
        </w:r>
      </w:hyperlink>
      <w:r w:rsidRPr="00481B53">
        <w:rPr>
          <w:sz w:val="24"/>
          <w:szCs w:val="24"/>
        </w:rPr>
        <w:t>).</w:t>
      </w:r>
      <w:r>
        <w:rPr>
          <w:sz w:val="24"/>
          <w:szCs w:val="24"/>
        </w:rPr>
        <w:t xml:space="preserve"> </w:t>
      </w:r>
      <w:r w:rsidRPr="00481B53">
        <w:rPr>
          <w:sz w:val="24"/>
          <w:szCs w:val="24"/>
        </w:rPr>
        <w:t xml:space="preserve">The authors </w:t>
      </w:r>
      <w:r>
        <w:rPr>
          <w:sz w:val="24"/>
          <w:szCs w:val="24"/>
        </w:rPr>
        <w:t xml:space="preserve">also </w:t>
      </w:r>
      <w:r w:rsidRPr="00481B53">
        <w:rPr>
          <w:sz w:val="24"/>
          <w:szCs w:val="24"/>
        </w:rPr>
        <w:t>would like to acknowledge and thank the clinical research center staffs of Hospital Sultanah Aminah, Hospital Pakar Sultanah Fatimah, Hospital Serdang, Hospital Queen Elizabeth II and Institut Jantung Negara for their time and participation.</w:t>
      </w:r>
    </w:p>
    <w:p w:rsidR="00E67A03" w:rsidRPr="00E67A03" w:rsidRDefault="00E67A03" w:rsidP="00DB717B">
      <w:pPr>
        <w:spacing w:after="0" w:line="240" w:lineRule="auto"/>
        <w:jc w:val="center"/>
        <w:rPr>
          <w:sz w:val="24"/>
          <w:szCs w:val="24"/>
        </w:rPr>
      </w:pPr>
    </w:p>
    <w:p w:rsidR="00E67A03" w:rsidRPr="00E67A03" w:rsidRDefault="00E67A03" w:rsidP="00DB717B">
      <w:pPr>
        <w:spacing w:after="0" w:line="240" w:lineRule="auto"/>
        <w:jc w:val="center"/>
        <w:rPr>
          <w:sz w:val="24"/>
          <w:szCs w:val="24"/>
        </w:rPr>
      </w:pPr>
      <w:r w:rsidRPr="00E67A03">
        <w:rPr>
          <w:sz w:val="24"/>
          <w:szCs w:val="24"/>
        </w:rPr>
        <w:t>BIODATA</w:t>
      </w:r>
    </w:p>
    <w:p w:rsidR="007E1F10" w:rsidRDefault="00481B53" w:rsidP="00DB717B">
      <w:pPr>
        <w:spacing w:after="0" w:line="240" w:lineRule="auto"/>
        <w:jc w:val="both"/>
        <w:rPr>
          <w:sz w:val="24"/>
          <w:szCs w:val="24"/>
        </w:rPr>
      </w:pPr>
      <w:r>
        <w:rPr>
          <w:i/>
          <w:sz w:val="24"/>
          <w:szCs w:val="24"/>
        </w:rPr>
        <w:t>Yeo Kee Jiar</w:t>
      </w:r>
      <w:r w:rsidR="00DB5D23">
        <w:rPr>
          <w:sz w:val="24"/>
          <w:szCs w:val="24"/>
        </w:rPr>
        <w:t xml:space="preserve"> </w:t>
      </w:r>
      <w:r w:rsidR="00830F88" w:rsidRPr="00830F88">
        <w:rPr>
          <w:sz w:val="24"/>
          <w:szCs w:val="24"/>
        </w:rPr>
        <w:t>is a professor attached to the School of Education at Universiti Teknologi Malaysia in the field of Educational Psychology.</w:t>
      </w:r>
      <w:r w:rsidR="00CC2F81">
        <w:rPr>
          <w:sz w:val="24"/>
          <w:szCs w:val="24"/>
        </w:rPr>
        <w:t xml:space="preserve"> </w:t>
      </w:r>
      <w:r w:rsidR="00CC2F81" w:rsidRPr="00CC2F81">
        <w:rPr>
          <w:sz w:val="24"/>
          <w:szCs w:val="24"/>
        </w:rPr>
        <w:t>Her research interests include educational psychology, language study, early childhood education, and special education.</w:t>
      </w:r>
    </w:p>
    <w:p w:rsidR="00CC2F81" w:rsidRDefault="00CC2F81" w:rsidP="00DB717B">
      <w:pPr>
        <w:spacing w:line="240" w:lineRule="auto"/>
        <w:rPr>
          <w:i/>
          <w:sz w:val="24"/>
          <w:szCs w:val="24"/>
        </w:rPr>
      </w:pPr>
    </w:p>
    <w:p w:rsidR="00CC2F81" w:rsidRDefault="00CC2F81" w:rsidP="00DB717B">
      <w:pPr>
        <w:spacing w:line="240" w:lineRule="auto"/>
        <w:rPr>
          <w:sz w:val="24"/>
          <w:szCs w:val="24"/>
        </w:rPr>
      </w:pPr>
      <w:r>
        <w:rPr>
          <w:i/>
          <w:sz w:val="24"/>
          <w:szCs w:val="24"/>
        </w:rPr>
        <w:t>Lee Shih Hui</w:t>
      </w:r>
      <w:r w:rsidR="00DB717B">
        <w:rPr>
          <w:i/>
          <w:sz w:val="24"/>
          <w:szCs w:val="24"/>
        </w:rPr>
        <w:t xml:space="preserve"> </w:t>
      </w:r>
      <w:r w:rsidR="00DB717B">
        <w:rPr>
          <w:sz w:val="24"/>
          <w:szCs w:val="24"/>
        </w:rPr>
        <w:t xml:space="preserve">is a </w:t>
      </w:r>
      <w:r>
        <w:rPr>
          <w:sz w:val="24"/>
          <w:szCs w:val="24"/>
        </w:rPr>
        <w:t>PhD student</w:t>
      </w:r>
      <w:r w:rsidR="00DB717B">
        <w:rPr>
          <w:sz w:val="24"/>
          <w:szCs w:val="24"/>
        </w:rPr>
        <w:t xml:space="preserve"> at Universi</w:t>
      </w:r>
      <w:r>
        <w:rPr>
          <w:sz w:val="24"/>
          <w:szCs w:val="24"/>
        </w:rPr>
        <w:t xml:space="preserve">ti Teknologi Malaysia. Her research and publication focus on topics related to health education, sexual and reproductive health as well as quantitative research. </w:t>
      </w:r>
    </w:p>
    <w:p w:rsidR="00CC2F81" w:rsidRPr="00CC2F81" w:rsidRDefault="00CC2F81" w:rsidP="00DB717B">
      <w:pPr>
        <w:spacing w:line="240" w:lineRule="auto"/>
        <w:rPr>
          <w:sz w:val="24"/>
          <w:szCs w:val="24"/>
        </w:rPr>
      </w:pPr>
      <w:r w:rsidRPr="00CC2F81">
        <w:rPr>
          <w:i/>
          <w:sz w:val="24"/>
          <w:szCs w:val="24"/>
        </w:rPr>
        <w:t xml:space="preserve">Rania Hussein Ahmed Al-Ashwal </w:t>
      </w:r>
      <w:r>
        <w:rPr>
          <w:sz w:val="24"/>
          <w:szCs w:val="24"/>
        </w:rPr>
        <w:t xml:space="preserve">is a senior lecturer at the School of Biomedical engineering and Health Sciences, Universiti Teknologi Malaysia. Her research interests include health and wellness, medicine, and biomedical sciences. </w:t>
      </w:r>
    </w:p>
    <w:p w:rsidR="00DB5D23" w:rsidRPr="00DB717B" w:rsidRDefault="00DB5D23" w:rsidP="00DB717B">
      <w:pPr>
        <w:spacing w:line="240" w:lineRule="auto"/>
        <w:rPr>
          <w:i/>
          <w:sz w:val="24"/>
          <w:szCs w:val="24"/>
        </w:rPr>
      </w:pPr>
      <w:r w:rsidRPr="00DB717B">
        <w:rPr>
          <w:i/>
          <w:sz w:val="24"/>
          <w:szCs w:val="24"/>
        </w:rPr>
        <w:br w:type="page"/>
      </w:r>
    </w:p>
    <w:p w:rsidR="00CC2F81" w:rsidRDefault="00E67A03" w:rsidP="00CC2F81">
      <w:pPr>
        <w:spacing w:after="0" w:line="240" w:lineRule="auto"/>
        <w:jc w:val="center"/>
        <w:rPr>
          <w:sz w:val="24"/>
          <w:szCs w:val="24"/>
        </w:rPr>
      </w:pPr>
      <w:r w:rsidRPr="00E67A03">
        <w:rPr>
          <w:sz w:val="24"/>
          <w:szCs w:val="24"/>
        </w:rPr>
        <w:lastRenderedPageBreak/>
        <w:t>REFERENCE</w:t>
      </w:r>
      <w:r w:rsidR="002D5C05">
        <w:rPr>
          <w:sz w:val="24"/>
          <w:szCs w:val="24"/>
        </w:rPr>
        <w:t>S</w:t>
      </w:r>
    </w:p>
    <w:bookmarkStart w:id="6" w:name="_Hlk67061490"/>
    <w:p w:rsidR="00CC2F81" w:rsidRPr="00CC2F81" w:rsidRDefault="00CC2F81" w:rsidP="00CC2F81">
      <w:pPr>
        <w:pStyle w:val="EndNoteBibliography"/>
        <w:spacing w:after="0"/>
        <w:ind w:left="450" w:hanging="450"/>
        <w:rPr>
          <w:rFonts w:asciiTheme="minorHAnsi" w:hAnsiTheme="minorHAnsi" w:cstheme="minorHAnsi"/>
          <w:szCs w:val="24"/>
        </w:rPr>
      </w:pPr>
      <w:r w:rsidRPr="00CC2F81">
        <w:rPr>
          <w:rFonts w:asciiTheme="minorHAnsi" w:hAnsiTheme="minorHAnsi" w:cstheme="minorHAnsi"/>
          <w:szCs w:val="24"/>
        </w:rPr>
        <w:fldChar w:fldCharType="begin"/>
      </w:r>
      <w:r w:rsidRPr="00CC2F81">
        <w:rPr>
          <w:rFonts w:asciiTheme="minorHAnsi" w:hAnsiTheme="minorHAnsi" w:cstheme="minorHAnsi"/>
          <w:szCs w:val="24"/>
        </w:rPr>
        <w:instrText xml:space="preserve"> ADDIN EN.REFLIST </w:instrText>
      </w:r>
      <w:r w:rsidRPr="00CC2F81">
        <w:rPr>
          <w:rFonts w:asciiTheme="minorHAnsi" w:hAnsiTheme="minorHAnsi" w:cstheme="minorHAnsi"/>
          <w:szCs w:val="24"/>
        </w:rPr>
        <w:fldChar w:fldCharType="separate"/>
      </w:r>
      <w:r w:rsidRPr="00CC2F81">
        <w:rPr>
          <w:rFonts w:asciiTheme="minorHAnsi" w:hAnsiTheme="minorHAnsi" w:cstheme="minorHAnsi"/>
          <w:szCs w:val="24"/>
        </w:rPr>
        <w:t xml:space="preserve">Ajzen, I. (1991). The theory of planned behavior. </w:t>
      </w:r>
      <w:r w:rsidRPr="00CC2F81">
        <w:rPr>
          <w:rFonts w:asciiTheme="minorHAnsi" w:hAnsiTheme="minorHAnsi" w:cstheme="minorHAnsi"/>
          <w:i/>
          <w:szCs w:val="24"/>
        </w:rPr>
        <w:t>Organizational Behavior and Human Decision Processes, 50</w:t>
      </w:r>
      <w:r w:rsidRPr="00CC2F81">
        <w:rPr>
          <w:rFonts w:asciiTheme="minorHAnsi" w:hAnsiTheme="minorHAnsi" w:cstheme="minorHAnsi"/>
          <w:szCs w:val="24"/>
        </w:rPr>
        <w:t>(2), 179-211. doi:</w:t>
      </w:r>
      <w:hyperlink r:id="rId12" w:history="1">
        <w:r w:rsidRPr="00CC2F81">
          <w:rPr>
            <w:rStyle w:val="Hyperlink"/>
            <w:rFonts w:asciiTheme="minorHAnsi" w:hAnsiTheme="minorHAnsi" w:cstheme="minorHAnsi"/>
            <w:szCs w:val="24"/>
          </w:rPr>
          <w:t>https://doi.org/10.1016/0749-5978(91)90020-T</w:t>
        </w:r>
      </w:hyperlink>
    </w:p>
    <w:p w:rsidR="00A702F4" w:rsidRDefault="00A702F4" w:rsidP="00642E77">
      <w:pPr>
        <w:pStyle w:val="EndNoteBibliography"/>
        <w:spacing w:after="0"/>
        <w:ind w:left="450" w:hanging="450"/>
        <w:rPr>
          <w:rFonts w:asciiTheme="minorHAnsi" w:hAnsiTheme="minorHAnsi" w:cstheme="minorHAnsi"/>
          <w:szCs w:val="24"/>
        </w:rPr>
      </w:pPr>
      <w:r w:rsidRPr="00A702F4">
        <w:rPr>
          <w:rFonts w:asciiTheme="minorHAnsi" w:hAnsiTheme="minorHAnsi" w:cstheme="minorHAnsi"/>
          <w:szCs w:val="24"/>
        </w:rPr>
        <w:t>Awang, Z. (2015). S</w:t>
      </w:r>
      <w:r w:rsidRPr="00A702F4">
        <w:rPr>
          <w:rFonts w:asciiTheme="minorHAnsi" w:hAnsiTheme="minorHAnsi" w:cstheme="minorHAnsi"/>
          <w:i/>
          <w:szCs w:val="24"/>
        </w:rPr>
        <w:t>EM made simple: A gentle approach to learning Structural Equation Modeling</w:t>
      </w:r>
      <w:r w:rsidRPr="00A702F4">
        <w:rPr>
          <w:rFonts w:asciiTheme="minorHAnsi" w:hAnsiTheme="minorHAnsi" w:cstheme="minorHAnsi"/>
          <w:szCs w:val="24"/>
        </w:rPr>
        <w:t>. MPWS Rich Publication.</w:t>
      </w:r>
    </w:p>
    <w:p w:rsidR="00642E77" w:rsidRDefault="00642E77" w:rsidP="00642E77">
      <w:pPr>
        <w:pStyle w:val="EndNoteBibliography"/>
        <w:spacing w:after="0"/>
        <w:ind w:left="450" w:hanging="450"/>
        <w:rPr>
          <w:rFonts w:asciiTheme="minorHAnsi" w:hAnsiTheme="minorHAnsi" w:cstheme="minorHAnsi"/>
          <w:szCs w:val="24"/>
        </w:rPr>
      </w:pPr>
      <w:r w:rsidRPr="00642E77">
        <w:rPr>
          <w:rFonts w:asciiTheme="minorHAnsi" w:hAnsiTheme="minorHAnsi" w:cstheme="minorHAnsi"/>
          <w:szCs w:val="24"/>
        </w:rPr>
        <w:t>Backman, W., Bendel, D., &amp; Rakhit, R. (2010). The telecardiology revolution: improving the management of cardiac disease in primary care.</w:t>
      </w:r>
      <w:r w:rsidRPr="00642E77">
        <w:rPr>
          <w:rFonts w:asciiTheme="minorHAnsi" w:hAnsiTheme="minorHAnsi" w:cstheme="minorHAnsi"/>
          <w:i/>
          <w:szCs w:val="24"/>
        </w:rPr>
        <w:t xml:space="preserve"> Journal of the Royal Society of Medicine</w:t>
      </w:r>
      <w:r w:rsidRPr="00642E77">
        <w:rPr>
          <w:rFonts w:asciiTheme="minorHAnsi" w:hAnsiTheme="minorHAnsi" w:cstheme="minorHAnsi"/>
          <w:szCs w:val="24"/>
        </w:rPr>
        <w:t xml:space="preserve">, </w:t>
      </w:r>
      <w:r w:rsidRPr="000749BC">
        <w:rPr>
          <w:rFonts w:asciiTheme="minorHAnsi" w:hAnsiTheme="minorHAnsi" w:cstheme="minorHAnsi"/>
          <w:i/>
          <w:szCs w:val="24"/>
        </w:rPr>
        <w:t>103</w:t>
      </w:r>
      <w:r w:rsidRPr="00642E77">
        <w:rPr>
          <w:rFonts w:asciiTheme="minorHAnsi" w:hAnsiTheme="minorHAnsi" w:cstheme="minorHAnsi"/>
          <w:szCs w:val="24"/>
        </w:rPr>
        <w:t>(11), 442-446.</w:t>
      </w:r>
    </w:p>
    <w:p w:rsidR="00780B97" w:rsidRDefault="00780B97" w:rsidP="00642E77">
      <w:pPr>
        <w:pStyle w:val="EndNoteBibliography"/>
        <w:spacing w:after="0"/>
        <w:ind w:left="450" w:hanging="450"/>
        <w:rPr>
          <w:rFonts w:asciiTheme="minorHAnsi" w:hAnsiTheme="minorHAnsi" w:cstheme="minorHAnsi"/>
          <w:szCs w:val="24"/>
        </w:rPr>
      </w:pPr>
      <w:r w:rsidRPr="00780B97">
        <w:rPr>
          <w:rFonts w:asciiTheme="minorHAnsi" w:hAnsiTheme="minorHAnsi" w:cstheme="minorHAnsi"/>
          <w:szCs w:val="24"/>
        </w:rPr>
        <w:t xml:space="preserve">Bernama. </w:t>
      </w:r>
      <w:r>
        <w:rPr>
          <w:rFonts w:asciiTheme="minorHAnsi" w:hAnsiTheme="minorHAnsi" w:cstheme="minorHAnsi"/>
          <w:szCs w:val="24"/>
        </w:rPr>
        <w:t>(</w:t>
      </w:r>
      <w:r w:rsidRPr="00780B97">
        <w:rPr>
          <w:rFonts w:asciiTheme="minorHAnsi" w:hAnsiTheme="minorHAnsi" w:cstheme="minorHAnsi"/>
          <w:szCs w:val="24"/>
        </w:rPr>
        <w:t>2017</w:t>
      </w:r>
      <w:r>
        <w:rPr>
          <w:rFonts w:asciiTheme="minorHAnsi" w:hAnsiTheme="minorHAnsi" w:cstheme="minorHAnsi"/>
          <w:szCs w:val="24"/>
        </w:rPr>
        <w:t>, September 27)</w:t>
      </w:r>
      <w:r w:rsidRPr="00780B97">
        <w:rPr>
          <w:rFonts w:asciiTheme="minorHAnsi" w:hAnsiTheme="minorHAnsi" w:cstheme="minorHAnsi"/>
          <w:szCs w:val="24"/>
        </w:rPr>
        <w:t xml:space="preserve">. Health Ministry Working to Overcome Shortage of Cardiologists: Subramaniam. </w:t>
      </w:r>
      <w:r w:rsidRPr="00780B97">
        <w:rPr>
          <w:rFonts w:asciiTheme="minorHAnsi" w:hAnsiTheme="minorHAnsi" w:cstheme="minorHAnsi"/>
          <w:i/>
          <w:szCs w:val="24"/>
        </w:rPr>
        <w:t>The Sun Daily</w:t>
      </w:r>
      <w:r>
        <w:rPr>
          <w:rFonts w:asciiTheme="minorHAnsi" w:hAnsiTheme="minorHAnsi" w:cstheme="minorHAnsi"/>
          <w:szCs w:val="24"/>
        </w:rPr>
        <w:t>.</w:t>
      </w:r>
      <w:r w:rsidRPr="00780B97">
        <w:rPr>
          <w:rFonts w:asciiTheme="minorHAnsi" w:hAnsiTheme="minorHAnsi" w:cstheme="minorHAnsi"/>
          <w:szCs w:val="24"/>
        </w:rPr>
        <w:t xml:space="preserve"> http://www.thesundaily.my/news</w:t>
      </w:r>
      <w:r w:rsidR="00642E77">
        <w:rPr>
          <w:rFonts w:asciiTheme="minorHAnsi" w:hAnsiTheme="minorHAnsi" w:cstheme="minorHAnsi"/>
          <w:szCs w:val="24"/>
        </w:rPr>
        <w:t xml:space="preserve"> </w:t>
      </w:r>
      <w:r w:rsidRPr="00780B97">
        <w:rPr>
          <w:rFonts w:asciiTheme="minorHAnsi" w:hAnsiTheme="minorHAnsi" w:cstheme="minorHAnsi"/>
          <w:szCs w:val="24"/>
        </w:rPr>
        <w:t>/2017/09/27/health-ministry-working-overcome-shortage-cardiologists-subramaniam</w:t>
      </w:r>
    </w:p>
    <w:p w:rsidR="00CC2F81" w:rsidRPr="00CC2F81" w:rsidRDefault="00CC2F81" w:rsidP="00CC2F81">
      <w:pPr>
        <w:pStyle w:val="EndNoteBibliography"/>
        <w:spacing w:after="0"/>
        <w:ind w:left="450" w:hanging="450"/>
        <w:rPr>
          <w:rFonts w:asciiTheme="minorHAnsi" w:hAnsiTheme="minorHAnsi" w:cstheme="minorHAnsi"/>
          <w:szCs w:val="24"/>
        </w:rPr>
      </w:pPr>
      <w:r w:rsidRPr="00CC2F81">
        <w:rPr>
          <w:rFonts w:asciiTheme="minorHAnsi" w:hAnsiTheme="minorHAnsi" w:cstheme="minorHAnsi"/>
          <w:szCs w:val="24"/>
        </w:rPr>
        <w:t xml:space="preserve">Broens, T. H., Huis in't Veld, R. M., Vollenbroek-Hutten, M. M., Hermens, H. J., van Halteren, A. T., &amp; Nieuwenhuis, L. J. (2007). Determinants of successful telemedicine implementations: a literature study. </w:t>
      </w:r>
      <w:r w:rsidRPr="00CC2F81">
        <w:rPr>
          <w:rFonts w:asciiTheme="minorHAnsi" w:hAnsiTheme="minorHAnsi" w:cstheme="minorHAnsi"/>
          <w:i/>
          <w:szCs w:val="24"/>
        </w:rPr>
        <w:t>Journal of telemedicine and telecare, 13</w:t>
      </w:r>
      <w:r w:rsidRPr="00CC2F81">
        <w:rPr>
          <w:rFonts w:asciiTheme="minorHAnsi" w:hAnsiTheme="minorHAnsi" w:cstheme="minorHAnsi"/>
          <w:szCs w:val="24"/>
        </w:rPr>
        <w:t xml:space="preserve">(6), 303-309. </w:t>
      </w:r>
    </w:p>
    <w:p w:rsidR="00CC2F81" w:rsidRPr="00CC2F81" w:rsidRDefault="00CC2F81" w:rsidP="00CC2F81">
      <w:pPr>
        <w:pStyle w:val="EndNoteBibliography"/>
        <w:spacing w:after="0"/>
        <w:ind w:left="450" w:hanging="450"/>
        <w:rPr>
          <w:rFonts w:asciiTheme="minorHAnsi" w:hAnsiTheme="minorHAnsi" w:cstheme="minorHAnsi"/>
          <w:szCs w:val="24"/>
        </w:rPr>
      </w:pPr>
      <w:r w:rsidRPr="00CC2F81">
        <w:rPr>
          <w:rFonts w:asciiTheme="minorHAnsi" w:hAnsiTheme="minorHAnsi" w:cstheme="minorHAnsi"/>
          <w:szCs w:val="24"/>
        </w:rPr>
        <w:t xml:space="preserve">Chang, Y.-Z., Ko, C.-Y., Hsiao, C.-J., Chen, R.-J., Yu, C.-W., Cheng, Y.-W., . . . Chao, C.-M. (2015). Understanding the determinants of implementing telehealth systems: a combined model of the theory of planned behavior and the technology acceptance model. </w:t>
      </w:r>
      <w:r w:rsidRPr="00CC2F81">
        <w:rPr>
          <w:rFonts w:asciiTheme="minorHAnsi" w:hAnsiTheme="minorHAnsi" w:cstheme="minorHAnsi"/>
          <w:i/>
          <w:szCs w:val="24"/>
        </w:rPr>
        <w:t>Journal of Applied Sciences, 15</w:t>
      </w:r>
      <w:r w:rsidRPr="00CC2F81">
        <w:rPr>
          <w:rFonts w:asciiTheme="minorHAnsi" w:hAnsiTheme="minorHAnsi" w:cstheme="minorHAnsi"/>
          <w:szCs w:val="24"/>
        </w:rPr>
        <w:t xml:space="preserve">(2), 277-282. </w:t>
      </w:r>
    </w:p>
    <w:p w:rsidR="00CC2F81" w:rsidRPr="00CC2F81" w:rsidRDefault="00CC2F81" w:rsidP="00CC2F81">
      <w:pPr>
        <w:pStyle w:val="EndNoteBibliography"/>
        <w:spacing w:after="0"/>
        <w:ind w:left="450" w:hanging="450"/>
        <w:rPr>
          <w:rFonts w:asciiTheme="minorHAnsi" w:hAnsiTheme="minorHAnsi" w:cstheme="minorHAnsi"/>
          <w:szCs w:val="24"/>
        </w:rPr>
      </w:pPr>
      <w:r w:rsidRPr="00CC2F81">
        <w:rPr>
          <w:rFonts w:asciiTheme="minorHAnsi" w:hAnsiTheme="minorHAnsi" w:cstheme="minorHAnsi"/>
          <w:szCs w:val="24"/>
        </w:rPr>
        <w:t xml:space="preserve">Chau, P. Y., &amp; Hu, P. J. (2002). Examining a model of information technology acceptance by individual professionals: An exploratory study. </w:t>
      </w:r>
      <w:r w:rsidRPr="00CC2F81">
        <w:rPr>
          <w:rFonts w:asciiTheme="minorHAnsi" w:hAnsiTheme="minorHAnsi" w:cstheme="minorHAnsi"/>
          <w:i/>
          <w:szCs w:val="24"/>
        </w:rPr>
        <w:t>Journal of management information systems, 18</w:t>
      </w:r>
      <w:r w:rsidRPr="00CC2F81">
        <w:rPr>
          <w:rFonts w:asciiTheme="minorHAnsi" w:hAnsiTheme="minorHAnsi" w:cstheme="minorHAnsi"/>
          <w:szCs w:val="24"/>
        </w:rPr>
        <w:t xml:space="preserve">(4), 191-229. </w:t>
      </w:r>
    </w:p>
    <w:p w:rsidR="000749BC" w:rsidRDefault="000749BC" w:rsidP="00CC2F81">
      <w:pPr>
        <w:pStyle w:val="EndNoteBibliography"/>
        <w:spacing w:after="0"/>
        <w:ind w:left="450" w:hanging="450"/>
        <w:rPr>
          <w:rFonts w:asciiTheme="minorHAnsi" w:hAnsiTheme="minorHAnsi" w:cstheme="minorHAnsi"/>
          <w:szCs w:val="24"/>
        </w:rPr>
      </w:pPr>
      <w:r w:rsidRPr="000749BC">
        <w:rPr>
          <w:rFonts w:asciiTheme="minorHAnsi" w:hAnsiTheme="minorHAnsi" w:cstheme="minorHAnsi"/>
          <w:szCs w:val="24"/>
        </w:rPr>
        <w:t xml:space="preserve">Chen, S. C., Liu, M. L., &amp; Lin, C. P. (2013). Integrating technology readiness into the expectation–confirmation model: An empirical study of mobile services. </w:t>
      </w:r>
      <w:r w:rsidRPr="000749BC">
        <w:rPr>
          <w:rFonts w:asciiTheme="minorHAnsi" w:hAnsiTheme="minorHAnsi" w:cstheme="minorHAnsi"/>
          <w:i/>
          <w:szCs w:val="24"/>
        </w:rPr>
        <w:t>Cyberpsychology,</w:t>
      </w:r>
      <w:r w:rsidRPr="000749BC">
        <w:rPr>
          <w:rFonts w:asciiTheme="minorHAnsi" w:hAnsiTheme="minorHAnsi" w:cstheme="minorHAnsi"/>
          <w:szCs w:val="24"/>
        </w:rPr>
        <w:t xml:space="preserve"> </w:t>
      </w:r>
      <w:r w:rsidRPr="000749BC">
        <w:rPr>
          <w:rFonts w:asciiTheme="minorHAnsi" w:hAnsiTheme="minorHAnsi" w:cstheme="minorHAnsi"/>
          <w:i/>
          <w:szCs w:val="24"/>
        </w:rPr>
        <w:t>Behavior, and Social Networking, 16</w:t>
      </w:r>
      <w:r w:rsidRPr="000749BC">
        <w:rPr>
          <w:rFonts w:asciiTheme="minorHAnsi" w:hAnsiTheme="minorHAnsi" w:cstheme="minorHAnsi"/>
          <w:szCs w:val="24"/>
        </w:rPr>
        <w:t>(8), 604-612.</w:t>
      </w:r>
    </w:p>
    <w:p w:rsidR="00CC2F81" w:rsidRPr="00CC2F81" w:rsidRDefault="00CC2F81" w:rsidP="00CC2F81">
      <w:pPr>
        <w:pStyle w:val="EndNoteBibliography"/>
        <w:spacing w:after="0"/>
        <w:ind w:left="450" w:hanging="450"/>
        <w:rPr>
          <w:rFonts w:asciiTheme="minorHAnsi" w:hAnsiTheme="minorHAnsi" w:cstheme="minorHAnsi"/>
          <w:szCs w:val="24"/>
        </w:rPr>
      </w:pPr>
      <w:r w:rsidRPr="00CC2F81">
        <w:rPr>
          <w:rFonts w:asciiTheme="minorHAnsi" w:hAnsiTheme="minorHAnsi" w:cstheme="minorHAnsi"/>
          <w:szCs w:val="24"/>
        </w:rPr>
        <w:t xml:space="preserve">Comrey, A. L., &amp; Lee, H. B. (1992). </w:t>
      </w:r>
      <w:r w:rsidRPr="00CC2F81">
        <w:rPr>
          <w:rFonts w:asciiTheme="minorHAnsi" w:hAnsiTheme="minorHAnsi" w:cstheme="minorHAnsi"/>
          <w:i/>
          <w:szCs w:val="24"/>
        </w:rPr>
        <w:t>A first course in factor analysis, 2nd ed</w:t>
      </w:r>
      <w:r w:rsidRPr="00CC2F81">
        <w:rPr>
          <w:rFonts w:asciiTheme="minorHAnsi" w:hAnsiTheme="minorHAnsi" w:cstheme="minorHAnsi"/>
          <w:szCs w:val="24"/>
        </w:rPr>
        <w:t>. Hillsdale, NJ, US: Lawrence Erlbaum Associates, Inc.</w:t>
      </w:r>
    </w:p>
    <w:p w:rsidR="00A702F4" w:rsidRDefault="00A702F4" w:rsidP="00CC2F81">
      <w:pPr>
        <w:pStyle w:val="EndNoteBibliography"/>
        <w:spacing w:after="0"/>
        <w:ind w:left="450" w:hanging="450"/>
        <w:rPr>
          <w:rFonts w:asciiTheme="minorHAnsi" w:hAnsiTheme="minorHAnsi" w:cstheme="minorHAnsi"/>
          <w:szCs w:val="24"/>
        </w:rPr>
      </w:pPr>
      <w:r w:rsidRPr="00A702F4">
        <w:rPr>
          <w:rFonts w:asciiTheme="minorHAnsi" w:hAnsiTheme="minorHAnsi" w:cstheme="minorHAnsi"/>
          <w:szCs w:val="24"/>
        </w:rPr>
        <w:t>Creswell, J</w:t>
      </w:r>
      <w:r>
        <w:rPr>
          <w:rFonts w:asciiTheme="minorHAnsi" w:hAnsiTheme="minorHAnsi" w:cstheme="minorHAnsi"/>
          <w:szCs w:val="24"/>
        </w:rPr>
        <w:t>.</w:t>
      </w:r>
      <w:r w:rsidRPr="00A702F4">
        <w:rPr>
          <w:rFonts w:asciiTheme="minorHAnsi" w:hAnsiTheme="minorHAnsi" w:cstheme="minorHAnsi"/>
          <w:szCs w:val="24"/>
        </w:rPr>
        <w:t xml:space="preserve"> W. </w:t>
      </w:r>
      <w:r>
        <w:rPr>
          <w:rFonts w:asciiTheme="minorHAnsi" w:hAnsiTheme="minorHAnsi" w:cstheme="minorHAnsi"/>
          <w:szCs w:val="24"/>
        </w:rPr>
        <w:t>(</w:t>
      </w:r>
      <w:r w:rsidRPr="00A702F4">
        <w:rPr>
          <w:rFonts w:asciiTheme="minorHAnsi" w:hAnsiTheme="minorHAnsi" w:cstheme="minorHAnsi"/>
          <w:szCs w:val="24"/>
        </w:rPr>
        <w:t>2014</w:t>
      </w:r>
      <w:r>
        <w:rPr>
          <w:rFonts w:asciiTheme="minorHAnsi" w:hAnsiTheme="minorHAnsi" w:cstheme="minorHAnsi"/>
          <w:szCs w:val="24"/>
        </w:rPr>
        <w:t>)</w:t>
      </w:r>
      <w:r w:rsidRPr="00A702F4">
        <w:rPr>
          <w:rFonts w:asciiTheme="minorHAnsi" w:hAnsiTheme="minorHAnsi" w:cstheme="minorHAnsi"/>
          <w:szCs w:val="24"/>
        </w:rPr>
        <w:t xml:space="preserve">. </w:t>
      </w:r>
      <w:r w:rsidRPr="00A702F4">
        <w:rPr>
          <w:rFonts w:asciiTheme="minorHAnsi" w:hAnsiTheme="minorHAnsi" w:cstheme="minorHAnsi"/>
          <w:i/>
          <w:szCs w:val="24"/>
        </w:rPr>
        <w:t>Educational Research: Planning, Conducting and Evaluating Quantitative and Qualitative Research. 4th ed.</w:t>
      </w:r>
      <w:r w:rsidRPr="00A702F4">
        <w:rPr>
          <w:rFonts w:asciiTheme="minorHAnsi" w:hAnsiTheme="minorHAnsi" w:cstheme="minorHAnsi"/>
          <w:szCs w:val="24"/>
        </w:rPr>
        <w:t xml:space="preserve"> Boston, MA: Pearson Education, Inc.</w:t>
      </w:r>
    </w:p>
    <w:p w:rsidR="00CC2F81" w:rsidRPr="00CC2F81" w:rsidRDefault="00CC2F81" w:rsidP="00CC2F81">
      <w:pPr>
        <w:pStyle w:val="EndNoteBibliography"/>
        <w:spacing w:after="0"/>
        <w:ind w:left="450" w:hanging="450"/>
        <w:rPr>
          <w:rFonts w:asciiTheme="minorHAnsi" w:hAnsiTheme="minorHAnsi" w:cstheme="minorHAnsi"/>
          <w:szCs w:val="24"/>
        </w:rPr>
      </w:pPr>
      <w:r w:rsidRPr="00CC2F81">
        <w:rPr>
          <w:rFonts w:asciiTheme="minorHAnsi" w:hAnsiTheme="minorHAnsi" w:cstheme="minorHAnsi"/>
          <w:szCs w:val="24"/>
        </w:rPr>
        <w:t xml:space="preserve">Davis, F. D. (1989). Perceived usefulness, perceived ease of use, and user acceptance of information technology. </w:t>
      </w:r>
      <w:r w:rsidRPr="00CC2F81">
        <w:rPr>
          <w:rFonts w:asciiTheme="minorHAnsi" w:hAnsiTheme="minorHAnsi" w:cstheme="minorHAnsi"/>
          <w:i/>
          <w:szCs w:val="24"/>
        </w:rPr>
        <w:t>MIS quarterly</w:t>
      </w:r>
      <w:r w:rsidRPr="00CC2F81">
        <w:rPr>
          <w:rFonts w:asciiTheme="minorHAnsi" w:hAnsiTheme="minorHAnsi" w:cstheme="minorHAnsi"/>
          <w:szCs w:val="24"/>
        </w:rPr>
        <w:t xml:space="preserve">, 319-340. </w:t>
      </w:r>
    </w:p>
    <w:p w:rsidR="00CC2F81" w:rsidRPr="00CC2F81" w:rsidRDefault="00CC2F81" w:rsidP="00CC2F81">
      <w:pPr>
        <w:pStyle w:val="EndNoteBibliography"/>
        <w:spacing w:after="0"/>
        <w:ind w:left="450" w:hanging="450"/>
        <w:rPr>
          <w:rFonts w:asciiTheme="minorHAnsi" w:hAnsiTheme="minorHAnsi" w:cstheme="minorHAnsi"/>
          <w:szCs w:val="24"/>
        </w:rPr>
      </w:pPr>
      <w:r w:rsidRPr="00CC2F81">
        <w:rPr>
          <w:rFonts w:asciiTheme="minorHAnsi" w:hAnsiTheme="minorHAnsi" w:cstheme="minorHAnsi"/>
          <w:szCs w:val="24"/>
        </w:rPr>
        <w:t xml:space="preserve">Davis, F. D., Bagozzi, R. P., &amp; Warshaw, P. R. (1989). User acceptance of computer technology: a comparison of two theoretical models. </w:t>
      </w:r>
      <w:r w:rsidRPr="00CC2F81">
        <w:rPr>
          <w:rFonts w:asciiTheme="minorHAnsi" w:hAnsiTheme="minorHAnsi" w:cstheme="minorHAnsi"/>
          <w:i/>
          <w:szCs w:val="24"/>
        </w:rPr>
        <w:t>Management science, 35</w:t>
      </w:r>
      <w:r w:rsidRPr="00CC2F81">
        <w:rPr>
          <w:rFonts w:asciiTheme="minorHAnsi" w:hAnsiTheme="minorHAnsi" w:cstheme="minorHAnsi"/>
          <w:szCs w:val="24"/>
        </w:rPr>
        <w:t xml:space="preserve">(8), 982-1003. </w:t>
      </w:r>
    </w:p>
    <w:p w:rsidR="00CC2F81" w:rsidRPr="00CC2F81" w:rsidRDefault="00CC2F81" w:rsidP="00CC2F81">
      <w:pPr>
        <w:pStyle w:val="EndNoteBibliography"/>
        <w:spacing w:after="0"/>
        <w:ind w:left="450" w:hanging="450"/>
        <w:rPr>
          <w:rFonts w:asciiTheme="minorHAnsi" w:hAnsiTheme="minorHAnsi" w:cstheme="minorHAnsi"/>
          <w:szCs w:val="24"/>
        </w:rPr>
      </w:pPr>
      <w:r w:rsidRPr="00CC2F81">
        <w:rPr>
          <w:rFonts w:asciiTheme="minorHAnsi" w:hAnsiTheme="minorHAnsi" w:cstheme="minorHAnsi"/>
          <w:szCs w:val="24"/>
        </w:rPr>
        <w:t xml:space="preserve">De Simone, V., Guarise, P., Guardalben, S., Padovani, N., Tondelli, S., Sandrini, D., . . . Zanotto, G. (2020). Telecardiology during the Covid-19 pandemic: past mistakes and future hopes. </w:t>
      </w:r>
      <w:r w:rsidRPr="00CC2F81">
        <w:rPr>
          <w:rFonts w:asciiTheme="minorHAnsi" w:hAnsiTheme="minorHAnsi" w:cstheme="minorHAnsi"/>
          <w:i/>
          <w:szCs w:val="24"/>
        </w:rPr>
        <w:t>American journal of cardiovascular disease, 10</w:t>
      </w:r>
      <w:r w:rsidRPr="00CC2F81">
        <w:rPr>
          <w:rFonts w:asciiTheme="minorHAnsi" w:hAnsiTheme="minorHAnsi" w:cstheme="minorHAnsi"/>
          <w:szCs w:val="24"/>
        </w:rPr>
        <w:t xml:space="preserve">(2), 34-47. </w:t>
      </w:r>
    </w:p>
    <w:p w:rsidR="00CC2F81" w:rsidRPr="00CC2F81" w:rsidRDefault="00CC2F81" w:rsidP="00CC2F81">
      <w:pPr>
        <w:pStyle w:val="EndNoteBibliography"/>
        <w:spacing w:after="0"/>
        <w:ind w:left="450" w:hanging="450"/>
        <w:rPr>
          <w:rFonts w:asciiTheme="minorHAnsi" w:hAnsiTheme="minorHAnsi" w:cstheme="minorHAnsi"/>
          <w:szCs w:val="24"/>
        </w:rPr>
      </w:pPr>
      <w:r w:rsidRPr="00CC2F81">
        <w:rPr>
          <w:rFonts w:asciiTheme="minorHAnsi" w:hAnsiTheme="minorHAnsi" w:cstheme="minorHAnsi"/>
          <w:szCs w:val="24"/>
        </w:rPr>
        <w:t xml:space="preserve">Deng, Z., Zhang, L., &amp; Zhang, J. (2012). </w:t>
      </w:r>
      <w:r w:rsidRPr="00CC2F81">
        <w:rPr>
          <w:rFonts w:asciiTheme="minorHAnsi" w:hAnsiTheme="minorHAnsi" w:cstheme="minorHAnsi"/>
          <w:i/>
          <w:szCs w:val="24"/>
        </w:rPr>
        <w:t>Applying Technology Acceptance Model to Explore the Determinants of Mobile Health Service: From the Perspective of Public User.</w:t>
      </w:r>
      <w:r w:rsidRPr="00CC2F81">
        <w:rPr>
          <w:rFonts w:asciiTheme="minorHAnsi" w:hAnsiTheme="minorHAnsi" w:cstheme="minorHAnsi"/>
          <w:szCs w:val="24"/>
        </w:rPr>
        <w:t xml:space="preserve"> Paper presented at the Eleventh Wuhan International Conference on e-Business, Wuhan.</w:t>
      </w:r>
    </w:p>
    <w:p w:rsidR="00CC2F81" w:rsidRPr="00CC2F81" w:rsidRDefault="00CC2F81" w:rsidP="00CC2F81">
      <w:pPr>
        <w:pStyle w:val="EndNoteBibliography"/>
        <w:spacing w:after="0"/>
        <w:ind w:left="450" w:hanging="450"/>
        <w:rPr>
          <w:rFonts w:asciiTheme="minorHAnsi" w:hAnsiTheme="minorHAnsi" w:cstheme="minorHAnsi"/>
          <w:szCs w:val="24"/>
        </w:rPr>
      </w:pPr>
      <w:r w:rsidRPr="00CC2F81">
        <w:rPr>
          <w:rFonts w:asciiTheme="minorHAnsi" w:hAnsiTheme="minorHAnsi" w:cstheme="minorHAnsi"/>
          <w:szCs w:val="24"/>
        </w:rPr>
        <w:t xml:space="preserve">Department of Statistics Malaysia. (2018). </w:t>
      </w:r>
      <w:r w:rsidRPr="00CC2F81">
        <w:rPr>
          <w:rFonts w:asciiTheme="minorHAnsi" w:hAnsiTheme="minorHAnsi" w:cstheme="minorHAnsi"/>
          <w:i/>
          <w:szCs w:val="24"/>
        </w:rPr>
        <w:t>Statistics on Causes of Death, Malaysia, 2018</w:t>
      </w:r>
      <w:r w:rsidRPr="00CC2F81">
        <w:rPr>
          <w:rFonts w:asciiTheme="minorHAnsi" w:hAnsiTheme="minorHAnsi" w:cstheme="minorHAnsi"/>
          <w:szCs w:val="24"/>
        </w:rPr>
        <w:t xml:space="preserve">. Retrieved from Putrajaya: </w:t>
      </w:r>
    </w:p>
    <w:p w:rsidR="00A702F4" w:rsidRDefault="00A702F4" w:rsidP="00CC2F81">
      <w:pPr>
        <w:pStyle w:val="EndNoteBibliography"/>
        <w:spacing w:after="0"/>
        <w:ind w:left="450" w:hanging="450"/>
        <w:rPr>
          <w:rFonts w:asciiTheme="minorHAnsi" w:hAnsiTheme="minorHAnsi" w:cstheme="minorHAnsi"/>
          <w:szCs w:val="24"/>
        </w:rPr>
      </w:pPr>
      <w:r w:rsidRPr="00A702F4">
        <w:rPr>
          <w:rFonts w:asciiTheme="minorHAnsi" w:hAnsiTheme="minorHAnsi" w:cstheme="minorHAnsi"/>
          <w:szCs w:val="24"/>
        </w:rPr>
        <w:t>D</w:t>
      </w:r>
      <w:r>
        <w:rPr>
          <w:rFonts w:asciiTheme="minorHAnsi" w:hAnsiTheme="minorHAnsi" w:cstheme="minorHAnsi"/>
          <w:szCs w:val="24"/>
        </w:rPr>
        <w:t>inc</w:t>
      </w:r>
      <w:r w:rsidRPr="00A702F4">
        <w:rPr>
          <w:rFonts w:asciiTheme="minorHAnsi" w:hAnsiTheme="minorHAnsi" w:cstheme="minorHAnsi"/>
          <w:szCs w:val="24"/>
        </w:rPr>
        <w:t xml:space="preserve">, M. S., &amp; Budic, S. (2016). The impact of personal attitude, subjective norm, and perceived behavioural control on entrepreneurial intentions of women. </w:t>
      </w:r>
      <w:r w:rsidRPr="00A702F4">
        <w:rPr>
          <w:rFonts w:asciiTheme="minorHAnsi" w:hAnsiTheme="minorHAnsi" w:cstheme="minorHAnsi"/>
          <w:i/>
          <w:szCs w:val="24"/>
        </w:rPr>
        <w:t>Eurasian Journal of Business and Economics, 9</w:t>
      </w:r>
      <w:r w:rsidRPr="00A702F4">
        <w:rPr>
          <w:rFonts w:asciiTheme="minorHAnsi" w:hAnsiTheme="minorHAnsi" w:cstheme="minorHAnsi"/>
          <w:szCs w:val="24"/>
        </w:rPr>
        <w:t>(17), 23-35.</w:t>
      </w:r>
    </w:p>
    <w:p w:rsidR="00CC2F81" w:rsidRPr="00CC2F81" w:rsidRDefault="00CC2F81" w:rsidP="00CC2F81">
      <w:pPr>
        <w:pStyle w:val="EndNoteBibliography"/>
        <w:spacing w:after="0"/>
        <w:ind w:left="450" w:hanging="450"/>
        <w:rPr>
          <w:rFonts w:asciiTheme="minorHAnsi" w:hAnsiTheme="minorHAnsi" w:cstheme="minorHAnsi"/>
          <w:szCs w:val="24"/>
        </w:rPr>
      </w:pPr>
      <w:r w:rsidRPr="00CC2F81">
        <w:rPr>
          <w:rFonts w:asciiTheme="minorHAnsi" w:hAnsiTheme="minorHAnsi" w:cstheme="minorHAnsi"/>
          <w:szCs w:val="24"/>
        </w:rPr>
        <w:t xml:space="preserve">Fleury, J., &amp; Lee, S. M. (2006). The social ecological model and physical activity in African American women. </w:t>
      </w:r>
      <w:r w:rsidRPr="00CC2F81">
        <w:rPr>
          <w:rFonts w:asciiTheme="minorHAnsi" w:hAnsiTheme="minorHAnsi" w:cstheme="minorHAnsi"/>
          <w:i/>
          <w:szCs w:val="24"/>
        </w:rPr>
        <w:t>American journal of community psychology, 37</w:t>
      </w:r>
      <w:r w:rsidRPr="00CC2F81">
        <w:rPr>
          <w:rFonts w:asciiTheme="minorHAnsi" w:hAnsiTheme="minorHAnsi" w:cstheme="minorHAnsi"/>
          <w:szCs w:val="24"/>
        </w:rPr>
        <w:t xml:space="preserve">(1-2), 129. </w:t>
      </w:r>
    </w:p>
    <w:p w:rsidR="00CC2F81" w:rsidRPr="00CC2F81" w:rsidRDefault="00CC2F81" w:rsidP="00CC2F81">
      <w:pPr>
        <w:pStyle w:val="EndNoteBibliography"/>
        <w:spacing w:after="0"/>
        <w:ind w:left="450" w:hanging="450"/>
        <w:rPr>
          <w:rFonts w:asciiTheme="minorHAnsi" w:hAnsiTheme="minorHAnsi" w:cstheme="minorHAnsi"/>
          <w:szCs w:val="24"/>
        </w:rPr>
      </w:pPr>
      <w:r w:rsidRPr="00CC2F81">
        <w:rPr>
          <w:rFonts w:asciiTheme="minorHAnsi" w:hAnsiTheme="minorHAnsi" w:cstheme="minorHAnsi"/>
          <w:szCs w:val="24"/>
        </w:rPr>
        <w:t xml:space="preserve">Fornell, C., &amp; Larcker, D. F. (1981). Evaluating structural equation models with unobservable variables and measurement error. </w:t>
      </w:r>
      <w:r w:rsidRPr="00CC2F81">
        <w:rPr>
          <w:rFonts w:asciiTheme="minorHAnsi" w:hAnsiTheme="minorHAnsi" w:cstheme="minorHAnsi"/>
          <w:i/>
          <w:szCs w:val="24"/>
        </w:rPr>
        <w:t>Journal of marketing research, 18</w:t>
      </w:r>
      <w:r w:rsidRPr="00CC2F81">
        <w:rPr>
          <w:rFonts w:asciiTheme="minorHAnsi" w:hAnsiTheme="minorHAnsi" w:cstheme="minorHAnsi"/>
          <w:szCs w:val="24"/>
        </w:rPr>
        <w:t xml:space="preserve">(1), 39-50. </w:t>
      </w:r>
    </w:p>
    <w:p w:rsidR="00CC2F81" w:rsidRPr="00CC2F81" w:rsidRDefault="00CC2F81" w:rsidP="00CC2F81">
      <w:pPr>
        <w:pStyle w:val="EndNoteBibliography"/>
        <w:spacing w:after="0"/>
        <w:ind w:left="450" w:hanging="450"/>
        <w:rPr>
          <w:rFonts w:asciiTheme="minorHAnsi" w:hAnsiTheme="minorHAnsi" w:cstheme="minorHAnsi"/>
          <w:szCs w:val="24"/>
        </w:rPr>
      </w:pPr>
      <w:r w:rsidRPr="00CC2F81">
        <w:rPr>
          <w:rFonts w:asciiTheme="minorHAnsi" w:hAnsiTheme="minorHAnsi" w:cstheme="minorHAnsi"/>
          <w:szCs w:val="24"/>
        </w:rPr>
        <w:lastRenderedPageBreak/>
        <w:t xml:space="preserve">García, J., Martínez, I., Sornmo, L., Olmos, S., Mur, A., &amp; Laguna, P. (2002). Remote processing server for ECG-based clinical diagnosis support. </w:t>
      </w:r>
      <w:r w:rsidRPr="00CC2F81">
        <w:rPr>
          <w:rFonts w:asciiTheme="minorHAnsi" w:hAnsiTheme="minorHAnsi" w:cstheme="minorHAnsi"/>
          <w:i/>
          <w:szCs w:val="24"/>
        </w:rPr>
        <w:t>IEEE Transactions on Information Technology in Biomedicine, 6</w:t>
      </w:r>
      <w:r w:rsidRPr="00CC2F81">
        <w:rPr>
          <w:rFonts w:asciiTheme="minorHAnsi" w:hAnsiTheme="minorHAnsi" w:cstheme="minorHAnsi"/>
          <w:szCs w:val="24"/>
        </w:rPr>
        <w:t xml:space="preserve">(4), 277-284. </w:t>
      </w:r>
    </w:p>
    <w:p w:rsidR="00CC2F81" w:rsidRPr="00CC2F81" w:rsidRDefault="00CC2F81" w:rsidP="00CC2F81">
      <w:pPr>
        <w:pStyle w:val="EndNoteBibliography"/>
        <w:spacing w:after="0"/>
        <w:ind w:left="450" w:hanging="450"/>
        <w:rPr>
          <w:rFonts w:asciiTheme="minorHAnsi" w:hAnsiTheme="minorHAnsi" w:cstheme="minorHAnsi"/>
          <w:szCs w:val="24"/>
        </w:rPr>
      </w:pPr>
      <w:r w:rsidRPr="00CC2F81">
        <w:rPr>
          <w:rFonts w:asciiTheme="minorHAnsi" w:hAnsiTheme="minorHAnsi" w:cstheme="minorHAnsi"/>
          <w:szCs w:val="24"/>
        </w:rPr>
        <w:t xml:space="preserve">Gefen, D., &amp; Straub, D. (2000). The Relative Importance of Perceived Ease of Use in IS Adoption: A Study of E-Commerce Adoption. </w:t>
      </w:r>
      <w:r w:rsidRPr="00CC2F81">
        <w:rPr>
          <w:rFonts w:asciiTheme="minorHAnsi" w:hAnsiTheme="minorHAnsi" w:cstheme="minorHAnsi"/>
          <w:i/>
          <w:szCs w:val="24"/>
        </w:rPr>
        <w:t>Journal of the Association for Information Systems, 1</w:t>
      </w:r>
      <w:r w:rsidRPr="00CC2F81">
        <w:rPr>
          <w:rFonts w:asciiTheme="minorHAnsi" w:hAnsiTheme="minorHAnsi" w:cstheme="minorHAnsi"/>
          <w:szCs w:val="24"/>
        </w:rPr>
        <w:t>. doi:10.17705/1jais.00008</w:t>
      </w:r>
    </w:p>
    <w:p w:rsidR="00CC2F81" w:rsidRPr="00CC2F81" w:rsidRDefault="00CC2F81" w:rsidP="00CC2F81">
      <w:pPr>
        <w:pStyle w:val="EndNoteBibliography"/>
        <w:spacing w:after="0"/>
        <w:ind w:left="450" w:hanging="450"/>
        <w:rPr>
          <w:rFonts w:asciiTheme="minorHAnsi" w:hAnsiTheme="minorHAnsi" w:cstheme="minorHAnsi"/>
          <w:szCs w:val="24"/>
        </w:rPr>
      </w:pPr>
      <w:r w:rsidRPr="00CC2F81">
        <w:rPr>
          <w:rFonts w:asciiTheme="minorHAnsi" w:hAnsiTheme="minorHAnsi" w:cstheme="minorHAnsi"/>
          <w:szCs w:val="24"/>
        </w:rPr>
        <w:t xml:space="preserve">Giovas, P., Papadoyannis, D., Thomakos, D., Papazachos, G., Rallidis, M., Soulis, D., . . . Katsilambros, N. (1998). Transmission of electrocardiograms from a moving ambulance. </w:t>
      </w:r>
      <w:r w:rsidRPr="00CC2F81">
        <w:rPr>
          <w:rFonts w:asciiTheme="minorHAnsi" w:hAnsiTheme="minorHAnsi" w:cstheme="minorHAnsi"/>
          <w:i/>
          <w:szCs w:val="24"/>
        </w:rPr>
        <w:t>Journal of Telemedicine and Telecare, 4</w:t>
      </w:r>
      <w:r w:rsidRPr="00CC2F81">
        <w:rPr>
          <w:rFonts w:asciiTheme="minorHAnsi" w:hAnsiTheme="minorHAnsi" w:cstheme="minorHAnsi"/>
          <w:szCs w:val="24"/>
        </w:rPr>
        <w:t xml:space="preserve">(1_suppl), 5-7. </w:t>
      </w:r>
    </w:p>
    <w:p w:rsidR="000749BC" w:rsidRDefault="000749BC" w:rsidP="00CC2F81">
      <w:pPr>
        <w:pStyle w:val="EndNoteBibliography"/>
        <w:spacing w:after="0"/>
        <w:ind w:left="450" w:hanging="450"/>
        <w:rPr>
          <w:rFonts w:asciiTheme="minorHAnsi" w:hAnsiTheme="minorHAnsi" w:cstheme="minorHAnsi"/>
          <w:szCs w:val="24"/>
        </w:rPr>
      </w:pPr>
      <w:r w:rsidRPr="000749BC">
        <w:rPr>
          <w:rFonts w:asciiTheme="minorHAnsi" w:hAnsiTheme="minorHAnsi" w:cstheme="minorHAnsi"/>
          <w:szCs w:val="24"/>
        </w:rPr>
        <w:t>Godoe, P., &amp; Johansen, T. (2012). Understanding adoption of new technologies: Technology readiness and technology acceptance as an integrated concept. J</w:t>
      </w:r>
      <w:r w:rsidRPr="000749BC">
        <w:rPr>
          <w:rFonts w:asciiTheme="minorHAnsi" w:hAnsiTheme="minorHAnsi" w:cstheme="minorHAnsi"/>
          <w:i/>
          <w:szCs w:val="24"/>
        </w:rPr>
        <w:t>ournal of European psychology students, 3</w:t>
      </w:r>
      <w:r w:rsidRPr="000749BC">
        <w:rPr>
          <w:rFonts w:asciiTheme="minorHAnsi" w:hAnsiTheme="minorHAnsi" w:cstheme="minorHAnsi"/>
          <w:szCs w:val="24"/>
        </w:rPr>
        <w:t>(1).</w:t>
      </w:r>
    </w:p>
    <w:p w:rsidR="000749BC" w:rsidRDefault="000749BC" w:rsidP="00CC2F81">
      <w:pPr>
        <w:pStyle w:val="EndNoteBibliography"/>
        <w:spacing w:after="0"/>
        <w:ind w:left="450" w:hanging="450"/>
        <w:rPr>
          <w:rFonts w:asciiTheme="minorHAnsi" w:hAnsiTheme="minorHAnsi" w:cstheme="minorHAnsi"/>
          <w:szCs w:val="24"/>
        </w:rPr>
      </w:pPr>
      <w:r w:rsidRPr="000749BC">
        <w:rPr>
          <w:rFonts w:asciiTheme="minorHAnsi" w:hAnsiTheme="minorHAnsi" w:cstheme="minorHAnsi"/>
          <w:szCs w:val="24"/>
        </w:rPr>
        <w:t xml:space="preserve">Hallikainen, H., &amp; Laukkanen, T. (2016). How technology readiness explains acceptance and satisfaction of digital services in B2B healthcare sector?. In </w:t>
      </w:r>
      <w:r w:rsidRPr="000749BC">
        <w:rPr>
          <w:rFonts w:asciiTheme="minorHAnsi" w:hAnsiTheme="minorHAnsi" w:cstheme="minorHAnsi"/>
          <w:i/>
          <w:szCs w:val="24"/>
        </w:rPr>
        <w:t>Pacific Asia Conference on Information Systems (PACIS)</w:t>
      </w:r>
      <w:r w:rsidRPr="000749BC">
        <w:rPr>
          <w:rFonts w:asciiTheme="minorHAnsi" w:hAnsiTheme="minorHAnsi" w:cstheme="minorHAnsi"/>
          <w:szCs w:val="24"/>
        </w:rPr>
        <w:t>. Association For Information System.</w:t>
      </w:r>
    </w:p>
    <w:p w:rsidR="00A702F4" w:rsidRDefault="00A702F4" w:rsidP="00CC2F81">
      <w:pPr>
        <w:pStyle w:val="EndNoteBibliography"/>
        <w:spacing w:after="0"/>
        <w:ind w:left="450" w:hanging="450"/>
        <w:rPr>
          <w:rFonts w:asciiTheme="minorHAnsi" w:hAnsiTheme="minorHAnsi" w:cstheme="minorHAnsi"/>
          <w:szCs w:val="24"/>
        </w:rPr>
      </w:pPr>
      <w:r w:rsidRPr="00A702F4">
        <w:rPr>
          <w:rFonts w:asciiTheme="minorHAnsi" w:hAnsiTheme="minorHAnsi" w:cstheme="minorHAnsi"/>
          <w:szCs w:val="24"/>
        </w:rPr>
        <w:t xml:space="preserve">Hair, J. F., Anderson, R. E., Babin, B. J., &amp; Black, W. C. (2010). </w:t>
      </w:r>
      <w:r w:rsidRPr="00826983">
        <w:rPr>
          <w:rFonts w:asciiTheme="minorHAnsi" w:hAnsiTheme="minorHAnsi" w:cstheme="minorHAnsi"/>
          <w:i/>
          <w:szCs w:val="24"/>
        </w:rPr>
        <w:t>Multivariate data analysis: A global perspective</w:t>
      </w:r>
      <w:r w:rsidR="00826983">
        <w:rPr>
          <w:rFonts w:asciiTheme="minorHAnsi" w:hAnsiTheme="minorHAnsi" w:cstheme="minorHAnsi"/>
          <w:i/>
          <w:szCs w:val="24"/>
        </w:rPr>
        <w:t>.</w:t>
      </w:r>
      <w:r w:rsidRPr="00826983">
        <w:rPr>
          <w:rFonts w:asciiTheme="minorHAnsi" w:hAnsiTheme="minorHAnsi" w:cstheme="minorHAnsi"/>
          <w:i/>
          <w:szCs w:val="24"/>
        </w:rPr>
        <w:t xml:space="preserve"> </w:t>
      </w:r>
      <w:r w:rsidR="00826983" w:rsidRPr="00826983">
        <w:rPr>
          <w:rFonts w:asciiTheme="minorHAnsi" w:hAnsiTheme="minorHAnsi" w:cstheme="minorHAnsi"/>
          <w:i/>
          <w:szCs w:val="24"/>
        </w:rPr>
        <w:t>Upper Saddle River</w:t>
      </w:r>
      <w:r w:rsidR="00826983">
        <w:rPr>
          <w:rFonts w:asciiTheme="minorHAnsi" w:hAnsiTheme="minorHAnsi" w:cstheme="minorHAnsi"/>
          <w:szCs w:val="24"/>
        </w:rPr>
        <w:t>:</w:t>
      </w:r>
      <w:r w:rsidR="00826983" w:rsidRPr="00A702F4">
        <w:rPr>
          <w:rFonts w:asciiTheme="minorHAnsi" w:hAnsiTheme="minorHAnsi" w:cstheme="minorHAnsi"/>
          <w:szCs w:val="24"/>
        </w:rPr>
        <w:t xml:space="preserve"> </w:t>
      </w:r>
      <w:r w:rsidRPr="00A702F4">
        <w:rPr>
          <w:rFonts w:asciiTheme="minorHAnsi" w:hAnsiTheme="minorHAnsi" w:cstheme="minorHAnsi"/>
          <w:szCs w:val="24"/>
        </w:rPr>
        <w:t>Pearson.</w:t>
      </w:r>
    </w:p>
    <w:p w:rsidR="00A702F4" w:rsidRDefault="00A702F4" w:rsidP="00CC2F81">
      <w:pPr>
        <w:pStyle w:val="EndNoteBibliography"/>
        <w:spacing w:after="0"/>
        <w:ind w:left="450" w:hanging="450"/>
        <w:rPr>
          <w:rFonts w:asciiTheme="minorHAnsi" w:hAnsiTheme="minorHAnsi" w:cstheme="minorHAnsi"/>
          <w:szCs w:val="24"/>
        </w:rPr>
      </w:pPr>
      <w:r w:rsidRPr="00A702F4">
        <w:rPr>
          <w:rFonts w:asciiTheme="minorHAnsi" w:hAnsiTheme="minorHAnsi" w:cstheme="minorHAnsi"/>
          <w:szCs w:val="24"/>
        </w:rPr>
        <w:t xml:space="preserve">Hinton, </w:t>
      </w:r>
      <w:r>
        <w:rPr>
          <w:rFonts w:asciiTheme="minorHAnsi" w:hAnsiTheme="minorHAnsi" w:cstheme="minorHAnsi"/>
          <w:szCs w:val="24"/>
        </w:rPr>
        <w:t xml:space="preserve">P. </w:t>
      </w:r>
      <w:r w:rsidRPr="00A702F4">
        <w:rPr>
          <w:rFonts w:asciiTheme="minorHAnsi" w:hAnsiTheme="minorHAnsi" w:cstheme="minorHAnsi"/>
          <w:szCs w:val="24"/>
        </w:rPr>
        <w:t>R., McMurray</w:t>
      </w:r>
      <w:r>
        <w:rPr>
          <w:rFonts w:asciiTheme="minorHAnsi" w:hAnsiTheme="minorHAnsi" w:cstheme="minorHAnsi"/>
          <w:szCs w:val="24"/>
        </w:rPr>
        <w:t>, I.</w:t>
      </w:r>
      <w:r w:rsidRPr="00A702F4">
        <w:rPr>
          <w:rFonts w:asciiTheme="minorHAnsi" w:hAnsiTheme="minorHAnsi" w:cstheme="minorHAnsi"/>
          <w:szCs w:val="24"/>
        </w:rPr>
        <w:t xml:space="preserve">, </w:t>
      </w:r>
      <w:r>
        <w:rPr>
          <w:rFonts w:asciiTheme="minorHAnsi" w:hAnsiTheme="minorHAnsi" w:cstheme="minorHAnsi"/>
          <w:szCs w:val="24"/>
        </w:rPr>
        <w:t>&amp;</w:t>
      </w:r>
      <w:r w:rsidRPr="00A702F4">
        <w:rPr>
          <w:rFonts w:asciiTheme="minorHAnsi" w:hAnsiTheme="minorHAnsi" w:cstheme="minorHAnsi"/>
          <w:szCs w:val="24"/>
        </w:rPr>
        <w:t xml:space="preserve"> Brownlow</w:t>
      </w:r>
      <w:r>
        <w:rPr>
          <w:rFonts w:asciiTheme="minorHAnsi" w:hAnsiTheme="minorHAnsi" w:cstheme="minorHAnsi"/>
          <w:szCs w:val="24"/>
        </w:rPr>
        <w:t>, C.</w:t>
      </w:r>
      <w:r w:rsidRPr="00A702F4">
        <w:rPr>
          <w:rFonts w:asciiTheme="minorHAnsi" w:hAnsiTheme="minorHAnsi" w:cstheme="minorHAnsi"/>
          <w:szCs w:val="24"/>
        </w:rPr>
        <w:t xml:space="preserve"> </w:t>
      </w:r>
      <w:r>
        <w:rPr>
          <w:rFonts w:asciiTheme="minorHAnsi" w:hAnsiTheme="minorHAnsi" w:cstheme="minorHAnsi"/>
          <w:szCs w:val="24"/>
        </w:rPr>
        <w:t>(</w:t>
      </w:r>
      <w:r w:rsidRPr="00A702F4">
        <w:rPr>
          <w:rFonts w:asciiTheme="minorHAnsi" w:hAnsiTheme="minorHAnsi" w:cstheme="minorHAnsi"/>
          <w:szCs w:val="24"/>
        </w:rPr>
        <w:t>2014</w:t>
      </w:r>
      <w:r>
        <w:rPr>
          <w:rFonts w:asciiTheme="minorHAnsi" w:hAnsiTheme="minorHAnsi" w:cstheme="minorHAnsi"/>
          <w:szCs w:val="24"/>
        </w:rPr>
        <w:t>)</w:t>
      </w:r>
      <w:r w:rsidRPr="00A702F4">
        <w:rPr>
          <w:rFonts w:asciiTheme="minorHAnsi" w:hAnsiTheme="minorHAnsi" w:cstheme="minorHAnsi"/>
          <w:szCs w:val="24"/>
        </w:rPr>
        <w:t xml:space="preserve">. </w:t>
      </w:r>
      <w:r w:rsidRPr="00A702F4">
        <w:rPr>
          <w:rFonts w:asciiTheme="minorHAnsi" w:hAnsiTheme="minorHAnsi" w:cstheme="minorHAnsi"/>
          <w:i/>
          <w:szCs w:val="24"/>
        </w:rPr>
        <w:t>SPSS Explained. 2nd ed</w:t>
      </w:r>
      <w:r w:rsidRPr="00A702F4">
        <w:rPr>
          <w:rFonts w:asciiTheme="minorHAnsi" w:hAnsiTheme="minorHAnsi" w:cstheme="minorHAnsi"/>
          <w:szCs w:val="24"/>
        </w:rPr>
        <w:t xml:space="preserve">. London: Routledge. </w:t>
      </w:r>
    </w:p>
    <w:p w:rsidR="006468FF" w:rsidRDefault="006468FF" w:rsidP="00CC2F81">
      <w:pPr>
        <w:pStyle w:val="EndNoteBibliography"/>
        <w:spacing w:after="0"/>
        <w:ind w:left="450" w:hanging="450"/>
        <w:rPr>
          <w:rFonts w:asciiTheme="minorHAnsi" w:hAnsiTheme="minorHAnsi" w:cstheme="minorHAnsi"/>
          <w:szCs w:val="24"/>
        </w:rPr>
      </w:pPr>
      <w:r w:rsidRPr="006468FF">
        <w:rPr>
          <w:rFonts w:asciiTheme="minorHAnsi" w:hAnsiTheme="minorHAnsi" w:cstheme="minorHAnsi"/>
          <w:szCs w:val="24"/>
        </w:rPr>
        <w:t xml:space="preserve">Holden, R. J., &amp; Karsh, B. T. (2010). The technology acceptance model: its past and its future in health care. </w:t>
      </w:r>
      <w:r w:rsidRPr="006468FF">
        <w:rPr>
          <w:rFonts w:asciiTheme="minorHAnsi" w:hAnsiTheme="minorHAnsi" w:cstheme="minorHAnsi"/>
          <w:i/>
          <w:szCs w:val="24"/>
        </w:rPr>
        <w:t>Journal of biomedical informatics, 43</w:t>
      </w:r>
      <w:r w:rsidRPr="006468FF">
        <w:rPr>
          <w:rFonts w:asciiTheme="minorHAnsi" w:hAnsiTheme="minorHAnsi" w:cstheme="minorHAnsi"/>
          <w:szCs w:val="24"/>
        </w:rPr>
        <w:t>(1), 159-172.</w:t>
      </w:r>
    </w:p>
    <w:p w:rsidR="00CC2F81" w:rsidRPr="00CC2F81" w:rsidRDefault="00CC2F81" w:rsidP="00CC2F81">
      <w:pPr>
        <w:pStyle w:val="EndNoteBibliography"/>
        <w:spacing w:after="0"/>
        <w:ind w:left="450" w:hanging="450"/>
        <w:rPr>
          <w:rFonts w:asciiTheme="minorHAnsi" w:hAnsiTheme="minorHAnsi" w:cstheme="minorHAnsi"/>
          <w:szCs w:val="24"/>
        </w:rPr>
      </w:pPr>
      <w:r w:rsidRPr="00CC2F81">
        <w:rPr>
          <w:rFonts w:asciiTheme="minorHAnsi" w:hAnsiTheme="minorHAnsi" w:cstheme="minorHAnsi"/>
          <w:szCs w:val="24"/>
        </w:rPr>
        <w:t xml:space="preserve">Hsieh, P.-J. (2015). Physicians’ acceptance of electronic medical records exchange: An extension of the decomposed TPB model with institutional trust and perceived risk. </w:t>
      </w:r>
      <w:r w:rsidRPr="00CC2F81">
        <w:rPr>
          <w:rFonts w:asciiTheme="minorHAnsi" w:hAnsiTheme="minorHAnsi" w:cstheme="minorHAnsi"/>
          <w:i/>
          <w:szCs w:val="24"/>
        </w:rPr>
        <w:t>International journal of medical informatics, 84</w:t>
      </w:r>
      <w:r w:rsidRPr="00CC2F81">
        <w:rPr>
          <w:rFonts w:asciiTheme="minorHAnsi" w:hAnsiTheme="minorHAnsi" w:cstheme="minorHAnsi"/>
          <w:szCs w:val="24"/>
        </w:rPr>
        <w:t xml:space="preserve">(1), 1-14. </w:t>
      </w:r>
    </w:p>
    <w:p w:rsidR="00CC2F81" w:rsidRPr="00CC2F81" w:rsidRDefault="00CC2F81" w:rsidP="00CC2F81">
      <w:pPr>
        <w:pStyle w:val="EndNoteBibliography"/>
        <w:spacing w:after="0"/>
        <w:ind w:left="450" w:hanging="450"/>
        <w:rPr>
          <w:rFonts w:asciiTheme="minorHAnsi" w:hAnsiTheme="minorHAnsi" w:cstheme="minorHAnsi"/>
          <w:szCs w:val="24"/>
        </w:rPr>
      </w:pPr>
      <w:r w:rsidRPr="00CC2F81">
        <w:rPr>
          <w:rFonts w:asciiTheme="minorHAnsi" w:hAnsiTheme="minorHAnsi" w:cstheme="minorHAnsi"/>
          <w:szCs w:val="24"/>
        </w:rPr>
        <w:t xml:space="preserve">Hung, S.-Y., Ku, Y.-C., &amp; Chien, J.-C. (2012). Understanding physicians’ acceptance of the Medline system for practicing evidence-based medicine: A decomposed TPB model. </w:t>
      </w:r>
      <w:r w:rsidRPr="00CC2F81">
        <w:rPr>
          <w:rFonts w:asciiTheme="minorHAnsi" w:hAnsiTheme="minorHAnsi" w:cstheme="minorHAnsi"/>
          <w:i/>
          <w:szCs w:val="24"/>
        </w:rPr>
        <w:t>International journal of medical informatics, 81</w:t>
      </w:r>
      <w:r w:rsidRPr="00CC2F81">
        <w:rPr>
          <w:rFonts w:asciiTheme="minorHAnsi" w:hAnsiTheme="minorHAnsi" w:cstheme="minorHAnsi"/>
          <w:szCs w:val="24"/>
        </w:rPr>
        <w:t xml:space="preserve">(2), 130-142. </w:t>
      </w:r>
    </w:p>
    <w:p w:rsidR="00CC2F81" w:rsidRPr="00CC2F81" w:rsidRDefault="00CC2F81" w:rsidP="00CC2F81">
      <w:pPr>
        <w:pStyle w:val="EndNoteBibliography"/>
        <w:spacing w:after="0"/>
        <w:ind w:left="450" w:hanging="450"/>
        <w:rPr>
          <w:rFonts w:asciiTheme="minorHAnsi" w:hAnsiTheme="minorHAnsi" w:cstheme="minorHAnsi"/>
          <w:szCs w:val="24"/>
        </w:rPr>
      </w:pPr>
      <w:r w:rsidRPr="00CC2F81">
        <w:rPr>
          <w:rFonts w:asciiTheme="minorHAnsi" w:hAnsiTheme="minorHAnsi" w:cstheme="minorHAnsi"/>
          <w:szCs w:val="24"/>
        </w:rPr>
        <w:t xml:space="preserve">Kapur, V., &amp; Boulton, A. (2020). Covid-19 Accelerates the Adoption of Telemedicine in Asia-Pacific Countries. </w:t>
      </w:r>
    </w:p>
    <w:p w:rsidR="00CC2F81" w:rsidRPr="00CC2F81" w:rsidRDefault="00CC2F81" w:rsidP="00CC2F81">
      <w:pPr>
        <w:pStyle w:val="EndNoteBibliography"/>
        <w:spacing w:after="0"/>
        <w:ind w:left="450" w:hanging="450"/>
        <w:rPr>
          <w:rFonts w:asciiTheme="minorHAnsi" w:hAnsiTheme="minorHAnsi" w:cstheme="minorHAnsi"/>
          <w:szCs w:val="24"/>
        </w:rPr>
      </w:pPr>
      <w:r w:rsidRPr="00CC2F81">
        <w:rPr>
          <w:rFonts w:asciiTheme="minorHAnsi" w:hAnsiTheme="minorHAnsi" w:cstheme="minorHAnsi"/>
          <w:szCs w:val="24"/>
        </w:rPr>
        <w:t xml:space="preserve">Karahanna, E., Straub, D. W., &amp; Chervany, N. L. (1999). Information technology adoption across time: a cross-sectional comparison of pre-adoption and post-adoption beliefs. </w:t>
      </w:r>
      <w:r w:rsidRPr="00CC2F81">
        <w:rPr>
          <w:rFonts w:asciiTheme="minorHAnsi" w:hAnsiTheme="minorHAnsi" w:cstheme="minorHAnsi"/>
          <w:i/>
          <w:szCs w:val="24"/>
        </w:rPr>
        <w:t>MIS quarterly</w:t>
      </w:r>
      <w:r w:rsidRPr="00CC2F81">
        <w:rPr>
          <w:rFonts w:asciiTheme="minorHAnsi" w:hAnsiTheme="minorHAnsi" w:cstheme="minorHAnsi"/>
          <w:szCs w:val="24"/>
        </w:rPr>
        <w:t xml:space="preserve">, 183-213. </w:t>
      </w:r>
    </w:p>
    <w:p w:rsidR="00642E77" w:rsidRDefault="00642E77" w:rsidP="00CC2F81">
      <w:pPr>
        <w:pStyle w:val="EndNoteBibliography"/>
        <w:spacing w:after="0"/>
        <w:ind w:left="450" w:hanging="450"/>
        <w:rPr>
          <w:rFonts w:asciiTheme="minorHAnsi" w:hAnsiTheme="minorHAnsi" w:cstheme="minorHAnsi"/>
          <w:szCs w:val="24"/>
        </w:rPr>
      </w:pPr>
      <w:r w:rsidRPr="00642E77">
        <w:rPr>
          <w:rFonts w:asciiTheme="minorHAnsi" w:hAnsiTheme="minorHAnsi" w:cstheme="minorHAnsi"/>
          <w:szCs w:val="24"/>
        </w:rPr>
        <w:t xml:space="preserve">Khader, Y. S., Jarrah, M. I., Al-Shudifat, A. E. M., Shdaifat, A., Aljanabi, H., Al-Fakeh, S. I., ... &amp; Al Tahan, M. (2014). Telecardiology application in Jordan: its impact on diagnosis and disease management, patients’ quality of life, and time-and cost-savings. </w:t>
      </w:r>
      <w:r w:rsidRPr="00642E77">
        <w:rPr>
          <w:rFonts w:asciiTheme="minorHAnsi" w:hAnsiTheme="minorHAnsi" w:cstheme="minorHAnsi"/>
          <w:i/>
          <w:szCs w:val="24"/>
        </w:rPr>
        <w:t>International journal of telemedicine and applications</w:t>
      </w:r>
      <w:r w:rsidRPr="00642E77">
        <w:rPr>
          <w:rFonts w:asciiTheme="minorHAnsi" w:hAnsiTheme="minorHAnsi" w:cstheme="minorHAnsi"/>
          <w:szCs w:val="24"/>
        </w:rPr>
        <w:t>, 2014.</w:t>
      </w:r>
    </w:p>
    <w:p w:rsidR="00CC2F81" w:rsidRPr="00CC2F81" w:rsidRDefault="00CC2F81" w:rsidP="00CC2F81">
      <w:pPr>
        <w:pStyle w:val="EndNoteBibliography"/>
        <w:spacing w:after="0"/>
        <w:ind w:left="450" w:hanging="450"/>
        <w:rPr>
          <w:rFonts w:asciiTheme="minorHAnsi" w:hAnsiTheme="minorHAnsi" w:cstheme="minorHAnsi"/>
          <w:szCs w:val="24"/>
        </w:rPr>
      </w:pPr>
      <w:r w:rsidRPr="00CC2F81">
        <w:rPr>
          <w:rFonts w:asciiTheme="minorHAnsi" w:hAnsiTheme="minorHAnsi" w:cstheme="minorHAnsi"/>
          <w:szCs w:val="24"/>
        </w:rPr>
        <w:t xml:space="preserve">Kim, J., &amp; Park, H.-A. (2012). Development of a health information technology acceptance model using consumers’ health behavior intention. </w:t>
      </w:r>
      <w:r w:rsidRPr="00CC2F81">
        <w:rPr>
          <w:rFonts w:asciiTheme="minorHAnsi" w:hAnsiTheme="minorHAnsi" w:cstheme="minorHAnsi"/>
          <w:i/>
          <w:szCs w:val="24"/>
        </w:rPr>
        <w:t>Journal of medical Internet research, 14</w:t>
      </w:r>
      <w:r w:rsidRPr="00CC2F81">
        <w:rPr>
          <w:rFonts w:asciiTheme="minorHAnsi" w:hAnsiTheme="minorHAnsi" w:cstheme="minorHAnsi"/>
          <w:szCs w:val="24"/>
        </w:rPr>
        <w:t xml:space="preserve">(5), e133. </w:t>
      </w:r>
    </w:p>
    <w:p w:rsidR="00CC2F81" w:rsidRPr="00CC2F81" w:rsidRDefault="00CC2F81" w:rsidP="00CC2F81">
      <w:pPr>
        <w:pStyle w:val="EndNoteBibliography"/>
        <w:spacing w:after="0"/>
        <w:ind w:left="450" w:hanging="450"/>
        <w:rPr>
          <w:rFonts w:asciiTheme="minorHAnsi" w:hAnsiTheme="minorHAnsi" w:cstheme="minorHAnsi"/>
          <w:szCs w:val="24"/>
        </w:rPr>
      </w:pPr>
      <w:r w:rsidRPr="00CC2F81">
        <w:rPr>
          <w:rFonts w:asciiTheme="minorHAnsi" w:hAnsiTheme="minorHAnsi" w:cstheme="minorHAnsi"/>
          <w:szCs w:val="24"/>
        </w:rPr>
        <w:t xml:space="preserve">Koivisto, K., Makkonen, M., Frank, L., &amp; Riekkinen, J. (2016). Extending the technology acceptance model with personal innovativeness and technology readiness: a comparison of three models. </w:t>
      </w:r>
      <w:r w:rsidRPr="00CC2F81">
        <w:rPr>
          <w:rFonts w:asciiTheme="minorHAnsi" w:hAnsiTheme="minorHAnsi" w:cstheme="minorHAnsi"/>
          <w:i/>
          <w:szCs w:val="24"/>
        </w:rPr>
        <w:t>BLED 2016: Proceedings of the 29th Bled eConference" Digital Economy", ISBN 978-961-232-287-8</w:t>
      </w:r>
      <w:r w:rsidRPr="00CC2F81">
        <w:rPr>
          <w:rFonts w:asciiTheme="minorHAnsi" w:hAnsiTheme="minorHAnsi" w:cstheme="minorHAnsi"/>
          <w:szCs w:val="24"/>
        </w:rPr>
        <w:t xml:space="preserve">. </w:t>
      </w:r>
    </w:p>
    <w:p w:rsidR="00CC2F81" w:rsidRPr="00CC2F81" w:rsidRDefault="00CC2F81" w:rsidP="00CC2F81">
      <w:pPr>
        <w:pStyle w:val="EndNoteBibliography"/>
        <w:spacing w:after="0"/>
        <w:ind w:left="450" w:hanging="450"/>
        <w:rPr>
          <w:rFonts w:asciiTheme="minorHAnsi" w:hAnsiTheme="minorHAnsi" w:cstheme="minorHAnsi"/>
          <w:szCs w:val="24"/>
        </w:rPr>
      </w:pPr>
      <w:r w:rsidRPr="00CC2F81">
        <w:rPr>
          <w:rFonts w:asciiTheme="minorHAnsi" w:hAnsiTheme="minorHAnsi" w:cstheme="minorHAnsi"/>
          <w:szCs w:val="24"/>
        </w:rPr>
        <w:t xml:space="preserve">Kulkarni, V. T., Ross, J. S., Wang, Y., Nallamothu, B. K., Spertus, J. A., Normand, S.-L. T., . . . Krumholz, H. M. (2013). Regional density of cardiologists and rates of mortality for acute myocardial infarction and heart failure. </w:t>
      </w:r>
      <w:r w:rsidRPr="00CC2F81">
        <w:rPr>
          <w:rFonts w:asciiTheme="minorHAnsi" w:hAnsiTheme="minorHAnsi" w:cstheme="minorHAnsi"/>
          <w:i/>
          <w:szCs w:val="24"/>
        </w:rPr>
        <w:t>Circulation: Cardiovascular Quality and Outcomes, 6</w:t>
      </w:r>
      <w:r w:rsidRPr="00CC2F81">
        <w:rPr>
          <w:rFonts w:asciiTheme="minorHAnsi" w:hAnsiTheme="minorHAnsi" w:cstheme="minorHAnsi"/>
          <w:szCs w:val="24"/>
        </w:rPr>
        <w:t xml:space="preserve">(3), 352-359. </w:t>
      </w:r>
    </w:p>
    <w:p w:rsidR="00CC2F81" w:rsidRPr="00CC2F81" w:rsidRDefault="00CC2F81" w:rsidP="00CC2F81">
      <w:pPr>
        <w:pStyle w:val="EndNoteBibliography"/>
        <w:spacing w:after="0"/>
        <w:ind w:left="450" w:hanging="450"/>
        <w:rPr>
          <w:rFonts w:asciiTheme="minorHAnsi" w:hAnsiTheme="minorHAnsi" w:cstheme="minorHAnsi"/>
          <w:szCs w:val="24"/>
        </w:rPr>
      </w:pPr>
      <w:r w:rsidRPr="00CC2F81">
        <w:rPr>
          <w:rFonts w:asciiTheme="minorHAnsi" w:hAnsiTheme="minorHAnsi" w:cstheme="minorHAnsi"/>
          <w:szCs w:val="24"/>
        </w:rPr>
        <w:lastRenderedPageBreak/>
        <w:t xml:space="preserve">Kuo, K.-M., Liu, C.-F., &amp; Ma, C.-C. (2013). An investigation of the effect of nurses’ technology readiness on the acceptance of mobile electronic medical record systems. </w:t>
      </w:r>
      <w:r w:rsidRPr="00CC2F81">
        <w:rPr>
          <w:rFonts w:asciiTheme="minorHAnsi" w:hAnsiTheme="minorHAnsi" w:cstheme="minorHAnsi"/>
          <w:i/>
          <w:szCs w:val="24"/>
        </w:rPr>
        <w:t>BMC medical informatics and decision making, 13</w:t>
      </w:r>
      <w:r w:rsidRPr="00CC2F81">
        <w:rPr>
          <w:rFonts w:asciiTheme="minorHAnsi" w:hAnsiTheme="minorHAnsi" w:cstheme="minorHAnsi"/>
          <w:szCs w:val="24"/>
        </w:rPr>
        <w:t xml:space="preserve">(1), 88. </w:t>
      </w:r>
    </w:p>
    <w:p w:rsidR="00CC2F81" w:rsidRPr="00CC2F81" w:rsidRDefault="00CC2F81" w:rsidP="00CC2F81">
      <w:pPr>
        <w:pStyle w:val="EndNoteBibliography"/>
        <w:spacing w:after="0"/>
        <w:ind w:left="450" w:hanging="450"/>
        <w:rPr>
          <w:rFonts w:asciiTheme="minorHAnsi" w:hAnsiTheme="minorHAnsi" w:cstheme="minorHAnsi"/>
          <w:szCs w:val="24"/>
        </w:rPr>
      </w:pPr>
      <w:r w:rsidRPr="00CC2F81">
        <w:rPr>
          <w:rFonts w:asciiTheme="minorHAnsi" w:hAnsiTheme="minorHAnsi" w:cstheme="minorHAnsi"/>
          <w:szCs w:val="24"/>
        </w:rPr>
        <w:t xml:space="preserve">Lin, C. H., Shih, H. Y., &amp; Sher, P. J. (2007). Integrating technology readiness into technology acceptance: The TRAM model. </w:t>
      </w:r>
      <w:r w:rsidRPr="00CC2F81">
        <w:rPr>
          <w:rFonts w:asciiTheme="minorHAnsi" w:hAnsiTheme="minorHAnsi" w:cstheme="minorHAnsi"/>
          <w:i/>
          <w:szCs w:val="24"/>
        </w:rPr>
        <w:t>Psychology &amp; Marketing, 24</w:t>
      </w:r>
      <w:r w:rsidRPr="00CC2F81">
        <w:rPr>
          <w:rFonts w:asciiTheme="minorHAnsi" w:hAnsiTheme="minorHAnsi" w:cstheme="minorHAnsi"/>
          <w:szCs w:val="24"/>
        </w:rPr>
        <w:t xml:space="preserve">(7), 641-657. </w:t>
      </w:r>
    </w:p>
    <w:p w:rsidR="00CC2F81" w:rsidRPr="00CC2F81" w:rsidRDefault="00CC2F81" w:rsidP="00CC2F81">
      <w:pPr>
        <w:pStyle w:val="EndNoteBibliography"/>
        <w:spacing w:after="0"/>
        <w:ind w:left="450" w:hanging="450"/>
        <w:rPr>
          <w:rFonts w:asciiTheme="minorHAnsi" w:hAnsiTheme="minorHAnsi" w:cstheme="minorHAnsi"/>
          <w:szCs w:val="24"/>
        </w:rPr>
      </w:pPr>
      <w:r w:rsidRPr="00CC2F81">
        <w:rPr>
          <w:rFonts w:asciiTheme="minorHAnsi" w:hAnsiTheme="minorHAnsi" w:cstheme="minorHAnsi"/>
          <w:szCs w:val="24"/>
        </w:rPr>
        <w:t xml:space="preserve">Lin, J. S. C., &amp; Chang, H. C. (2011). The role of technology readiness in self‐service technology acceptance. </w:t>
      </w:r>
      <w:r w:rsidRPr="00CC2F81">
        <w:rPr>
          <w:rFonts w:asciiTheme="minorHAnsi" w:hAnsiTheme="minorHAnsi" w:cstheme="minorHAnsi"/>
          <w:i/>
          <w:szCs w:val="24"/>
        </w:rPr>
        <w:t>Managing Service Quality: An International Journal, 21</w:t>
      </w:r>
      <w:r w:rsidRPr="00CC2F81">
        <w:rPr>
          <w:rFonts w:asciiTheme="minorHAnsi" w:hAnsiTheme="minorHAnsi" w:cstheme="minorHAnsi"/>
          <w:szCs w:val="24"/>
        </w:rPr>
        <w:t xml:space="preserve">(4), 424-444. </w:t>
      </w:r>
    </w:p>
    <w:p w:rsidR="00642E77" w:rsidRDefault="00642E77" w:rsidP="00CC2F81">
      <w:pPr>
        <w:pStyle w:val="EndNoteBibliography"/>
        <w:spacing w:after="0"/>
        <w:ind w:left="450" w:hanging="450"/>
        <w:rPr>
          <w:rFonts w:asciiTheme="minorHAnsi" w:hAnsiTheme="minorHAnsi" w:cstheme="minorHAnsi"/>
          <w:szCs w:val="24"/>
        </w:rPr>
      </w:pPr>
      <w:r w:rsidRPr="00642E77">
        <w:rPr>
          <w:rFonts w:asciiTheme="minorHAnsi" w:hAnsiTheme="minorHAnsi" w:cstheme="minorHAnsi"/>
          <w:szCs w:val="24"/>
        </w:rPr>
        <w:t xml:space="preserve">Molinari, G., Reboa, G., Frascio, M., Leoncini, M., Rolandi, A., Balzan, C., &amp; Barsotti, A. (2002). The role of telecardiology in supporting the decision-making process of general practitioners during the management of patients with suspected cardiac events. </w:t>
      </w:r>
      <w:r w:rsidRPr="00642E77">
        <w:rPr>
          <w:rFonts w:asciiTheme="minorHAnsi" w:hAnsiTheme="minorHAnsi" w:cstheme="minorHAnsi"/>
          <w:i/>
          <w:szCs w:val="24"/>
        </w:rPr>
        <w:t>Journal of Telemedicine and Telecare</w:t>
      </w:r>
      <w:r w:rsidRPr="00642E77">
        <w:rPr>
          <w:rFonts w:asciiTheme="minorHAnsi" w:hAnsiTheme="minorHAnsi" w:cstheme="minorHAnsi"/>
          <w:szCs w:val="24"/>
        </w:rPr>
        <w:t xml:space="preserve">, </w:t>
      </w:r>
      <w:r w:rsidRPr="000749BC">
        <w:rPr>
          <w:rFonts w:asciiTheme="minorHAnsi" w:hAnsiTheme="minorHAnsi" w:cstheme="minorHAnsi"/>
          <w:i/>
          <w:szCs w:val="24"/>
        </w:rPr>
        <w:t>8</w:t>
      </w:r>
      <w:r w:rsidRPr="00642E77">
        <w:rPr>
          <w:rFonts w:asciiTheme="minorHAnsi" w:hAnsiTheme="minorHAnsi" w:cstheme="minorHAnsi"/>
          <w:szCs w:val="24"/>
        </w:rPr>
        <w:t>(2), 97-101.</w:t>
      </w:r>
    </w:p>
    <w:p w:rsidR="00CC2F81" w:rsidRPr="00CC2F81" w:rsidRDefault="00CC2F81" w:rsidP="00CC2F81">
      <w:pPr>
        <w:pStyle w:val="EndNoteBibliography"/>
        <w:spacing w:after="0"/>
        <w:ind w:left="450" w:hanging="450"/>
        <w:rPr>
          <w:rFonts w:asciiTheme="minorHAnsi" w:hAnsiTheme="minorHAnsi" w:cstheme="minorHAnsi"/>
          <w:szCs w:val="24"/>
        </w:rPr>
      </w:pPr>
      <w:r w:rsidRPr="00CC2F81">
        <w:rPr>
          <w:rFonts w:asciiTheme="minorHAnsi" w:hAnsiTheme="minorHAnsi" w:cstheme="minorHAnsi"/>
          <w:szCs w:val="24"/>
        </w:rPr>
        <w:t xml:space="preserve">Parasuraman, A. (2000). Technology Readiness Index (TRI) a multiple-item scale to measure readiness to embrace new technologies. </w:t>
      </w:r>
      <w:r w:rsidRPr="00CC2F81">
        <w:rPr>
          <w:rFonts w:asciiTheme="minorHAnsi" w:hAnsiTheme="minorHAnsi" w:cstheme="minorHAnsi"/>
          <w:i/>
          <w:szCs w:val="24"/>
        </w:rPr>
        <w:t>Journal of service research, 2</w:t>
      </w:r>
      <w:r w:rsidRPr="00CC2F81">
        <w:rPr>
          <w:rFonts w:asciiTheme="minorHAnsi" w:hAnsiTheme="minorHAnsi" w:cstheme="minorHAnsi"/>
          <w:szCs w:val="24"/>
        </w:rPr>
        <w:t xml:space="preserve">(4), 307-320. </w:t>
      </w:r>
    </w:p>
    <w:p w:rsidR="000749BC" w:rsidRDefault="000749BC" w:rsidP="00CC2F81">
      <w:pPr>
        <w:pStyle w:val="EndNoteBibliography"/>
        <w:spacing w:after="0"/>
        <w:ind w:left="450" w:hanging="450"/>
        <w:rPr>
          <w:rFonts w:asciiTheme="minorHAnsi" w:hAnsiTheme="minorHAnsi" w:cstheme="minorHAnsi"/>
          <w:szCs w:val="24"/>
        </w:rPr>
      </w:pPr>
      <w:r w:rsidRPr="000749BC">
        <w:rPr>
          <w:rFonts w:asciiTheme="minorHAnsi" w:hAnsiTheme="minorHAnsi" w:cstheme="minorHAnsi"/>
          <w:szCs w:val="24"/>
        </w:rPr>
        <w:t>Parasuraman, A., &amp; Colby, C. L. (2015). An updated and streamlined technology readiness index: TRI 2.0.</w:t>
      </w:r>
      <w:r w:rsidRPr="000749BC">
        <w:rPr>
          <w:rFonts w:asciiTheme="minorHAnsi" w:hAnsiTheme="minorHAnsi" w:cstheme="minorHAnsi"/>
          <w:i/>
          <w:szCs w:val="24"/>
        </w:rPr>
        <w:t xml:space="preserve"> Journal of service research</w:t>
      </w:r>
      <w:r w:rsidRPr="000749BC">
        <w:rPr>
          <w:rFonts w:asciiTheme="minorHAnsi" w:hAnsiTheme="minorHAnsi" w:cstheme="minorHAnsi"/>
          <w:szCs w:val="24"/>
        </w:rPr>
        <w:t xml:space="preserve">, </w:t>
      </w:r>
      <w:r w:rsidRPr="000749BC">
        <w:rPr>
          <w:rFonts w:asciiTheme="minorHAnsi" w:hAnsiTheme="minorHAnsi" w:cstheme="minorHAnsi"/>
          <w:i/>
          <w:szCs w:val="24"/>
        </w:rPr>
        <w:t>18</w:t>
      </w:r>
      <w:r w:rsidRPr="000749BC">
        <w:rPr>
          <w:rFonts w:asciiTheme="minorHAnsi" w:hAnsiTheme="minorHAnsi" w:cstheme="minorHAnsi"/>
          <w:szCs w:val="24"/>
        </w:rPr>
        <w:t>(1), 59-74.</w:t>
      </w:r>
    </w:p>
    <w:p w:rsidR="00826983" w:rsidRDefault="00826983" w:rsidP="00CC2F81">
      <w:pPr>
        <w:pStyle w:val="EndNoteBibliography"/>
        <w:spacing w:after="0"/>
        <w:ind w:left="450" w:hanging="450"/>
        <w:rPr>
          <w:rFonts w:asciiTheme="minorHAnsi" w:hAnsiTheme="minorHAnsi" w:cstheme="minorHAnsi"/>
          <w:szCs w:val="24"/>
        </w:rPr>
      </w:pPr>
      <w:r w:rsidRPr="00826983">
        <w:rPr>
          <w:rFonts w:asciiTheme="minorHAnsi" w:hAnsiTheme="minorHAnsi" w:cstheme="minorHAnsi"/>
          <w:szCs w:val="24"/>
        </w:rPr>
        <w:t>Tabachnick, B</w:t>
      </w:r>
      <w:r>
        <w:rPr>
          <w:rFonts w:asciiTheme="minorHAnsi" w:hAnsiTheme="minorHAnsi" w:cstheme="minorHAnsi"/>
          <w:szCs w:val="24"/>
        </w:rPr>
        <w:t>.</w:t>
      </w:r>
      <w:r w:rsidRPr="00826983">
        <w:rPr>
          <w:rFonts w:asciiTheme="minorHAnsi" w:hAnsiTheme="minorHAnsi" w:cstheme="minorHAnsi"/>
          <w:szCs w:val="24"/>
        </w:rPr>
        <w:t xml:space="preserve"> G. </w:t>
      </w:r>
      <w:r>
        <w:rPr>
          <w:rFonts w:asciiTheme="minorHAnsi" w:hAnsiTheme="minorHAnsi" w:cstheme="minorHAnsi"/>
          <w:szCs w:val="24"/>
        </w:rPr>
        <w:t>&amp;</w:t>
      </w:r>
      <w:r w:rsidRPr="00826983">
        <w:rPr>
          <w:rFonts w:asciiTheme="minorHAnsi" w:hAnsiTheme="minorHAnsi" w:cstheme="minorHAnsi"/>
          <w:szCs w:val="24"/>
        </w:rPr>
        <w:t xml:space="preserve"> Fidell</w:t>
      </w:r>
      <w:r>
        <w:rPr>
          <w:rFonts w:asciiTheme="minorHAnsi" w:hAnsiTheme="minorHAnsi" w:cstheme="minorHAnsi"/>
          <w:szCs w:val="24"/>
        </w:rPr>
        <w:t>,</w:t>
      </w:r>
      <w:r w:rsidRPr="00826983">
        <w:rPr>
          <w:rFonts w:asciiTheme="minorHAnsi" w:hAnsiTheme="minorHAnsi" w:cstheme="minorHAnsi"/>
          <w:szCs w:val="24"/>
        </w:rPr>
        <w:t xml:space="preserve"> </w:t>
      </w:r>
      <w:r w:rsidRPr="00826983">
        <w:rPr>
          <w:rFonts w:asciiTheme="minorHAnsi" w:hAnsiTheme="minorHAnsi" w:cstheme="minorHAnsi"/>
          <w:szCs w:val="24"/>
        </w:rPr>
        <w:t>L</w:t>
      </w:r>
      <w:r>
        <w:rPr>
          <w:rFonts w:asciiTheme="minorHAnsi" w:hAnsiTheme="minorHAnsi" w:cstheme="minorHAnsi"/>
          <w:szCs w:val="24"/>
        </w:rPr>
        <w:t>.</w:t>
      </w:r>
      <w:r w:rsidRPr="00826983">
        <w:rPr>
          <w:rFonts w:asciiTheme="minorHAnsi" w:hAnsiTheme="minorHAnsi" w:cstheme="minorHAnsi"/>
          <w:szCs w:val="24"/>
        </w:rPr>
        <w:t xml:space="preserve"> S.</w:t>
      </w:r>
      <w:r w:rsidRPr="00826983">
        <w:rPr>
          <w:rFonts w:asciiTheme="minorHAnsi" w:hAnsiTheme="minorHAnsi" w:cstheme="minorHAnsi"/>
          <w:szCs w:val="24"/>
        </w:rPr>
        <w:t xml:space="preserve"> </w:t>
      </w:r>
      <w:r>
        <w:rPr>
          <w:rFonts w:asciiTheme="minorHAnsi" w:hAnsiTheme="minorHAnsi" w:cstheme="minorHAnsi"/>
          <w:szCs w:val="24"/>
        </w:rPr>
        <w:t>(</w:t>
      </w:r>
      <w:r w:rsidRPr="00826983">
        <w:rPr>
          <w:rFonts w:asciiTheme="minorHAnsi" w:hAnsiTheme="minorHAnsi" w:cstheme="minorHAnsi"/>
          <w:szCs w:val="24"/>
        </w:rPr>
        <w:t>2007</w:t>
      </w:r>
      <w:r>
        <w:rPr>
          <w:rFonts w:asciiTheme="minorHAnsi" w:hAnsiTheme="minorHAnsi" w:cstheme="minorHAnsi"/>
          <w:szCs w:val="24"/>
        </w:rPr>
        <w:t>)</w:t>
      </w:r>
      <w:r w:rsidRPr="00826983">
        <w:rPr>
          <w:rFonts w:asciiTheme="minorHAnsi" w:hAnsiTheme="minorHAnsi" w:cstheme="minorHAnsi"/>
          <w:szCs w:val="24"/>
        </w:rPr>
        <w:t xml:space="preserve">. </w:t>
      </w:r>
      <w:r w:rsidRPr="00826983">
        <w:rPr>
          <w:rFonts w:asciiTheme="minorHAnsi" w:hAnsiTheme="minorHAnsi" w:cstheme="minorHAnsi"/>
          <w:i/>
          <w:szCs w:val="24"/>
        </w:rPr>
        <w:t>Using Multivariate Statistics. 5th ed.</w:t>
      </w:r>
      <w:r w:rsidRPr="00826983">
        <w:rPr>
          <w:rFonts w:asciiTheme="minorHAnsi" w:hAnsiTheme="minorHAnsi" w:cstheme="minorHAnsi"/>
          <w:szCs w:val="24"/>
        </w:rPr>
        <w:t xml:space="preserve"> Boston: Pearson Education.</w:t>
      </w:r>
    </w:p>
    <w:p w:rsidR="00CC2F81" w:rsidRPr="00CC2F81" w:rsidRDefault="00CC2F81" w:rsidP="00CC2F81">
      <w:pPr>
        <w:pStyle w:val="EndNoteBibliography"/>
        <w:spacing w:after="0"/>
        <w:ind w:left="450" w:hanging="450"/>
        <w:rPr>
          <w:rFonts w:asciiTheme="minorHAnsi" w:hAnsiTheme="minorHAnsi" w:cstheme="minorHAnsi"/>
          <w:szCs w:val="24"/>
        </w:rPr>
      </w:pPr>
      <w:r w:rsidRPr="00CC2F81">
        <w:rPr>
          <w:rFonts w:asciiTheme="minorHAnsi" w:hAnsiTheme="minorHAnsi" w:cstheme="minorHAnsi"/>
          <w:szCs w:val="24"/>
        </w:rPr>
        <w:t xml:space="preserve">Underwood, C. (2002). Belief and attitude change in the context of human development. In I. Sirageldin (Ed.), </w:t>
      </w:r>
      <w:r w:rsidRPr="00CC2F81">
        <w:rPr>
          <w:rFonts w:asciiTheme="minorHAnsi" w:hAnsiTheme="minorHAnsi" w:cstheme="minorHAnsi"/>
          <w:i/>
          <w:szCs w:val="24"/>
        </w:rPr>
        <w:t>Sustainable human development in the twenty first century, Volume 2</w:t>
      </w:r>
      <w:r w:rsidRPr="00CC2F81">
        <w:rPr>
          <w:rFonts w:asciiTheme="minorHAnsi" w:hAnsiTheme="minorHAnsi" w:cstheme="minorHAnsi"/>
          <w:szCs w:val="24"/>
        </w:rPr>
        <w:t xml:space="preserve"> (pp. 103-124). Oxford: EOLSS Publishers.</w:t>
      </w:r>
    </w:p>
    <w:p w:rsidR="00CC2F81" w:rsidRPr="00CC2F81" w:rsidRDefault="00CC2F81" w:rsidP="00CC2F81">
      <w:pPr>
        <w:pStyle w:val="EndNoteBibliography"/>
        <w:spacing w:after="0"/>
        <w:ind w:left="450" w:hanging="450"/>
        <w:rPr>
          <w:rFonts w:asciiTheme="minorHAnsi" w:hAnsiTheme="minorHAnsi" w:cstheme="minorHAnsi"/>
          <w:szCs w:val="24"/>
        </w:rPr>
      </w:pPr>
      <w:r w:rsidRPr="00CC2F81">
        <w:rPr>
          <w:rFonts w:asciiTheme="minorHAnsi" w:hAnsiTheme="minorHAnsi" w:cstheme="minorHAnsi"/>
          <w:szCs w:val="24"/>
        </w:rPr>
        <w:t xml:space="preserve">Walczuch, R., Lemmink, J., &amp; Streukens, S. (2007). The effect of service employees’ technology readiness on technology acceptance. </w:t>
      </w:r>
      <w:r w:rsidRPr="00CC2F81">
        <w:rPr>
          <w:rFonts w:asciiTheme="minorHAnsi" w:hAnsiTheme="minorHAnsi" w:cstheme="minorHAnsi"/>
          <w:i/>
          <w:szCs w:val="24"/>
        </w:rPr>
        <w:t>Information &amp; Management, 44</w:t>
      </w:r>
      <w:r w:rsidRPr="00CC2F81">
        <w:rPr>
          <w:rFonts w:asciiTheme="minorHAnsi" w:hAnsiTheme="minorHAnsi" w:cstheme="minorHAnsi"/>
          <w:szCs w:val="24"/>
        </w:rPr>
        <w:t xml:space="preserve">(2), 206-215. </w:t>
      </w:r>
    </w:p>
    <w:p w:rsidR="00780B97" w:rsidRDefault="00780B97" w:rsidP="00780B97">
      <w:pPr>
        <w:pStyle w:val="EndNoteBibliography"/>
        <w:spacing w:after="0"/>
        <w:ind w:left="450" w:hanging="450"/>
        <w:rPr>
          <w:rFonts w:asciiTheme="minorHAnsi" w:hAnsiTheme="minorHAnsi" w:cstheme="minorHAnsi"/>
          <w:szCs w:val="24"/>
        </w:rPr>
      </w:pPr>
      <w:r w:rsidRPr="00780B97">
        <w:rPr>
          <w:rFonts w:asciiTheme="minorHAnsi" w:hAnsiTheme="minorHAnsi" w:cstheme="minorHAnsi"/>
          <w:szCs w:val="24"/>
        </w:rPr>
        <w:t>Wan Ahmad, W.</w:t>
      </w:r>
      <w:r>
        <w:rPr>
          <w:rFonts w:asciiTheme="minorHAnsi" w:hAnsiTheme="minorHAnsi" w:cstheme="minorHAnsi"/>
          <w:szCs w:val="24"/>
        </w:rPr>
        <w:t xml:space="preserve"> A. (</w:t>
      </w:r>
      <w:r w:rsidRPr="00780B97">
        <w:rPr>
          <w:rFonts w:asciiTheme="minorHAnsi" w:hAnsiTheme="minorHAnsi" w:cstheme="minorHAnsi"/>
          <w:szCs w:val="24"/>
        </w:rPr>
        <w:t>2017</w:t>
      </w:r>
      <w:r>
        <w:rPr>
          <w:rFonts w:asciiTheme="minorHAnsi" w:hAnsiTheme="minorHAnsi" w:cstheme="minorHAnsi"/>
          <w:szCs w:val="24"/>
        </w:rPr>
        <w:t>).</w:t>
      </w:r>
      <w:r w:rsidRPr="00780B97">
        <w:rPr>
          <w:rFonts w:asciiTheme="minorHAnsi" w:hAnsiTheme="minorHAnsi" w:cstheme="minorHAnsi"/>
          <w:szCs w:val="24"/>
        </w:rPr>
        <w:t xml:space="preserve"> </w:t>
      </w:r>
      <w:r w:rsidRPr="00780B97">
        <w:rPr>
          <w:rFonts w:asciiTheme="minorHAnsi" w:hAnsiTheme="minorHAnsi" w:cstheme="minorHAnsi"/>
          <w:i/>
          <w:szCs w:val="24"/>
        </w:rPr>
        <w:t>Annual Report of the Acute Coronary Syndrome (ACS) Registry 2014 – 2015. Kuala Lumpur.</w:t>
      </w:r>
      <w:r w:rsidRPr="00780B97">
        <w:rPr>
          <w:rFonts w:asciiTheme="minorHAnsi" w:hAnsiTheme="minorHAnsi" w:cstheme="minorHAnsi"/>
          <w:szCs w:val="24"/>
        </w:rPr>
        <w:t xml:space="preserve"> https://www.malaysianheart.org/files/5ae6b0477ed84.pdf</w:t>
      </w:r>
    </w:p>
    <w:p w:rsidR="00CC2F81" w:rsidRPr="00CC2F81" w:rsidRDefault="00CC2F81" w:rsidP="00CC2F81">
      <w:pPr>
        <w:pStyle w:val="EndNoteBibliography"/>
        <w:spacing w:after="0"/>
        <w:ind w:left="450" w:hanging="450"/>
        <w:rPr>
          <w:rFonts w:asciiTheme="minorHAnsi" w:hAnsiTheme="minorHAnsi" w:cstheme="minorHAnsi"/>
          <w:szCs w:val="24"/>
        </w:rPr>
      </w:pPr>
      <w:r w:rsidRPr="00CC2F81">
        <w:rPr>
          <w:rFonts w:asciiTheme="minorHAnsi" w:hAnsiTheme="minorHAnsi" w:cstheme="minorHAnsi"/>
          <w:szCs w:val="24"/>
        </w:rPr>
        <w:t xml:space="preserve">WHO. (2020). WHO Coronavirus Disease (COVID-19) Dashboard. </w:t>
      </w:r>
    </w:p>
    <w:p w:rsidR="00CC2F81" w:rsidRPr="00CC2F81" w:rsidRDefault="00CC2F81" w:rsidP="00CC2F81">
      <w:pPr>
        <w:pStyle w:val="EndNoteBibliography"/>
        <w:spacing w:after="0"/>
        <w:ind w:left="450" w:hanging="450"/>
        <w:rPr>
          <w:rFonts w:asciiTheme="minorHAnsi" w:hAnsiTheme="minorHAnsi" w:cstheme="minorHAnsi"/>
          <w:szCs w:val="24"/>
        </w:rPr>
      </w:pPr>
      <w:r w:rsidRPr="00CC2F81">
        <w:rPr>
          <w:rFonts w:asciiTheme="minorHAnsi" w:hAnsiTheme="minorHAnsi" w:cstheme="minorHAnsi"/>
          <w:szCs w:val="24"/>
        </w:rPr>
        <w:t xml:space="preserve">Yellowlees, P. (1997). Successful development of telemedicine systems-seven core principles. </w:t>
      </w:r>
      <w:r w:rsidRPr="00CC2F81">
        <w:rPr>
          <w:rFonts w:asciiTheme="minorHAnsi" w:hAnsiTheme="minorHAnsi" w:cstheme="minorHAnsi"/>
          <w:i/>
          <w:szCs w:val="24"/>
        </w:rPr>
        <w:t>Journal of telemedicine and telecare, 3</w:t>
      </w:r>
      <w:r w:rsidRPr="00CC2F81">
        <w:rPr>
          <w:rFonts w:asciiTheme="minorHAnsi" w:hAnsiTheme="minorHAnsi" w:cstheme="minorHAnsi"/>
          <w:szCs w:val="24"/>
        </w:rPr>
        <w:t xml:space="preserve">(4), 215-222. </w:t>
      </w:r>
    </w:p>
    <w:p w:rsidR="00A702F4" w:rsidRDefault="00A702F4" w:rsidP="00CC2F81">
      <w:pPr>
        <w:pStyle w:val="EndNoteBibliography"/>
        <w:spacing w:after="0"/>
        <w:ind w:left="450" w:hanging="450"/>
        <w:rPr>
          <w:rFonts w:asciiTheme="minorHAnsi" w:hAnsiTheme="minorHAnsi" w:cstheme="minorHAnsi"/>
          <w:szCs w:val="24"/>
        </w:rPr>
      </w:pPr>
      <w:r w:rsidRPr="00A702F4">
        <w:rPr>
          <w:rFonts w:asciiTheme="minorHAnsi" w:hAnsiTheme="minorHAnsi" w:cstheme="minorHAnsi"/>
          <w:szCs w:val="24"/>
        </w:rPr>
        <w:t xml:space="preserve">Wu, J. H., Wang, S. C., &amp; Lin, L. M. (2007). Mobile computing acceptance factors in the healthcare industry: A structural equation model. </w:t>
      </w:r>
      <w:r w:rsidRPr="00A702F4">
        <w:rPr>
          <w:rFonts w:asciiTheme="minorHAnsi" w:hAnsiTheme="minorHAnsi" w:cstheme="minorHAnsi"/>
          <w:i/>
          <w:szCs w:val="24"/>
        </w:rPr>
        <w:t>International journal of medical informatics, 76</w:t>
      </w:r>
      <w:r w:rsidRPr="00A702F4">
        <w:rPr>
          <w:rFonts w:asciiTheme="minorHAnsi" w:hAnsiTheme="minorHAnsi" w:cstheme="minorHAnsi"/>
          <w:szCs w:val="24"/>
        </w:rPr>
        <w:t>(1), 66-77.</w:t>
      </w:r>
    </w:p>
    <w:p w:rsidR="00CC2F81" w:rsidRPr="00CC2F81" w:rsidRDefault="00CC2F81" w:rsidP="00CC2F81">
      <w:pPr>
        <w:pStyle w:val="EndNoteBibliography"/>
        <w:spacing w:after="0"/>
        <w:ind w:left="450" w:hanging="450"/>
        <w:rPr>
          <w:rFonts w:asciiTheme="minorHAnsi" w:hAnsiTheme="minorHAnsi" w:cstheme="minorHAnsi"/>
          <w:szCs w:val="24"/>
        </w:rPr>
      </w:pPr>
      <w:r w:rsidRPr="00CC2F81">
        <w:rPr>
          <w:rFonts w:asciiTheme="minorHAnsi" w:hAnsiTheme="minorHAnsi" w:cstheme="minorHAnsi"/>
          <w:szCs w:val="24"/>
        </w:rPr>
        <w:t xml:space="preserve">Yeo, K. J., Al-Ashwal, R. H. A., Handayani, L., &amp; Lee, S. H. (2019). Healthcare receivers' acceptance of telecardiology in Malaysia. </w:t>
      </w:r>
      <w:r w:rsidRPr="00CC2F81">
        <w:rPr>
          <w:rFonts w:asciiTheme="minorHAnsi" w:hAnsiTheme="minorHAnsi" w:cstheme="minorHAnsi"/>
          <w:i/>
          <w:szCs w:val="24"/>
        </w:rPr>
        <w:t>Telkomnika, 17</w:t>
      </w:r>
      <w:r w:rsidRPr="00CC2F81">
        <w:rPr>
          <w:rFonts w:asciiTheme="minorHAnsi" w:hAnsiTheme="minorHAnsi" w:cstheme="minorHAnsi"/>
          <w:szCs w:val="24"/>
        </w:rPr>
        <w:t xml:space="preserve">(3), 1128-1135. </w:t>
      </w:r>
    </w:p>
    <w:p w:rsidR="00CC2F81" w:rsidRPr="00CC2F81" w:rsidRDefault="00CC2F81" w:rsidP="00CC2F81">
      <w:pPr>
        <w:pStyle w:val="EndNoteBibliography"/>
        <w:spacing w:after="0"/>
        <w:ind w:left="450" w:hanging="450"/>
        <w:rPr>
          <w:rFonts w:asciiTheme="minorHAnsi" w:hAnsiTheme="minorHAnsi" w:cstheme="minorHAnsi"/>
          <w:szCs w:val="24"/>
        </w:rPr>
      </w:pPr>
      <w:r w:rsidRPr="00CC2F81">
        <w:rPr>
          <w:rFonts w:asciiTheme="minorHAnsi" w:hAnsiTheme="minorHAnsi" w:cstheme="minorHAnsi"/>
          <w:szCs w:val="24"/>
        </w:rPr>
        <w:t xml:space="preserve">Yew, H., Satria, M., Hau, Y. W., Omar, Z., Supriyanto, E., &amp; Skudai, J. (2014). </w:t>
      </w:r>
      <w:r w:rsidRPr="00CC2F81">
        <w:rPr>
          <w:rFonts w:asciiTheme="minorHAnsi" w:hAnsiTheme="minorHAnsi" w:cstheme="minorHAnsi"/>
          <w:i/>
          <w:szCs w:val="24"/>
        </w:rPr>
        <w:t>A telecardiology framework for rural area.</w:t>
      </w:r>
      <w:r w:rsidRPr="00CC2F81">
        <w:rPr>
          <w:rFonts w:asciiTheme="minorHAnsi" w:hAnsiTheme="minorHAnsi" w:cstheme="minorHAnsi"/>
          <w:szCs w:val="24"/>
        </w:rPr>
        <w:t xml:space="preserve"> Paper presented at the WSEAS Proceeding of the 13th International Conference on Applied Computer and Applied Computational Science (ACACOS ‘14), Kuala Lumpur.</w:t>
      </w:r>
    </w:p>
    <w:p w:rsidR="00CC2F81" w:rsidRPr="00CC2F81" w:rsidRDefault="00CC2F81" w:rsidP="00CC2F81">
      <w:pPr>
        <w:pStyle w:val="EndNoteBibliography"/>
        <w:ind w:left="450" w:hanging="450"/>
        <w:rPr>
          <w:rFonts w:asciiTheme="minorHAnsi" w:hAnsiTheme="minorHAnsi" w:cstheme="minorHAnsi"/>
          <w:szCs w:val="24"/>
        </w:rPr>
      </w:pPr>
      <w:r w:rsidRPr="00CC2F81">
        <w:rPr>
          <w:rFonts w:asciiTheme="minorHAnsi" w:hAnsiTheme="minorHAnsi" w:cstheme="minorHAnsi"/>
          <w:szCs w:val="24"/>
        </w:rPr>
        <w:t xml:space="preserve">Zailani, S., Gilani, M., Nikbin, D., &amp; Iranmanesh, M. (2014). Determinants of Telemedicine Acceptance in Selected Public Hospitals in Malaysia: Clinical Perspective. </w:t>
      </w:r>
      <w:r w:rsidRPr="00CC2F81">
        <w:rPr>
          <w:rFonts w:asciiTheme="minorHAnsi" w:hAnsiTheme="minorHAnsi" w:cstheme="minorHAnsi"/>
          <w:i/>
          <w:szCs w:val="24"/>
        </w:rPr>
        <w:t>Journal of medical systems, 38</w:t>
      </w:r>
      <w:r w:rsidRPr="00CC2F81">
        <w:rPr>
          <w:rFonts w:asciiTheme="minorHAnsi" w:hAnsiTheme="minorHAnsi" w:cstheme="minorHAnsi"/>
          <w:szCs w:val="24"/>
        </w:rPr>
        <w:t>, 111. doi:10.1007/s10916-014-0111-4</w:t>
      </w:r>
    </w:p>
    <w:p w:rsidR="00CC2F81" w:rsidRPr="00CC2F81" w:rsidRDefault="00CC2F81" w:rsidP="00CC2F81">
      <w:pPr>
        <w:widowControl w:val="0"/>
        <w:autoSpaceDE w:val="0"/>
        <w:autoSpaceDN w:val="0"/>
        <w:adjustRightInd w:val="0"/>
        <w:spacing w:after="0" w:line="240" w:lineRule="auto"/>
        <w:ind w:left="450" w:hanging="450"/>
        <w:jc w:val="both"/>
        <w:rPr>
          <w:rFonts w:cstheme="minorHAnsi"/>
          <w:noProof/>
          <w:sz w:val="24"/>
          <w:szCs w:val="24"/>
        </w:rPr>
      </w:pPr>
      <w:r w:rsidRPr="00CC2F81">
        <w:rPr>
          <w:rFonts w:cstheme="minorHAnsi"/>
          <w:sz w:val="24"/>
          <w:szCs w:val="24"/>
        </w:rPr>
        <w:fldChar w:fldCharType="end"/>
      </w:r>
      <w:bookmarkEnd w:id="6"/>
    </w:p>
    <w:sectPr w:rsidR="00CC2F81" w:rsidRPr="00CC2F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D3147D"/>
    <w:multiLevelType w:val="hybridMultilevel"/>
    <w:tmpl w:val="7292AEDE"/>
    <w:lvl w:ilvl="0" w:tplc="FDF41D90">
      <w:start w:val="1"/>
      <w:numFmt w:val="lowerLetter"/>
      <w:lvlText w:val="%1."/>
      <w:lvlJc w:val="left"/>
      <w:pPr>
        <w:ind w:left="1065" w:hanging="360"/>
      </w:pPr>
      <w:rPr>
        <w:rFonts w:hint="default"/>
      </w:rPr>
    </w:lvl>
    <w:lvl w:ilvl="1" w:tplc="043E0019" w:tentative="1">
      <w:start w:val="1"/>
      <w:numFmt w:val="lowerLetter"/>
      <w:lvlText w:val="%2."/>
      <w:lvlJc w:val="left"/>
      <w:pPr>
        <w:ind w:left="1785" w:hanging="360"/>
      </w:pPr>
    </w:lvl>
    <w:lvl w:ilvl="2" w:tplc="043E001B" w:tentative="1">
      <w:start w:val="1"/>
      <w:numFmt w:val="lowerRoman"/>
      <w:lvlText w:val="%3."/>
      <w:lvlJc w:val="right"/>
      <w:pPr>
        <w:ind w:left="2505" w:hanging="180"/>
      </w:pPr>
    </w:lvl>
    <w:lvl w:ilvl="3" w:tplc="043E000F" w:tentative="1">
      <w:start w:val="1"/>
      <w:numFmt w:val="decimal"/>
      <w:lvlText w:val="%4."/>
      <w:lvlJc w:val="left"/>
      <w:pPr>
        <w:ind w:left="3225" w:hanging="360"/>
      </w:pPr>
    </w:lvl>
    <w:lvl w:ilvl="4" w:tplc="043E0019" w:tentative="1">
      <w:start w:val="1"/>
      <w:numFmt w:val="lowerLetter"/>
      <w:lvlText w:val="%5."/>
      <w:lvlJc w:val="left"/>
      <w:pPr>
        <w:ind w:left="3945" w:hanging="360"/>
      </w:pPr>
    </w:lvl>
    <w:lvl w:ilvl="5" w:tplc="043E001B" w:tentative="1">
      <w:start w:val="1"/>
      <w:numFmt w:val="lowerRoman"/>
      <w:lvlText w:val="%6."/>
      <w:lvlJc w:val="right"/>
      <w:pPr>
        <w:ind w:left="4665" w:hanging="180"/>
      </w:pPr>
    </w:lvl>
    <w:lvl w:ilvl="6" w:tplc="043E000F" w:tentative="1">
      <w:start w:val="1"/>
      <w:numFmt w:val="decimal"/>
      <w:lvlText w:val="%7."/>
      <w:lvlJc w:val="left"/>
      <w:pPr>
        <w:ind w:left="5385" w:hanging="360"/>
      </w:pPr>
    </w:lvl>
    <w:lvl w:ilvl="7" w:tplc="043E0019" w:tentative="1">
      <w:start w:val="1"/>
      <w:numFmt w:val="lowerLetter"/>
      <w:lvlText w:val="%8."/>
      <w:lvlJc w:val="left"/>
      <w:pPr>
        <w:ind w:left="6105" w:hanging="360"/>
      </w:pPr>
    </w:lvl>
    <w:lvl w:ilvl="8" w:tplc="043E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A03"/>
    <w:rsid w:val="000173C2"/>
    <w:rsid w:val="00047EED"/>
    <w:rsid w:val="00066958"/>
    <w:rsid w:val="000749BC"/>
    <w:rsid w:val="001E6019"/>
    <w:rsid w:val="002048E4"/>
    <w:rsid w:val="00246766"/>
    <w:rsid w:val="002C4E05"/>
    <w:rsid w:val="002D5C05"/>
    <w:rsid w:val="00343D24"/>
    <w:rsid w:val="003F2B57"/>
    <w:rsid w:val="004300CA"/>
    <w:rsid w:val="004419FA"/>
    <w:rsid w:val="00452717"/>
    <w:rsid w:val="00481B53"/>
    <w:rsid w:val="004D6E64"/>
    <w:rsid w:val="005177FD"/>
    <w:rsid w:val="00590B67"/>
    <w:rsid w:val="005B27AF"/>
    <w:rsid w:val="00642E77"/>
    <w:rsid w:val="006468FF"/>
    <w:rsid w:val="006776B0"/>
    <w:rsid w:val="006A76BE"/>
    <w:rsid w:val="006D4EFE"/>
    <w:rsid w:val="00723B69"/>
    <w:rsid w:val="00727309"/>
    <w:rsid w:val="00780B97"/>
    <w:rsid w:val="007C02EA"/>
    <w:rsid w:val="007E1F10"/>
    <w:rsid w:val="008034BE"/>
    <w:rsid w:val="00826983"/>
    <w:rsid w:val="00830F88"/>
    <w:rsid w:val="00893464"/>
    <w:rsid w:val="008E79DD"/>
    <w:rsid w:val="0092725D"/>
    <w:rsid w:val="00A702F4"/>
    <w:rsid w:val="00A7673B"/>
    <w:rsid w:val="00AB535D"/>
    <w:rsid w:val="00BD531A"/>
    <w:rsid w:val="00C44800"/>
    <w:rsid w:val="00CC2F81"/>
    <w:rsid w:val="00D04480"/>
    <w:rsid w:val="00D72B92"/>
    <w:rsid w:val="00DB5D23"/>
    <w:rsid w:val="00DB717B"/>
    <w:rsid w:val="00E22E2E"/>
    <w:rsid w:val="00E67A03"/>
    <w:rsid w:val="00EE55AD"/>
    <w:rsid w:val="00F43528"/>
    <w:rsid w:val="00F45A73"/>
  </w:rsids>
  <m:mathPr>
    <m:mathFont m:val="Cambria Math"/>
    <m:brkBin m:val="before"/>
    <m:brkBinSub m:val="--"/>
    <m:smallFrac m:val="0"/>
    <m:dispDef/>
    <m:lMargin m:val="0"/>
    <m:rMargin m:val="0"/>
    <m:defJc m:val="centerGroup"/>
    <m:wrapIndent m:val="1440"/>
    <m:intLim m:val="subSup"/>
    <m:naryLim m:val="undOvr"/>
  </m:mathPr>
  <w:themeFontLang w:val="ms-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DB5E4"/>
  <w15:docId w15:val="{092D460D-F886-4463-8AE5-60DBB350B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7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A76BE"/>
  </w:style>
  <w:style w:type="paragraph" w:styleId="ListParagraph">
    <w:name w:val="List Paragraph"/>
    <w:basedOn w:val="Normal"/>
    <w:uiPriority w:val="34"/>
    <w:qFormat/>
    <w:rsid w:val="002D5C05"/>
    <w:pPr>
      <w:ind w:left="720"/>
      <w:contextualSpacing/>
    </w:pPr>
  </w:style>
  <w:style w:type="character" w:styleId="Hyperlink">
    <w:name w:val="Hyperlink"/>
    <w:basedOn w:val="DefaultParagraphFont"/>
    <w:uiPriority w:val="99"/>
    <w:unhideWhenUsed/>
    <w:rsid w:val="008034BE"/>
    <w:rPr>
      <w:color w:val="0000FF" w:themeColor="hyperlink"/>
      <w:u w:val="single"/>
    </w:rPr>
  </w:style>
  <w:style w:type="character" w:styleId="UnresolvedMention">
    <w:name w:val="Unresolved Mention"/>
    <w:basedOn w:val="DefaultParagraphFont"/>
    <w:uiPriority w:val="99"/>
    <w:semiHidden/>
    <w:unhideWhenUsed/>
    <w:rsid w:val="008034BE"/>
    <w:rPr>
      <w:color w:val="605E5C"/>
      <w:shd w:val="clear" w:color="auto" w:fill="E1DFDD"/>
    </w:rPr>
  </w:style>
  <w:style w:type="paragraph" w:styleId="NormalWeb">
    <w:name w:val="Normal (Web)"/>
    <w:basedOn w:val="Normal"/>
    <w:uiPriority w:val="99"/>
    <w:semiHidden/>
    <w:unhideWhenUsed/>
    <w:rsid w:val="002048E4"/>
    <w:pPr>
      <w:spacing w:after="160" w:line="259" w:lineRule="auto"/>
      <w:jc w:val="both"/>
    </w:pPr>
    <w:rPr>
      <w:rFonts w:ascii="Times New Roman" w:eastAsia="DengXian" w:hAnsi="Times New Roman" w:cs="Times New Roman"/>
      <w:sz w:val="24"/>
      <w:szCs w:val="24"/>
      <w:lang w:val="en-MY" w:eastAsia="zh-CN"/>
    </w:rPr>
  </w:style>
  <w:style w:type="paragraph" w:customStyle="1" w:styleId="EndNoteBibliography">
    <w:name w:val="EndNote Bibliography"/>
    <w:basedOn w:val="Normal"/>
    <w:link w:val="EndNoteBibliographyChar"/>
    <w:rsid w:val="00CC2F81"/>
    <w:pPr>
      <w:spacing w:after="160" w:line="240" w:lineRule="auto"/>
      <w:jc w:val="both"/>
    </w:pPr>
    <w:rPr>
      <w:rFonts w:ascii="Times New Roman" w:eastAsia="DengXian" w:hAnsi="Times New Roman" w:cs="Times New Roman"/>
      <w:noProof/>
      <w:sz w:val="24"/>
      <w:lang w:val="en-MY" w:eastAsia="zh-CN"/>
    </w:rPr>
  </w:style>
  <w:style w:type="character" w:customStyle="1" w:styleId="EndNoteBibliographyChar">
    <w:name w:val="EndNote Bibliography Char"/>
    <w:link w:val="EndNoteBibliography"/>
    <w:rsid w:val="00CC2F81"/>
    <w:rPr>
      <w:rFonts w:ascii="Times New Roman" w:eastAsia="DengXian" w:hAnsi="Times New Roman" w:cs="Times New Roman"/>
      <w:noProof/>
      <w:sz w:val="24"/>
      <w:lang w:val="en-MY" w:eastAsia="zh-CN"/>
    </w:rPr>
  </w:style>
  <w:style w:type="character" w:styleId="CommentReference">
    <w:name w:val="annotation reference"/>
    <w:basedOn w:val="DefaultParagraphFont"/>
    <w:uiPriority w:val="99"/>
    <w:semiHidden/>
    <w:unhideWhenUsed/>
    <w:rsid w:val="008E79DD"/>
    <w:rPr>
      <w:sz w:val="16"/>
      <w:szCs w:val="16"/>
    </w:rPr>
  </w:style>
  <w:style w:type="paragraph" w:styleId="CommentText">
    <w:name w:val="annotation text"/>
    <w:basedOn w:val="Normal"/>
    <w:link w:val="CommentTextChar"/>
    <w:uiPriority w:val="99"/>
    <w:semiHidden/>
    <w:unhideWhenUsed/>
    <w:rsid w:val="008E79DD"/>
    <w:pPr>
      <w:spacing w:line="240" w:lineRule="auto"/>
    </w:pPr>
    <w:rPr>
      <w:sz w:val="20"/>
      <w:szCs w:val="20"/>
    </w:rPr>
  </w:style>
  <w:style w:type="character" w:customStyle="1" w:styleId="CommentTextChar">
    <w:name w:val="Comment Text Char"/>
    <w:basedOn w:val="DefaultParagraphFont"/>
    <w:link w:val="CommentText"/>
    <w:uiPriority w:val="99"/>
    <w:semiHidden/>
    <w:rsid w:val="008E79DD"/>
    <w:rPr>
      <w:sz w:val="20"/>
      <w:szCs w:val="20"/>
    </w:rPr>
  </w:style>
  <w:style w:type="paragraph" w:styleId="CommentSubject">
    <w:name w:val="annotation subject"/>
    <w:basedOn w:val="CommentText"/>
    <w:next w:val="CommentText"/>
    <w:link w:val="CommentSubjectChar"/>
    <w:uiPriority w:val="99"/>
    <w:semiHidden/>
    <w:unhideWhenUsed/>
    <w:rsid w:val="008E79DD"/>
    <w:rPr>
      <w:b/>
      <w:bCs/>
    </w:rPr>
  </w:style>
  <w:style w:type="character" w:customStyle="1" w:styleId="CommentSubjectChar">
    <w:name w:val="Comment Subject Char"/>
    <w:basedOn w:val="CommentTextChar"/>
    <w:link w:val="CommentSubject"/>
    <w:uiPriority w:val="99"/>
    <w:semiHidden/>
    <w:rsid w:val="008E79DD"/>
    <w:rPr>
      <w:b/>
      <w:bCs/>
      <w:sz w:val="20"/>
      <w:szCs w:val="20"/>
    </w:rPr>
  </w:style>
  <w:style w:type="paragraph" w:styleId="BalloonText">
    <w:name w:val="Balloon Text"/>
    <w:basedOn w:val="Normal"/>
    <w:link w:val="BalloonTextChar"/>
    <w:uiPriority w:val="99"/>
    <w:semiHidden/>
    <w:unhideWhenUsed/>
    <w:rsid w:val="008E79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9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68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nia@utm.my" TargetMode="External"/><Relationship Id="rId12" Type="http://schemas.openxmlformats.org/officeDocument/2006/relationships/hyperlink" Target="https://doi.org/10.1016/0749-5978(91)90020-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lee24@graduate.utm.my" TargetMode="External"/><Relationship Id="rId11" Type="http://schemas.openxmlformats.org/officeDocument/2006/relationships/hyperlink" Target="https://mastic.mestecc.gov.my/en/sti-incentives-fund/trans-disciplinary-research-grant-scheme-trgs" TargetMode="External"/><Relationship Id="rId5" Type="http://schemas.openxmlformats.org/officeDocument/2006/relationships/hyperlink" Target="mailto:kjyeo@utm.my" TargetMode="External"/><Relationship Id="rId10" Type="http://schemas.openxmlformats.org/officeDocument/2006/relationships/image" Target="media/image3.tif"/><Relationship Id="rId4" Type="http://schemas.openxmlformats.org/officeDocument/2006/relationships/webSettings" Target="webSettings.xml"/><Relationship Id="rId9" Type="http://schemas.openxmlformats.org/officeDocument/2006/relationships/image" Target="media/image2.t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17</Pages>
  <Words>7834</Words>
  <Characters>44656</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Lee</cp:lastModifiedBy>
  <cp:revision>5</cp:revision>
  <cp:lastPrinted>2017-06-06T05:31:00Z</cp:lastPrinted>
  <dcterms:created xsi:type="dcterms:W3CDTF">2021-04-27T05:00:00Z</dcterms:created>
  <dcterms:modified xsi:type="dcterms:W3CDTF">2021-04-27T09:11:00Z</dcterms:modified>
</cp:coreProperties>
</file>