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8A3E" w14:textId="01C6E17D" w:rsidR="00E67A03" w:rsidRDefault="00E67A03" w:rsidP="00DB717B">
      <w:pPr>
        <w:spacing w:after="0" w:line="240" w:lineRule="auto"/>
        <w:jc w:val="center"/>
        <w:rPr>
          <w:sz w:val="24"/>
          <w:szCs w:val="24"/>
        </w:rPr>
      </w:pPr>
      <w:r w:rsidRPr="00E67A03">
        <w:rPr>
          <w:sz w:val="24"/>
          <w:szCs w:val="24"/>
        </w:rPr>
        <w:t>ACKNOWLEDGEMENT</w:t>
      </w:r>
    </w:p>
    <w:p w14:paraId="35BED155" w14:textId="2CED75A1" w:rsidR="00407046" w:rsidRPr="00E67A03" w:rsidRDefault="00F0454B" w:rsidP="00407046">
      <w:pPr>
        <w:spacing w:after="0" w:line="240" w:lineRule="auto"/>
        <w:jc w:val="both"/>
        <w:rPr>
          <w:sz w:val="24"/>
          <w:szCs w:val="24"/>
        </w:rPr>
      </w:pPr>
      <w:r w:rsidRPr="00F0454B">
        <w:rPr>
          <w:sz w:val="24"/>
          <w:szCs w:val="24"/>
          <w:lang w:val="en-ID"/>
        </w:rPr>
        <w:t>This research study would not have been possible without the assistance and advice of numerous persons and organizations.</w:t>
      </w:r>
      <w:r>
        <w:rPr>
          <w:sz w:val="24"/>
          <w:szCs w:val="24"/>
          <w:lang w:val="en-ID"/>
        </w:rPr>
        <w:t xml:space="preserve"> </w:t>
      </w:r>
      <w:r w:rsidRPr="00F0454B">
        <w:rPr>
          <w:sz w:val="24"/>
          <w:szCs w:val="24"/>
          <w:lang w:val="en-ID"/>
        </w:rPr>
        <w:t>We hereby confirm that there are no potential conflicts of interest in our paper. All authors have meticulously reviewed the manuscript and have granted their approval for its submission to your esteemed journal. Furthermore, we affirm that the content of the manuscript has not been previously published or submitted for publication elsewhere. The authors declare no conflict of interest in this study.</w:t>
      </w:r>
    </w:p>
    <w:p w14:paraId="6ECF507A" w14:textId="77777777" w:rsidR="00E67A03" w:rsidRPr="00E67A03" w:rsidRDefault="00E67A03" w:rsidP="00DB717B">
      <w:pPr>
        <w:spacing w:after="0" w:line="240" w:lineRule="auto"/>
        <w:jc w:val="center"/>
        <w:rPr>
          <w:sz w:val="24"/>
          <w:szCs w:val="24"/>
        </w:rPr>
      </w:pPr>
    </w:p>
    <w:p w14:paraId="224F3E00" w14:textId="77777777" w:rsidR="00E67A03" w:rsidRPr="00E67A03" w:rsidRDefault="00E67A03" w:rsidP="00DB717B">
      <w:pPr>
        <w:spacing w:after="0" w:line="240" w:lineRule="auto"/>
        <w:jc w:val="center"/>
        <w:rPr>
          <w:sz w:val="24"/>
          <w:szCs w:val="24"/>
        </w:rPr>
      </w:pPr>
      <w:r w:rsidRPr="00E67A03">
        <w:rPr>
          <w:sz w:val="24"/>
          <w:szCs w:val="24"/>
        </w:rPr>
        <w:t>BIODATA</w:t>
      </w:r>
    </w:p>
    <w:p w14:paraId="550A4C35" w14:textId="70AC1327" w:rsidR="007E1F10" w:rsidRDefault="00407046" w:rsidP="00DB717B">
      <w:pPr>
        <w:spacing w:after="0" w:line="240" w:lineRule="auto"/>
        <w:jc w:val="both"/>
        <w:rPr>
          <w:sz w:val="24"/>
          <w:szCs w:val="24"/>
        </w:rPr>
      </w:pPr>
      <w:r>
        <w:rPr>
          <w:i/>
          <w:sz w:val="24"/>
          <w:szCs w:val="24"/>
        </w:rPr>
        <w:t>Suko Widodo</w:t>
      </w:r>
      <w:r w:rsidR="00DB5D23">
        <w:rPr>
          <w:sz w:val="24"/>
          <w:szCs w:val="24"/>
        </w:rPr>
        <w:t xml:space="preserve"> is a senior lecturer at </w:t>
      </w:r>
      <w:r>
        <w:rPr>
          <w:sz w:val="24"/>
          <w:szCs w:val="24"/>
        </w:rPr>
        <w:t>Universitas Airlangga</w:t>
      </w:r>
      <w:r w:rsidR="00DB5D23">
        <w:rPr>
          <w:sz w:val="24"/>
          <w:szCs w:val="24"/>
        </w:rPr>
        <w:t xml:space="preserve">, </w:t>
      </w:r>
      <w:r>
        <w:rPr>
          <w:sz w:val="24"/>
          <w:szCs w:val="24"/>
        </w:rPr>
        <w:t>Indonesia</w:t>
      </w:r>
      <w:r w:rsidR="00DB5D23">
        <w:rPr>
          <w:sz w:val="24"/>
          <w:szCs w:val="24"/>
        </w:rPr>
        <w:t xml:space="preserve">. </w:t>
      </w:r>
      <w:r w:rsidR="00407F2A" w:rsidRPr="00407F2A">
        <w:rPr>
          <w:sz w:val="24"/>
          <w:szCs w:val="24"/>
        </w:rPr>
        <w:t xml:space="preserve">Research interests include </w:t>
      </w:r>
      <w:r>
        <w:rPr>
          <w:sz w:val="24"/>
          <w:szCs w:val="24"/>
        </w:rPr>
        <w:t>Political Communication, M</w:t>
      </w:r>
      <w:r w:rsidR="00407F2A" w:rsidRPr="00407F2A">
        <w:rPr>
          <w:sz w:val="24"/>
          <w:szCs w:val="24"/>
        </w:rPr>
        <w:t>edia</w:t>
      </w:r>
      <w:r>
        <w:rPr>
          <w:sz w:val="24"/>
          <w:szCs w:val="24"/>
        </w:rPr>
        <w:t xml:space="preserve"> and Communication</w:t>
      </w:r>
      <w:r w:rsidR="00407F2A" w:rsidRPr="00407F2A">
        <w:rPr>
          <w:sz w:val="24"/>
          <w:szCs w:val="24"/>
        </w:rPr>
        <w:t xml:space="preserve">, and </w:t>
      </w:r>
      <w:r>
        <w:rPr>
          <w:sz w:val="24"/>
          <w:szCs w:val="24"/>
        </w:rPr>
        <w:t>Social Media C</w:t>
      </w:r>
      <w:r w:rsidR="00407F2A" w:rsidRPr="00407F2A">
        <w:rPr>
          <w:sz w:val="24"/>
          <w:szCs w:val="24"/>
        </w:rPr>
        <w:t>ommunication</w:t>
      </w:r>
      <w:r>
        <w:rPr>
          <w:sz w:val="24"/>
          <w:szCs w:val="24"/>
        </w:rPr>
        <w:t xml:space="preserve"> Technology.</w:t>
      </w:r>
      <w:r w:rsidR="00407F2A" w:rsidRPr="00407F2A">
        <w:rPr>
          <w:sz w:val="24"/>
          <w:szCs w:val="24"/>
        </w:rPr>
        <w:t xml:space="preserve"> Email: </w:t>
      </w:r>
      <w:hyperlink r:id="rId5" w:history="1">
        <w:r w:rsidRPr="007637A3">
          <w:rPr>
            <w:rStyle w:val="Hyperlink"/>
            <w:sz w:val="24"/>
            <w:szCs w:val="24"/>
          </w:rPr>
          <w:t>suko.widodo@fisip.unair.ac.id</w:t>
        </w:r>
      </w:hyperlink>
      <w:r>
        <w:rPr>
          <w:sz w:val="24"/>
          <w:szCs w:val="24"/>
        </w:rPr>
        <w:t>.</w:t>
      </w:r>
    </w:p>
    <w:p w14:paraId="766AF0C8" w14:textId="77777777" w:rsidR="00407046" w:rsidRDefault="00407046" w:rsidP="00DB717B">
      <w:pPr>
        <w:spacing w:after="0" w:line="240" w:lineRule="auto"/>
        <w:jc w:val="both"/>
        <w:rPr>
          <w:sz w:val="24"/>
          <w:szCs w:val="24"/>
        </w:rPr>
      </w:pPr>
    </w:p>
    <w:p w14:paraId="0891CACD" w14:textId="6D7BD5F1" w:rsidR="00BC4C64" w:rsidRPr="00BC4C64" w:rsidRDefault="00BC4C64" w:rsidP="00BC4C64">
      <w:pPr>
        <w:spacing w:line="240" w:lineRule="auto"/>
        <w:jc w:val="both"/>
        <w:rPr>
          <w:sz w:val="24"/>
          <w:szCs w:val="24"/>
        </w:rPr>
      </w:pPr>
      <w:r w:rsidRPr="00BC4C64">
        <w:rPr>
          <w:i/>
          <w:sz w:val="24"/>
          <w:szCs w:val="24"/>
        </w:rPr>
        <w:t>Jokhanan Kristiyono</w:t>
      </w:r>
      <w:r w:rsidRPr="00BC4C64">
        <w:rPr>
          <w:sz w:val="24"/>
          <w:szCs w:val="24"/>
        </w:rPr>
        <w:t xml:space="preserve"> is a lecturer in the Communication Science Study Program </w:t>
      </w:r>
      <w:r>
        <w:rPr>
          <w:sz w:val="24"/>
          <w:szCs w:val="24"/>
        </w:rPr>
        <w:t>in</w:t>
      </w:r>
      <w:r w:rsidRPr="00BC4C64">
        <w:rPr>
          <w:sz w:val="24"/>
          <w:szCs w:val="24"/>
        </w:rPr>
        <w:t xml:space="preserve"> </w:t>
      </w:r>
      <w:r>
        <w:rPr>
          <w:sz w:val="24"/>
          <w:szCs w:val="24"/>
        </w:rPr>
        <w:t>Sekolah Tinggi Ilmu Komunikasi – Almamater Wartawan Surabaya (</w:t>
      </w:r>
      <w:r w:rsidRPr="00BC4C64">
        <w:rPr>
          <w:sz w:val="24"/>
          <w:szCs w:val="24"/>
        </w:rPr>
        <w:t>Stikosa-AWS</w:t>
      </w:r>
      <w:r>
        <w:rPr>
          <w:sz w:val="24"/>
          <w:szCs w:val="24"/>
        </w:rPr>
        <w:t>), Indonesia</w:t>
      </w:r>
      <w:r w:rsidRPr="00BC4C64">
        <w:rPr>
          <w:sz w:val="24"/>
          <w:szCs w:val="24"/>
        </w:rPr>
        <w:t xml:space="preserve">. </w:t>
      </w:r>
      <w:r>
        <w:rPr>
          <w:sz w:val="24"/>
          <w:szCs w:val="24"/>
        </w:rPr>
        <w:t>The</w:t>
      </w:r>
      <w:r w:rsidRPr="00BC4C64">
        <w:rPr>
          <w:sz w:val="24"/>
          <w:szCs w:val="24"/>
        </w:rPr>
        <w:t xml:space="preserve"> expertise in the fields of Visual Culture Communication and Digital Activities. Several studies he has conducted related to the topics of media, digital art, marketing communication, and visual culture. Email: jokhanan.k@stikosa-aws.ac.id</w:t>
      </w:r>
    </w:p>
    <w:p w14:paraId="071A6EAA" w14:textId="2CF4AB93" w:rsidR="00DB5D23" w:rsidRPr="00DB717B" w:rsidRDefault="00DB5D23" w:rsidP="00DB717B">
      <w:pPr>
        <w:spacing w:line="240" w:lineRule="auto"/>
        <w:rPr>
          <w:i/>
          <w:sz w:val="24"/>
          <w:szCs w:val="24"/>
        </w:rPr>
      </w:pPr>
      <w:r w:rsidRPr="00DB717B">
        <w:rPr>
          <w:i/>
          <w:sz w:val="24"/>
          <w:szCs w:val="24"/>
        </w:rPr>
        <w:br w:type="page"/>
      </w:r>
    </w:p>
    <w:p w14:paraId="1C142855" w14:textId="77777777" w:rsidR="007E1F10" w:rsidRDefault="00E67A03" w:rsidP="00DB717B">
      <w:pPr>
        <w:spacing w:after="0" w:line="240" w:lineRule="auto"/>
        <w:jc w:val="center"/>
        <w:rPr>
          <w:sz w:val="24"/>
          <w:szCs w:val="24"/>
        </w:rPr>
      </w:pPr>
      <w:r w:rsidRPr="00E67A03">
        <w:rPr>
          <w:sz w:val="24"/>
          <w:szCs w:val="24"/>
        </w:rPr>
        <w:lastRenderedPageBreak/>
        <w:t>REFERENCE</w:t>
      </w:r>
      <w:r w:rsidR="002D5C05">
        <w:rPr>
          <w:sz w:val="24"/>
          <w:szCs w:val="24"/>
        </w:rPr>
        <w:t>S</w:t>
      </w:r>
    </w:p>
    <w:p w14:paraId="6D2AEDF4"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Ahmad, N. (2024). What drive marketization and professionalization of campaigning of political parties in the emerging democracy? Evidence from Indonesia in the post-Soeharto new order. Journal of Political Marketing, 23(1), 26-50. https://doi.org/10.1080/15377857.2021.1910610</w:t>
      </w:r>
    </w:p>
    <w:p w14:paraId="22F78BB9"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Ahmad, N. (2022). What drives journalists’ perceptions of media powers as political image-makers in the emerging democracy of Indonesia?. Global Media and Communication, 18(3), 323-343. https://doi.org/10.1177/17427665221132183</w:t>
      </w:r>
    </w:p>
    <w:p w14:paraId="0DB80935"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Aminah, S., &amp; Saksono, H. (2021). Digital transformation of the government: A case study in Indonesia. Jurnal Komunikasi: Malaysian Journal of Communication, 37(2), 272-288. https://doi.org/10.17576/JKMJC-2021-3702-17</w:t>
      </w:r>
    </w:p>
    <w:p w14:paraId="6845F74A"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Aspinall, E., White, S., &amp; Savirani, A. (2021). Women’s Political Representation in Indonesia: Who Wins and How?. Journal of Current Southeast Asian Affairs, 40(1), 3-27. https://doi.org/10.1177/1868103421989720</w:t>
      </w:r>
    </w:p>
    <w:p w14:paraId="5F2CC532"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Basri, C., &amp; Hill, H. (2020). Making economic policy in a democratic Indonesia: The first two decades. Asian Economic Policy Review, 15(2), 214-234. https://doi.org/10.1111/aepr.12299</w:t>
      </w:r>
    </w:p>
    <w:p w14:paraId="5395FDE8"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Baudier, P., Kondrateva, G., Ammi, C., &amp; Seulliet, E. (2021). Peace engineering: The contribution of blockchain systems to the e-voting process. Technological Forecasting and Social Change, 162, 120397. https://doi.org/10.1016/j.techfore.2020.120397</w:t>
      </w:r>
    </w:p>
    <w:p w14:paraId="3C3A98F4"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Canetti, D., Hall, B. J., Rapaport, C., &amp; Wayne, C. (2013). Exposure to political violence and political extremism. European Psychologist, 18(4), 263-272. https://doi.org/10.1027/1016-9040/a000158</w:t>
      </w:r>
    </w:p>
    <w:p w14:paraId="2F0AA328"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Evitha, Y., Sari, S. N., Suprayitno, D., &amp; Irrianda, J. (2023). Digital Communication Management Government of the Republic of Indonesia for Inclusive and Sustainable Economic Recovery in Indonesia. KnE Social Sciences, 621-631. https://doi.org/10.18502/kss.v8i12.13710</w:t>
      </w:r>
    </w:p>
    <w:p w14:paraId="4621F931"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Farkas, X., &amp; Bene, M. (2021). Images, politicians, and social media: Patterns and effects of politicians’ image-based political communication strategies on social media. The international journal of press/politics, 26(1), 119-142. https://doi.org/10.1177/1940161220959553</w:t>
      </w:r>
    </w:p>
    <w:p w14:paraId="2061A777"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Feeney, J. K. (2023). A dam, a park, and offsets: analyzing socio-ecological conflict in santander, colombia, through political ecology and galtung's conflict triangle. Journal of Political Ecology, 30(1). https://doi.org/10.2458/jpe.4685</w:t>
      </w:r>
    </w:p>
    <w:p w14:paraId="5D6251D3"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Fernando, H., Galuh Larasati, Y., Abdullah, I., Jubba, H., Mugni, A., &amp; Persadha, P. D. (2023). The de-existence of Islamic political parties in general elections: A case study of Indonesia as a Muslim-majority country. Cogent Social Sciences, 9(1), 2225838. https://doi.org/10.1080/23311886.2023.2225838</w:t>
      </w:r>
    </w:p>
    <w:p w14:paraId="1FEA0470"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Galston, W. A. (2010). Realism in political theory. European Journal of Political Theory, 9(4), 385-411. https://doi.org/10.1177/1474885110374001</w:t>
      </w:r>
    </w:p>
    <w:p w14:paraId="6FB90F08"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 xml:space="preserve">Guerrero, A. (2021). The epistemic case for non-electoral forms of democracy. In The routledge handbook of political epistemology (pp. 419-429). Routledge. </w:t>
      </w:r>
    </w:p>
    <w:p w14:paraId="298297A6"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Guerrero, A. (2024). Lottocracy: Democracy Without Elections. Oxford University Press.</w:t>
      </w:r>
    </w:p>
    <w:p w14:paraId="12008ACF"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Ida, R., Saud, M., &amp; Mashud, M. I. (2020). An empirical analysis of social media usage, political learning and participation among youth: a comparative study of Indonesia and Pakistan. Quality &amp; Quantity, 54(4), 1285-1297. https://doi.org/10.1007/s11135-020-00985-9</w:t>
      </w:r>
    </w:p>
    <w:p w14:paraId="39D9CFF6"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 xml:space="preserve">Jafar, U., Aziz, M. J. A., &amp; Shukur, Z. (2021). Blockchain for electronic voting system—review </w:t>
      </w:r>
      <w:r w:rsidRPr="00371F46">
        <w:rPr>
          <w:sz w:val="24"/>
          <w:szCs w:val="24"/>
        </w:rPr>
        <w:lastRenderedPageBreak/>
        <w:t>and open research challenges. Sensors, 21(17), 5874. https://doi.org/10.3390/s21175874</w:t>
      </w:r>
    </w:p>
    <w:p w14:paraId="740BE303"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Kim, D. K. D., &amp; Kreps, G. L. (2020). An analysis of government communication in the United States during the COVID‐19 pandemic: recommendations for effective government health risk communication. World medical &amp; health policy, 12(4), 398-412. https://doi.org/10.1002/wmh3.363</w:t>
      </w:r>
    </w:p>
    <w:p w14:paraId="0710D158"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Mietzner, M. (2020). Authoritarian innovations in Indonesia: electoral narrowing, identity politics and executive illiberalism. Democratization, 27(6), 1021-1036. https://doi.org/10.1080/13510347.2019.1704266</w:t>
      </w:r>
    </w:p>
    <w:p w14:paraId="2B3BDBFC"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Purwanto, A., Zuiderwijk, A., &amp; Janssen, M. (2020). Citizen engagement with open government data: Lessons learned from Indonesia’s presidential election. Transforming Government: People, Process and Policy, 14(1), 1-30. https://doi.org/10.1108/TG-06-2019-0051</w:t>
      </w:r>
    </w:p>
    <w:p w14:paraId="3273232C"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Rakhmani, I., &amp; Saraswati, M. S. (2021). Authoritarian populism in Indonesia: The role of the political campaign industry in engineering consent and coercion. Journal of Current Southeast Asian Affairs, 40(3), 436-460. https://doi.org/10.1177/18681034211027885</w:t>
      </w:r>
    </w:p>
    <w:p w14:paraId="0619138C"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Strassler, K. (2020). Demanding images: Democracy, mediation, and the image-event in Indonesia. Duke University Press.</w:t>
      </w:r>
    </w:p>
    <w:p w14:paraId="0B0F9D0E"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Sumarto, M. (2020). Insecurity and historical legacies in welfare regime change in Southeast Asia–Insights from Indonesia, Malaysia, and Thailand. Social Policy and Society, 19(4), 629-643. https://doi.org/10.1017/S1474746420000299</w:t>
      </w:r>
    </w:p>
    <w:p w14:paraId="7108E897"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Tapsell, R. (2020). 11 the media and democratic decline. Democracy in Indonesia: From Stagnation to Regression?, 210. https://doi.org/10.1355/9789814881524-016</w:t>
      </w:r>
    </w:p>
    <w:p w14:paraId="7DCFE622"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 xml:space="preserve">Von Homeyer, I., Oberthür, S., &amp; Jordan, A. J. (2021). EU climate and energy governance in times of crisis: Towards a new agenda. Journal of European Public Policy, 28(7), 959-979. https://doi.org/10.1080/13501763.2021.1918221 </w:t>
      </w:r>
    </w:p>
    <w:p w14:paraId="2BBC9B2B"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Yilmaz, I., &amp; Barton, G. (2021). Political mobilisation of religious, chauvinist, and technocratic populists in Indonesia and their activities in cyberspace. Religions, 12(10), 822. https://doi.org/10.3390/rel12100822</w:t>
      </w:r>
    </w:p>
    <w:p w14:paraId="7D997AFD" w14:textId="77777777" w:rsidR="00371F46" w:rsidRPr="00371F46" w:rsidRDefault="00371F46" w:rsidP="00371F46">
      <w:pPr>
        <w:widowControl w:val="0"/>
        <w:autoSpaceDE w:val="0"/>
        <w:autoSpaceDN w:val="0"/>
        <w:adjustRightInd w:val="0"/>
        <w:spacing w:after="0" w:line="240" w:lineRule="auto"/>
        <w:ind w:left="480" w:hanging="480"/>
        <w:jc w:val="both"/>
        <w:rPr>
          <w:sz w:val="24"/>
          <w:szCs w:val="24"/>
        </w:rPr>
      </w:pPr>
      <w:r w:rsidRPr="00371F46">
        <w:rPr>
          <w:sz w:val="24"/>
          <w:szCs w:val="24"/>
        </w:rPr>
        <w:t>Zhang, L., Zhang, Z., Wang, W., Jin, Z., Su, Y., &amp; Chen, H. (2021). Research on a covert communication model realized by using smart contracts in blockchain environment. IEEE Systems Journal, 16(2), 2822-2833. https://doi.org/10.1109/JSYST.2021.3057333</w:t>
      </w:r>
    </w:p>
    <w:p w14:paraId="0FD27794" w14:textId="37846532" w:rsidR="007E1F10" w:rsidRPr="007E1F10" w:rsidRDefault="007E1F10" w:rsidP="00DB717B">
      <w:pPr>
        <w:widowControl w:val="0"/>
        <w:autoSpaceDE w:val="0"/>
        <w:autoSpaceDN w:val="0"/>
        <w:adjustRightInd w:val="0"/>
        <w:spacing w:after="0" w:line="240" w:lineRule="auto"/>
        <w:ind w:left="480" w:hanging="480"/>
        <w:jc w:val="both"/>
        <w:rPr>
          <w:rFonts w:ascii="Calibri" w:hAnsi="Calibri"/>
          <w:noProof/>
          <w:sz w:val="24"/>
        </w:rPr>
      </w:pPr>
    </w:p>
    <w:p w14:paraId="18422AC8" w14:textId="77777777" w:rsidR="00E67A03" w:rsidRPr="00E67A03" w:rsidRDefault="00E67A03" w:rsidP="00DB717B">
      <w:pPr>
        <w:spacing w:after="0" w:line="240" w:lineRule="auto"/>
        <w:jc w:val="center"/>
        <w:rPr>
          <w:sz w:val="24"/>
          <w:szCs w:val="24"/>
        </w:rPr>
      </w:pPr>
    </w:p>
    <w:sectPr w:rsidR="00E67A03" w:rsidRPr="00E67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3147D"/>
    <w:multiLevelType w:val="hybridMultilevel"/>
    <w:tmpl w:val="7292AEDE"/>
    <w:lvl w:ilvl="0" w:tplc="FDF41D90">
      <w:start w:val="1"/>
      <w:numFmt w:val="lowerLetter"/>
      <w:lvlText w:val="%1."/>
      <w:lvlJc w:val="left"/>
      <w:pPr>
        <w:ind w:left="1065" w:hanging="360"/>
      </w:pPr>
      <w:rPr>
        <w:rFonts w:hint="default"/>
      </w:r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num w:numId="1" w16cid:durableId="2452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03"/>
    <w:rsid w:val="00047EED"/>
    <w:rsid w:val="001E6019"/>
    <w:rsid w:val="002C4E05"/>
    <w:rsid w:val="002D5C05"/>
    <w:rsid w:val="00371F46"/>
    <w:rsid w:val="003F2B57"/>
    <w:rsid w:val="00407046"/>
    <w:rsid w:val="00407F2A"/>
    <w:rsid w:val="00422B34"/>
    <w:rsid w:val="004419FA"/>
    <w:rsid w:val="005637AE"/>
    <w:rsid w:val="006776B0"/>
    <w:rsid w:val="006A76BE"/>
    <w:rsid w:val="00727309"/>
    <w:rsid w:val="007E1F10"/>
    <w:rsid w:val="00BC4C64"/>
    <w:rsid w:val="00BD531A"/>
    <w:rsid w:val="00C44800"/>
    <w:rsid w:val="00D04480"/>
    <w:rsid w:val="00D72B92"/>
    <w:rsid w:val="00DB5D23"/>
    <w:rsid w:val="00DB717B"/>
    <w:rsid w:val="00E22E2E"/>
    <w:rsid w:val="00E67A03"/>
    <w:rsid w:val="00EE55AD"/>
    <w:rsid w:val="00F0454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0026"/>
  <w15:docId w15:val="{2D9FBE95-CF87-4C30-80B9-7557DBF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iPriority w:val="99"/>
    <w:unhideWhenUsed/>
    <w:rsid w:val="00407046"/>
    <w:rPr>
      <w:color w:val="0000FF" w:themeColor="hyperlink"/>
      <w:u w:val="single"/>
    </w:rPr>
  </w:style>
  <w:style w:type="character" w:styleId="UnresolvedMention">
    <w:name w:val="Unresolved Mention"/>
    <w:basedOn w:val="DefaultParagraphFont"/>
    <w:uiPriority w:val="99"/>
    <w:semiHidden/>
    <w:unhideWhenUsed/>
    <w:rsid w:val="0040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ko.widodo@fisip.unair.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Jokhanan Kristiyono</cp:lastModifiedBy>
  <cp:revision>6</cp:revision>
  <cp:lastPrinted>2017-06-06T05:31:00Z</cp:lastPrinted>
  <dcterms:created xsi:type="dcterms:W3CDTF">2024-12-26T08:35:00Z</dcterms:created>
  <dcterms:modified xsi:type="dcterms:W3CDTF">2024-12-26T08:48:00Z</dcterms:modified>
</cp:coreProperties>
</file>